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rPr>
          <w:sz w:val="32"/>
          <w:szCs w:val="32"/>
        </w:rPr>
      </w:pPr>
    </w:p>
    <w:p>
      <w:pPr>
        <w:spacing w:line="480" w:lineRule="exact"/>
        <w:rPr>
          <w:sz w:val="32"/>
          <w:szCs w:val="32"/>
        </w:rPr>
      </w:pPr>
    </w:p>
    <w:p>
      <w:pPr>
        <w:spacing w:line="500" w:lineRule="exact"/>
        <w:rPr>
          <w:rFonts w:ascii="宋体" w:hAnsi="宋体"/>
          <w:sz w:val="32"/>
          <w:szCs w:val="32"/>
        </w:rPr>
      </w:pPr>
    </w:p>
    <w:p>
      <w:pPr>
        <w:spacing w:line="500" w:lineRule="exact"/>
        <w:rPr>
          <w:rFonts w:ascii="宋体" w:hAnsi="宋体"/>
          <w:sz w:val="32"/>
          <w:szCs w:val="32"/>
        </w:rPr>
      </w:pPr>
    </w:p>
    <w:p>
      <w:pPr>
        <w:snapToGrid w:val="0"/>
        <w:spacing w:line="600" w:lineRule="exact"/>
        <w:jc w:val="center"/>
        <w:rPr>
          <w:rFonts w:hint="eastAsia" w:ascii="方正仿宋简体" w:hAnsi="方正仿宋简体" w:eastAsia="方正仿宋简体" w:cs="方正仿宋简体"/>
          <w:sz w:val="32"/>
          <w:szCs w:val="32"/>
        </w:rPr>
      </w:pPr>
    </w:p>
    <w:p>
      <w:pPr>
        <w:snapToGrid w:val="0"/>
        <w:spacing w:line="600" w:lineRule="exact"/>
        <w:jc w:val="center"/>
        <w:rPr>
          <w:rFonts w:hint="eastAsia" w:ascii="方正仿宋简体" w:hAnsi="方正仿宋简体" w:eastAsia="方正仿宋简体" w:cs="方正仿宋简体"/>
          <w:sz w:val="32"/>
          <w:szCs w:val="32"/>
        </w:rPr>
      </w:pPr>
    </w:p>
    <w:p>
      <w:pPr>
        <w:snapToGrid w:val="0"/>
        <w:spacing w:line="600" w:lineRule="exact"/>
        <w:jc w:val="center"/>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校教字〔</w:t>
      </w:r>
      <w:r>
        <w:rPr>
          <w:rFonts w:hint="eastAsia" w:ascii="方正仿宋简体" w:hAnsi="方正仿宋简体" w:eastAsia="方正仿宋简体" w:cs="方正仿宋简体"/>
          <w:sz w:val="32"/>
          <w:szCs w:val="32"/>
          <w:lang w:val="en-US" w:eastAsia="zh-CN"/>
        </w:rPr>
        <w:t>2019</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109</w:t>
      </w:r>
      <w:r>
        <w:rPr>
          <w:rFonts w:hint="eastAsia" w:ascii="方正仿宋简体" w:hAnsi="方正仿宋简体" w:eastAsia="方正仿宋简体" w:cs="方正仿宋简体"/>
          <w:sz w:val="32"/>
          <w:szCs w:val="32"/>
        </w:rPr>
        <w:t>号</w:t>
      </w:r>
    </w:p>
    <w:p>
      <w:pPr>
        <w:spacing w:line="600" w:lineRule="exact"/>
        <w:ind w:firstLine="321" w:firstLineChars="100"/>
        <w:rPr>
          <w:rFonts w:ascii="宋体" w:hAnsi="宋体"/>
          <w:b/>
          <w:sz w:val="32"/>
          <w:szCs w:val="32"/>
        </w:rPr>
      </w:pPr>
    </w:p>
    <w:p>
      <w:pPr>
        <w:spacing w:line="600" w:lineRule="exact"/>
        <w:ind w:firstLine="321" w:firstLineChars="100"/>
        <w:rPr>
          <w:rFonts w:ascii="宋体" w:hAnsi="宋体"/>
          <w:b/>
          <w:sz w:val="32"/>
          <w:szCs w:val="32"/>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ascii="方正小标宋简体" w:hAnsi="方正小标宋简体" w:eastAsia="方正小标宋简体"/>
          <w:sz w:val="44"/>
          <w:szCs w:val="44"/>
        </w:rPr>
      </w:pPr>
      <w:r>
        <w:rPr>
          <w:rFonts w:hint="eastAsia" w:ascii="方正小标宋简体" w:hAnsi="方正小标宋简体" w:eastAsia="方正小标宋简体"/>
          <w:sz w:val="44"/>
          <w:szCs w:val="44"/>
          <w:lang w:eastAsia="zh-CN"/>
        </w:rPr>
        <w:t>关于印发《成都文理学院校外实习基地建设质量标准》的通知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各学院：</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val="en-US" w:eastAsia="zh-CN"/>
        </w:rPr>
        <w:t>《成都文理学院校外实习基地建设质量标准》已</w:t>
      </w:r>
      <w:r>
        <w:rPr>
          <w:rFonts w:hint="eastAsia" w:ascii="方正仿宋简体" w:hAnsi="方正仿宋简体" w:eastAsia="方正仿宋简体" w:cs="方正仿宋简体"/>
          <w:sz w:val="32"/>
          <w:szCs w:val="32"/>
        </w:rPr>
        <w:t>审定通过，现印发你们，请遵照执行。</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特此通知。</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rPr>
        <w:t>附件：</w:t>
      </w:r>
      <w:r>
        <w:rPr>
          <w:rFonts w:hint="eastAsia" w:ascii="方正仿宋简体" w:hAnsi="方正仿宋简体" w:eastAsia="方正仿宋简体" w:cs="方正仿宋简体"/>
          <w:sz w:val="32"/>
          <w:szCs w:val="32"/>
          <w:lang w:val="en-US" w:eastAsia="zh-CN"/>
        </w:rPr>
        <w:t>成都文理学院校外实习基地建设质量标准</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rPr>
      </w:pPr>
    </w:p>
    <w:p>
      <w:pPr>
        <w:spacing w:line="600" w:lineRule="exact"/>
        <w:rPr>
          <w:rFonts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成都文理学院</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2019年11月11日 </w:t>
      </w: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rPr>
          <w:rFonts w:ascii="仿宋" w:hAnsi="仿宋" w:eastAsia="仿宋" w:cs="仿宋"/>
          <w:sz w:val="32"/>
          <w:szCs w:val="32"/>
        </w:rPr>
      </w:pPr>
    </w:p>
    <w:p>
      <w:pPr>
        <w:spacing w:line="600" w:lineRule="exact"/>
        <w:ind w:firstLine="280" w:firstLineChars="100"/>
        <w:rPr>
          <w:rFonts w:ascii="方正仿宋简体" w:hAnsi="方正仿宋简体" w:eastAsia="方正仿宋简体" w:cs="方正仿宋简体"/>
          <w:spacing w:val="-10"/>
          <w:sz w:val="28"/>
          <w:szCs w:val="28"/>
          <w:lang w:val="zh-CN"/>
        </w:rPr>
      </w:pPr>
      <w:r>
        <w:rPr>
          <w:rFonts w:hint="eastAsia" w:ascii="方正仿宋简体" w:hAnsi="方正仿宋简体" w:eastAsia="方正仿宋简体" w:cs="方正仿宋简体"/>
          <w:sz w:val="28"/>
          <w:szCs w:val="28"/>
        </w:rPr>
        <mc:AlternateContent>
          <mc:Choice Requires="wps">
            <w:drawing>
              <wp:anchor distT="0" distB="0" distL="114300" distR="114300" simplePos="0" relativeHeight="251659264" behindDoc="0" locked="0" layoutInCell="1" allowOverlap="1">
                <wp:simplePos x="0" y="0"/>
                <wp:positionH relativeFrom="column">
                  <wp:posOffset>10160</wp:posOffset>
                </wp:positionH>
                <wp:positionV relativeFrom="paragraph">
                  <wp:posOffset>114935</wp:posOffset>
                </wp:positionV>
                <wp:extent cx="5299075" cy="6350"/>
                <wp:effectExtent l="0" t="4445" r="9525" b="8255"/>
                <wp:wrapNone/>
                <wp:docPr id="5" name="直接连接符 5"/>
                <wp:cNvGraphicFramePr/>
                <a:graphic xmlns:a="http://schemas.openxmlformats.org/drawingml/2006/main">
                  <a:graphicData uri="http://schemas.microsoft.com/office/word/2010/wordprocessingShape">
                    <wps:wsp>
                      <wps:cNvCnPr/>
                      <wps:spPr>
                        <a:xfrm flipV="1">
                          <a:off x="0" y="0"/>
                          <a:ext cx="5299075" cy="635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0.8pt;margin-top:9.05pt;height:0.5pt;width:417.25pt;z-index:251659264;mso-width-relative:page;mso-height-relative:page;" filled="f" stroked="t" coordsize="21600,21600" o:gfxdata="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rZlEdQAAAAHAQAADwAAAAAAAAABACAAAAAiAAAAZHJzL2Rvd25yZXYueG1s&#10;UEsBAhQAFAAAAAgAh07iQHAKaxD8AQAA8wMAAA4AAAAAAAAAAQAgAAAAIwEAAGRycy9lMm9Eb2Mu&#10;eG1sUEsFBgAAAAAGAAYAWQEAAJEFAAAAAA==&#10;">
                <v:fill on="f" focussize="0,0"/>
                <v:stroke color="#000000" joinstyle="round"/>
                <v:imagedata o:title=""/>
                <o:lock v:ext="edit" aspectratio="f"/>
              </v:line>
            </w:pict>
          </mc:Fallback>
        </mc:AlternateContent>
      </w:r>
      <w:r>
        <w:rPr>
          <w:rFonts w:hint="eastAsia" w:ascii="方正仿宋简体" w:hAnsi="方正仿宋简体" w:eastAsia="方正仿宋简体" w:cs="方正仿宋简体"/>
          <w:sz w:val="28"/>
          <w:szCs w:val="28"/>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358140</wp:posOffset>
                </wp:positionV>
                <wp:extent cx="5300345" cy="8255"/>
                <wp:effectExtent l="0" t="4445" r="8255" b="6350"/>
                <wp:wrapNone/>
                <wp:docPr id="4" name="直接连接符 4"/>
                <wp:cNvGraphicFramePr/>
                <a:graphic xmlns:a="http://schemas.openxmlformats.org/drawingml/2006/main">
                  <a:graphicData uri="http://schemas.microsoft.com/office/word/2010/wordprocessingShape">
                    <wps:wsp>
                      <wps:cNvCnPr/>
                      <wps:spPr>
                        <a:xfrm flipV="1">
                          <a:off x="0" y="0"/>
                          <a:ext cx="5300345" cy="825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left:0.65pt;margin-top:28.2pt;height:0.65pt;width:417.35pt;z-index:251660288;mso-width-relative:page;mso-height-relative:page;" filled="f" stroked="t" coordsize="21600,21600" o:gfxdata="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Jkkj11QAAAAcBAAAPAAAAAAAAAAEAIAAAACIAAABkcnMvZG93bnJldi54bWxQ&#10;SwECFAAUAAAACACHTuJA1zE1jPoBAADzAwAADgAAAAAAAAABACAAAAAkAQAAZHJzL2Uyb0RvYy54&#10;bWxQSwUGAAAAAAYABgBZAQAAkAUAAAAA&#10;">
                <v:fill on="f" focussize="0,0"/>
                <v:stroke color="#000000" joinstyle="round"/>
                <v:imagedata o:title=""/>
                <o:lock v:ext="edit" aspectratio="f"/>
              </v:line>
            </w:pict>
          </mc:Fallback>
        </mc:AlternateContent>
      </w:r>
      <w:r>
        <w:rPr>
          <w:rFonts w:hint="eastAsia" w:ascii="方正仿宋简体" w:hAnsi="方正仿宋简体" w:eastAsia="方正仿宋简体" w:cs="方正仿宋简体"/>
          <w:spacing w:val="-10"/>
          <w:sz w:val="28"/>
          <w:szCs w:val="28"/>
          <w:lang w:val="zh-CN"/>
        </w:rPr>
        <w:t xml:space="preserve">成都文理学院教务处              </w:t>
      </w:r>
      <w:r>
        <w:rPr>
          <w:rFonts w:hint="eastAsia" w:ascii="方正仿宋简体" w:hAnsi="方正仿宋简体" w:eastAsia="方正仿宋简体" w:cs="方正仿宋简体"/>
          <w:spacing w:val="-10"/>
          <w:sz w:val="28"/>
          <w:szCs w:val="28"/>
        </w:rPr>
        <w:t xml:space="preserve">        </w:t>
      </w:r>
      <w:r>
        <w:rPr>
          <w:rFonts w:hint="eastAsia" w:ascii="方正仿宋简体" w:hAnsi="方正仿宋简体" w:eastAsia="方正仿宋简体" w:cs="方正仿宋简体"/>
          <w:spacing w:val="-10"/>
          <w:sz w:val="28"/>
          <w:szCs w:val="28"/>
          <w:lang w:val="en-US" w:eastAsia="zh-CN"/>
        </w:rPr>
        <w:t>2019年11月11日</w:t>
      </w:r>
      <w:r>
        <w:rPr>
          <w:rFonts w:hint="eastAsia" w:ascii="方正仿宋简体" w:hAnsi="方正仿宋简体" w:eastAsia="方正仿宋简体" w:cs="方正仿宋简体"/>
          <w:spacing w:val="-10"/>
          <w:sz w:val="28"/>
          <w:szCs w:val="28"/>
          <w:lang w:val="zh-CN"/>
        </w:rPr>
        <w:t>印发</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0" w:firstLineChars="0"/>
        <w:textAlignment w:val="auto"/>
        <w:rPr>
          <w:rFonts w:hint="eastAsia" w:ascii="方正仿宋简体" w:hAnsi="方正仿宋简体" w:eastAsia="方正仿宋简体" w:cs="方正仿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Times New Roman"/>
          <w:sz w:val="44"/>
          <w:szCs w:val="44"/>
          <w:lang w:val="en-US" w:eastAsia="zh-CN"/>
        </w:rPr>
      </w:pPr>
      <w:r>
        <w:rPr>
          <w:rFonts w:hint="eastAsia" w:ascii="方正小标宋简体" w:hAnsi="方正小标宋简体" w:eastAsia="方正小标宋简体" w:cs="Times New Roman"/>
          <w:sz w:val="44"/>
          <w:szCs w:val="44"/>
          <w:lang w:val="en-US" w:eastAsia="zh-CN"/>
        </w:rPr>
        <w:t>成都文理学院校外实习基地建设质量标准</w:t>
      </w:r>
    </w:p>
    <w:p>
      <w:pPr>
        <w:keepNext w:val="0"/>
        <w:keepLines w:val="0"/>
        <w:pageBreakBefore w:val="0"/>
        <w:widowControl w:val="0"/>
        <w:kinsoku/>
        <w:wordWrap/>
        <w:overflowPunct/>
        <w:topLinePunct w:val="0"/>
        <w:autoSpaceDE w:val="0"/>
        <w:autoSpaceDN w:val="0"/>
        <w:bidi w:val="0"/>
        <w:adjustRightInd/>
        <w:snapToGrid/>
        <w:spacing w:before="0" w:after="0" w:line="250" w:lineRule="exact"/>
        <w:ind w:left="0" w:right="0"/>
        <w:jc w:val="center"/>
        <w:textAlignment w:val="auto"/>
        <w:rPr>
          <w:rFonts w:hint="eastAsia" w:ascii="宋体" w:hAnsi="宋体" w:eastAsia="宋体" w:cs="宋体"/>
          <w:b/>
          <w:bCs/>
          <w:kern w:val="0"/>
          <w:sz w:val="44"/>
          <w:szCs w:val="44"/>
          <w:lang w:val="en-US" w:eastAsia="zh-CN" w:bidi="zh-CN"/>
        </w:rPr>
      </w:pPr>
    </w:p>
    <w:p>
      <w:pPr>
        <w:keepNext w:val="0"/>
        <w:keepLines w:val="0"/>
        <w:pageBreakBefore w:val="0"/>
        <w:widowControl w:val="0"/>
        <w:kinsoku/>
        <w:wordWrap/>
        <w:overflowPunct/>
        <w:topLinePunct w:val="0"/>
        <w:autoSpaceDE/>
        <w:autoSpaceDN/>
        <w:bidi w:val="0"/>
        <w:adjustRightInd/>
        <w:snapToGrid/>
        <w:spacing w:line="60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为加强校企合作规范性管理，建立一批稳定、更有效率的校外实习基地，充分发挥其在专业建设、师资队伍建设、学生实习等方面的作用，推动我校人才培养质量的提高，现制定本标准。</w:t>
      </w:r>
    </w:p>
    <w:p>
      <w:pPr>
        <w:keepNext w:val="0"/>
        <w:keepLines w:val="0"/>
        <w:pageBreakBefore w:val="0"/>
        <w:widowControl w:val="0"/>
        <w:kinsoku/>
        <w:wordWrap/>
        <w:overflowPunct/>
        <w:topLinePunct w:val="0"/>
        <w:autoSpaceDE/>
        <w:autoSpaceDN/>
        <w:bidi w:val="0"/>
        <w:adjustRightInd/>
        <w:snapToGrid/>
        <w:spacing w:line="250" w:lineRule="exact"/>
        <w:ind w:left="-315" w:leftChars="-150" w:right="-315" w:rightChars="-150" w:firstLine="640" w:firstLineChars="200"/>
        <w:textAlignment w:val="auto"/>
        <w:rPr>
          <w:rFonts w:hint="eastAsia" w:ascii="方正仿宋简体" w:hAnsi="方正仿宋简体" w:eastAsia="方正仿宋简体" w:cs="方正仿宋简体"/>
          <w:sz w:val="32"/>
          <w:szCs w:val="32"/>
          <w:lang w:val="en-US" w:eastAsia="zh-CN"/>
        </w:rPr>
      </w:pPr>
    </w:p>
    <w:tbl>
      <w:tblPr>
        <w:tblStyle w:val="7"/>
        <w:tblW w:w="86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仿宋" w:hAnsi="仿宋" w:eastAsia="仿宋" w:cs="仿宋"/>
                <w:b/>
                <w:bCs/>
                <w:color w:val="000000"/>
                <w:sz w:val="28"/>
                <w:szCs w:val="28"/>
                <w:shd w:val="clear" w:fill="FFFFFF"/>
                <w:vertAlign w:val="baseline"/>
                <w:lang w:val="en-US" w:eastAsia="zh-CN"/>
              </w:rPr>
            </w:pPr>
            <w:r>
              <w:rPr>
                <w:rFonts w:hint="eastAsia" w:ascii="仿宋" w:hAnsi="仿宋" w:eastAsia="仿宋" w:cs="仿宋"/>
                <w:b/>
                <w:bCs/>
                <w:color w:val="000000"/>
                <w:sz w:val="28"/>
                <w:szCs w:val="28"/>
                <w:shd w:val="clear" w:fill="FFFFFF"/>
                <w:vertAlign w:val="baseline"/>
                <w:lang w:val="en-US" w:eastAsia="zh-CN"/>
              </w:rPr>
              <w:t>一级指标</w:t>
            </w:r>
          </w:p>
        </w:tc>
        <w:tc>
          <w:tcPr>
            <w:tcW w:w="2841"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仿宋" w:hAnsi="仿宋" w:eastAsia="仿宋" w:cs="仿宋"/>
                <w:b/>
                <w:bCs/>
                <w:color w:val="000000"/>
                <w:sz w:val="28"/>
                <w:szCs w:val="28"/>
                <w:shd w:val="clear" w:fill="FFFFFF"/>
                <w:vertAlign w:val="baseline"/>
                <w:lang w:val="en-US" w:eastAsia="zh-CN"/>
              </w:rPr>
            </w:pPr>
            <w:r>
              <w:rPr>
                <w:rFonts w:hint="eastAsia" w:ascii="仿宋" w:hAnsi="仿宋" w:eastAsia="仿宋" w:cs="仿宋"/>
                <w:b/>
                <w:bCs/>
                <w:color w:val="000000"/>
                <w:sz w:val="28"/>
                <w:szCs w:val="28"/>
                <w:shd w:val="clear" w:fill="FFFFFF"/>
                <w:vertAlign w:val="baseline"/>
                <w:lang w:val="en-US" w:eastAsia="zh-CN"/>
              </w:rPr>
              <w:t>二级指标</w:t>
            </w:r>
          </w:p>
        </w:tc>
        <w:tc>
          <w:tcPr>
            <w:tcW w:w="2923" w:type="dxa"/>
            <w:vAlign w:val="center"/>
          </w:tcPr>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仿宋" w:hAnsi="仿宋" w:eastAsia="仿宋" w:cs="仿宋"/>
                <w:b/>
                <w:bCs/>
                <w:color w:val="000000"/>
                <w:sz w:val="28"/>
                <w:szCs w:val="28"/>
                <w:shd w:val="clear" w:fill="FFFFFF"/>
                <w:vertAlign w:val="baseline"/>
                <w:lang w:val="en-US" w:eastAsia="zh-CN"/>
              </w:rPr>
            </w:pPr>
            <w:r>
              <w:rPr>
                <w:rFonts w:hint="eastAsia" w:ascii="仿宋" w:hAnsi="仿宋" w:eastAsia="仿宋" w:cs="仿宋"/>
                <w:b/>
                <w:bCs/>
                <w:color w:val="000000"/>
                <w:sz w:val="28"/>
                <w:szCs w:val="28"/>
                <w:shd w:val="clear" w:fill="FFFFFF"/>
                <w:vertAlign w:val="baseline"/>
                <w:lang w:val="en-US" w:eastAsia="zh-CN"/>
              </w:rPr>
              <w:t>质量标准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1.组织领导与建设规划</w:t>
            </w:r>
          </w:p>
        </w:tc>
        <w:tc>
          <w:tcPr>
            <w:tcW w:w="2841"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1.1组织领导</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1.1.1学校及有关院（部）领导重视实习基地建设，有专人负责。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1.1.2校领导及职能部门对实习基地建设进行规划、管理及协调，各院（部）具体负责其校内外实习基地的建设和日常运行管理。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1.1.3实习基地领导重视基地建设；基地与学校广泛开展合作，工作卓有成效。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1.2建设规划</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1.2.1实习基地的建设符合学校定位、专业发展和人才培养目标要求，按照学科专业大类或课程群设置建设校外实习基地。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9" w:hRule="atLeast"/>
        </w:trPr>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1.2.2各专业应根据人才培养需要出发，本着“教学、科研、生产相结合”及“互利互惠”的原则，建立满足教学需要、布局合理、质量较高、相对稳定的校外实习基地。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2.条件建设</w:t>
            </w:r>
          </w:p>
        </w:tc>
        <w:tc>
          <w:tcPr>
            <w:tcW w:w="2841"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2.1教学条件</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2.1.1基地建设和发展基础好，具有一定的生产规模和较先进的技术、管理水平。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2.1.2有明确的实习目的和实习内容，能满足相关专业或课程实习的教学要求。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2.1.3具备学生实习所需的基本生活、学习条件，具有劳动保护、卫生安全保障，场所与设施能满足教学需要。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2.1.4具有对学生实习进行必要的组织、指导和管理的能力。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2.2科研条件</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2.2.1基地具有良好的科研条件，能够很好的配合学校进行科技推广、开发以及进行科学研究。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2.3队伍建设</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2.3.1学校有一支基地建设指导队伍，并有固定的基地联系人，或有在基地挂职的技术人员。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2.3.2基地实践教学指导教师须具有丰富的生产实践经验和较强的指导能力。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3.管理运行</w:t>
            </w:r>
          </w:p>
        </w:tc>
        <w:tc>
          <w:tcPr>
            <w:tcW w:w="2841"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3.1管理制度</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3.1.1管理制度健全，能有效地保证学校与基地的各项合作良好、健康的发展。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3.1.2规范校外实习基地档案，做好基地运行和实习情况记录。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3.1.3经费投入保证教学实习顺利开展。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3.2运行机制</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3.2.1校外实习基地由学校与相关企事业单位协商共同建立，签署协议。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3.2.2学校与基地共同完成实习计划的制定与实施，推进“产、学、研”一体化。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4" w:hRule="atLeast"/>
        </w:trPr>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3.2.3学校定期组织对基地建设工作的评估和检查。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4.科技服务</w:t>
            </w:r>
          </w:p>
        </w:tc>
        <w:tc>
          <w:tcPr>
            <w:tcW w:w="284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4.1科技推广与开发</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4.1.1科技推广与开发服务体系健全，学校优先在基地开展高新技术推广。基地积极提供便利条件，开展科学研究。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4.2科技培训</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4.2.1大力开展科技培训、科技咨询、科技宣传等工作，为基地培养科技后备人才。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5.效果及效益</w:t>
            </w:r>
          </w:p>
        </w:tc>
        <w:tc>
          <w:tcPr>
            <w:tcW w:w="2841" w:type="dxa"/>
            <w:vMerge w:val="restart"/>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5.1教学效果</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5.1.1有效地提高学生分析问题、解决问题的能力，锻炼和培养学生的组织能力、社交能力和综合素质。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5.1.2能撰写出高质量的实习报告，显著提高人才培养质量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vMerge w:val="continue"/>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p>
        </w:tc>
        <w:tc>
          <w:tcPr>
            <w:tcW w:w="2841"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5.2社会效益</w:t>
            </w:r>
          </w:p>
        </w:tc>
        <w:tc>
          <w:tcPr>
            <w:tcW w:w="2923" w:type="dxa"/>
            <w:vAlign w:val="center"/>
          </w:tcPr>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000000"/>
                <w:kern w:val="0"/>
                <w:sz w:val="24"/>
                <w:szCs w:val="24"/>
                <w:shd w:val="clear" w:fill="FFFFFF"/>
                <w:vertAlign w:val="baseline"/>
                <w:lang w:val="en-US" w:eastAsia="zh-CN" w:bidi="ar"/>
              </w:rPr>
            </w:pPr>
            <w:r>
              <w:rPr>
                <w:rFonts w:hint="eastAsia" w:ascii="宋体" w:hAnsi="宋体" w:eastAsia="宋体" w:cs="宋体"/>
                <w:color w:val="000000"/>
                <w:kern w:val="0"/>
                <w:sz w:val="24"/>
                <w:szCs w:val="24"/>
                <w:shd w:val="clear" w:fill="FFFFFF"/>
                <w:vertAlign w:val="baseline"/>
                <w:lang w:val="en-US" w:eastAsia="zh-CN" w:bidi="ar"/>
              </w:rPr>
              <w:t>5.2.1能有效推动当地及周边地区的科技发展，具有一定</w:t>
            </w:r>
            <w:bookmarkStart w:id="0" w:name="_GoBack"/>
            <w:bookmarkEnd w:id="0"/>
            <w:r>
              <w:rPr>
                <w:rFonts w:hint="eastAsia" w:ascii="宋体" w:hAnsi="宋体" w:eastAsia="宋体" w:cs="宋体"/>
                <w:color w:val="000000"/>
                <w:kern w:val="0"/>
                <w:sz w:val="24"/>
                <w:szCs w:val="24"/>
                <w:shd w:val="clear" w:fill="FFFFFF"/>
                <w:vertAlign w:val="baseline"/>
                <w:lang w:val="en-US" w:eastAsia="zh-CN" w:bidi="ar"/>
              </w:rPr>
              <w:t>的社会声誉和影响。</w:t>
            </w:r>
          </w:p>
        </w:tc>
      </w:tr>
    </w:tbl>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both"/>
        <w:textAlignment w:val="auto"/>
        <w:rPr>
          <w:rFonts w:hint="eastAsia" w:ascii="仿宋" w:hAnsi="仿宋" w:eastAsia="仿宋" w:cs="仿宋"/>
          <w:color w:val="000000"/>
          <w:sz w:val="32"/>
          <w:szCs w:val="32"/>
          <w:shd w:val="clear" w:fill="FFFFFF"/>
          <w:lang w:val="en-US" w:eastAsia="zh-CN"/>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firstLine="0" w:firstLineChars="0"/>
        <w:jc w:val="right"/>
        <w:textAlignment w:val="auto"/>
        <w:rPr>
          <w:rFonts w:hint="default" w:ascii="仿宋" w:hAnsi="仿宋" w:eastAsia="仿宋" w:cs="仿宋"/>
          <w:color w:val="000000"/>
          <w:sz w:val="32"/>
          <w:szCs w:val="32"/>
          <w:shd w:val="clear" w:fill="FFFFFF"/>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简体">
    <w:panose1 w:val="03000509000000000000"/>
    <w:charset w:val="86"/>
    <w:family w:val="auto"/>
    <w:pitch w:val="default"/>
    <w:sig w:usb0="00000001" w:usb1="080E0000" w:usb2="00000000" w:usb3="00000000" w:csb0="00040000" w:csb1="00000000"/>
    <w:embedRegular r:id="rId1" w:fontKey="{70BBF560-87A2-4D6B-9516-B5600B730328}"/>
  </w:font>
  <w:font w:name="方正小标宋简体">
    <w:panose1 w:val="03000509000000000000"/>
    <w:charset w:val="86"/>
    <w:family w:val="auto"/>
    <w:pitch w:val="default"/>
    <w:sig w:usb0="00000001" w:usb1="080E0000" w:usb2="00000000" w:usb3="00000000" w:csb0="00040000" w:csb1="00000000"/>
    <w:embedRegular r:id="rId2" w:fontKey="{3AC89E07-BA6D-4E24-BEF0-BDF7161017AF}"/>
  </w:font>
  <w:font w:name="仿宋">
    <w:panose1 w:val="02010609060101010101"/>
    <w:charset w:val="86"/>
    <w:family w:val="auto"/>
    <w:pitch w:val="default"/>
    <w:sig w:usb0="800002BF" w:usb1="38CF7CFA" w:usb2="00000016" w:usb3="00000000" w:csb0="00040001" w:csb1="00000000"/>
    <w:embedRegular r:id="rId3" w:fontKey="{BEF95641-B054-433C-9E4D-23DB8AA461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0MTY0YWNjMjQzZGFiMzhkYTk2MTQwZjQxOWI3M2MifQ=="/>
  </w:docVars>
  <w:rsids>
    <w:rsidRoot w:val="00000000"/>
    <w:rsid w:val="007F431D"/>
    <w:rsid w:val="04E30B28"/>
    <w:rsid w:val="05C4588A"/>
    <w:rsid w:val="08CC6344"/>
    <w:rsid w:val="0EDD71FD"/>
    <w:rsid w:val="103A1099"/>
    <w:rsid w:val="167B7F56"/>
    <w:rsid w:val="16F318BE"/>
    <w:rsid w:val="1D6D3C7F"/>
    <w:rsid w:val="1E346CF2"/>
    <w:rsid w:val="1F97246B"/>
    <w:rsid w:val="202D46C8"/>
    <w:rsid w:val="29BB3A90"/>
    <w:rsid w:val="2BEC1053"/>
    <w:rsid w:val="2FDF1296"/>
    <w:rsid w:val="3C3F5E18"/>
    <w:rsid w:val="3CE76DA2"/>
    <w:rsid w:val="41E105E7"/>
    <w:rsid w:val="4E555B10"/>
    <w:rsid w:val="4FDE4342"/>
    <w:rsid w:val="52720B2E"/>
    <w:rsid w:val="52D37B21"/>
    <w:rsid w:val="53122825"/>
    <w:rsid w:val="54F1467D"/>
    <w:rsid w:val="55563ADE"/>
    <w:rsid w:val="584D6503"/>
    <w:rsid w:val="58B924BB"/>
    <w:rsid w:val="5C4A0B2E"/>
    <w:rsid w:val="5C875744"/>
    <w:rsid w:val="62E922EA"/>
    <w:rsid w:val="69424DF5"/>
    <w:rsid w:val="6EF87FBA"/>
    <w:rsid w:val="713C0BF3"/>
    <w:rsid w:val="74D53256"/>
    <w:rsid w:val="784410DB"/>
    <w:rsid w:val="79F60947"/>
    <w:rsid w:val="7E6202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TML Code"/>
    <w:basedOn w:val="8"/>
    <w:qFormat/>
    <w:uiPriority w:val="0"/>
    <w:rPr>
      <w:rFonts w:ascii="Courier New" w:hAnsi="Courier New"/>
      <w:sz w:val="20"/>
    </w:rPr>
  </w:style>
  <w:style w:type="character" w:customStyle="1" w:styleId="10">
    <w:name w:val="c3"/>
    <w:basedOn w:val="8"/>
    <w:qFormat/>
    <w:uiPriority w:val="0"/>
  </w:style>
  <w:style w:type="character" w:customStyle="1" w:styleId="11">
    <w:name w:val="contime"/>
    <w:basedOn w:val="8"/>
    <w:qFormat/>
    <w:uiPriority w:val="0"/>
    <w:rPr>
      <w:color w:val="666666"/>
      <w:sz w:val="18"/>
      <w:szCs w:val="18"/>
    </w:rPr>
  </w:style>
  <w:style w:type="character" w:customStyle="1" w:styleId="12">
    <w:name w:val="contitle"/>
    <w:basedOn w:val="8"/>
    <w:qFormat/>
    <w:uiPriority w:val="0"/>
  </w:style>
  <w:style w:type="character" w:customStyle="1" w:styleId="13">
    <w:name w:val="b1"/>
    <w:basedOn w:val="8"/>
    <w:qFormat/>
    <w:uiPriority w:val="0"/>
    <w:rPr>
      <w:color w:val="FFFFFF"/>
      <w:sz w:val="21"/>
      <w:szCs w:val="21"/>
      <w:shd w:val="clear" w:fill="004682"/>
    </w:rPr>
  </w:style>
  <w:style w:type="character" w:customStyle="1" w:styleId="14">
    <w:name w:val="c6"/>
    <w:basedOn w:val="8"/>
    <w:qFormat/>
    <w:uiPriority w:val="0"/>
    <w:rPr>
      <w:color w:val="666666"/>
    </w:rPr>
  </w:style>
  <w:style w:type="character" w:customStyle="1" w:styleId="15">
    <w:name w:val="c1"/>
    <w:basedOn w:val="8"/>
    <w:qFormat/>
    <w:uiPriority w:val="0"/>
    <w:rPr>
      <w:color w:val="004682"/>
    </w:rPr>
  </w:style>
  <w:style w:type="character" w:customStyle="1" w:styleId="16">
    <w:name w:val="b6"/>
    <w:basedOn w:val="8"/>
    <w:qFormat/>
    <w:uiPriority w:val="0"/>
    <w:rPr>
      <w:color w:val="FFFFFF"/>
      <w:sz w:val="21"/>
      <w:szCs w:val="21"/>
      <w:shd w:val="clear" w:fill="004682"/>
    </w:rPr>
  </w:style>
  <w:style w:type="paragraph" w:customStyle="1" w:styleId="17">
    <w:name w:val="_Style 12"/>
    <w:basedOn w:val="1"/>
    <w:next w:val="1"/>
    <w:qFormat/>
    <w:uiPriority w:val="0"/>
    <w:pPr>
      <w:pBdr>
        <w:bottom w:val="single" w:color="auto" w:sz="6" w:space="1"/>
      </w:pBdr>
      <w:jc w:val="center"/>
    </w:pPr>
    <w:rPr>
      <w:rFonts w:ascii="Arial" w:eastAsia="宋体"/>
      <w:vanish/>
      <w:sz w:val="16"/>
    </w:rPr>
  </w:style>
  <w:style w:type="paragraph" w:customStyle="1" w:styleId="18">
    <w:name w:val="_Style 13"/>
    <w:basedOn w:val="1"/>
    <w:next w:val="1"/>
    <w:qFormat/>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1169</Words>
  <Characters>1234</Characters>
  <Lines>0</Lines>
  <Paragraphs>0</Paragraphs>
  <TotalTime>1</TotalTime>
  <ScaleCrop>false</ScaleCrop>
  <LinksUpToDate>false</LinksUpToDate>
  <CharactersWithSpaces>1311</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2022-01-19T02:08:00Z</dcterms:created>
  <dc:creator>admin</dc:creator>
  <cp:lastModifiedBy>王雄</cp:lastModifiedBy>
  <cp:lastPrinted>2022-08-05T07:22:00Z</cp:lastPrinted>
  <dcterms:modified xsi:type="dcterms:W3CDTF">2022-09-26T01:56:51Z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66ED3793C5A842068B868A2756CF34BF</vt:lpwstr>
  </property>
</Properties>
</file>