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 w:line="700" w:lineRule="atLeast"/>
        <w:ind w:left="0" w:right="0"/>
        <w:jc w:val="center"/>
        <w:rPr>
          <w:rFonts w:hint="default" w:ascii="仿宋_GB2312" w:eastAsia="仿宋_GB2312" w:cs="仿宋_GB2312"/>
          <w:sz w:val="32"/>
          <w:szCs w:val="32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700" w:lineRule="atLeast"/>
        <w:ind w:left="0" w:right="0"/>
        <w:jc w:val="center"/>
        <w:rPr>
          <w:rFonts w:hint="default" w:ascii="仿宋_GB2312" w:eastAsia="仿宋_GB2312" w:cs="仿宋_GB2312"/>
          <w:sz w:val="32"/>
          <w:szCs w:val="32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700" w:lineRule="atLeast"/>
        <w:ind w:left="0" w:right="0"/>
        <w:jc w:val="center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lang w:val="en-US" w:eastAsia="zh-CN" w:bidi="ar"/>
        </w:rPr>
        <w:t>凉山彝族自治州教育科学研究所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700" w:lineRule="atLeast"/>
        <w:ind w:left="0" w:right="0"/>
        <w:jc w:val="center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lang w:val="en-US" w:eastAsia="zh-CN" w:bidi="ar"/>
        </w:rPr>
        <w:t>关于举行凉山州2022年中等职业教育优秀论文评选活动的通知</w:t>
      </w:r>
    </w:p>
    <w:p>
      <w:pPr>
        <w:keepNext w:val="0"/>
        <w:keepLines w:val="0"/>
        <w:widowControl/>
        <w:suppressLineNumbers w:val="0"/>
        <w:spacing w:before="120" w:beforeAutospacing="0" w:after="0" w:afterAutospacing="0" w:line="570" w:lineRule="atLeast"/>
        <w:ind w:left="0" w:right="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各县（市）教体科局、各州（省）直属中职学校：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为深入贯彻全国、全省职业教育大会精神，全面落实国家、省职业教育改革实施方案，及时总结、交流、推广优秀教科研成果，经研究，决定举行凉山州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年中等职业教育优秀论文评选活动，现将有关事宜通知如下：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一、参评对象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全州各级教育行政部门教育工作者、教育科研机构研究人员和各中等职业学校（含普通中专、职业高中、成人中专、技工学校）的教师及管理人员。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二、提交要求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（一）各校须对提交论文进行查重（重复率不得超过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30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%），各校指定专人将您校推荐的论文和查重结论一并上传到QQ邮箱：1665312785@qq.com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（二）论文上传截止时间为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年6月15日。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三、论文评审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由凉山州教科所组织专家评审，根据评审成绩推荐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篇论文参加省级评选活动。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四、评奖办法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70" w:lineRule="atLeast"/>
        <w:ind w:left="0" w:right="0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（一）论文获奖总篇数不超过参评论文篇数的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90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%，其中，一等奖不超过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15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%，二等奖不超过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30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%，三等奖不超过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55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%。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70" w:lineRule="atLeast"/>
        <w:ind w:left="0" w:right="0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（二）获州奖论文将由凉山州教科所统一颁发获奖证书，获省奖论文将由四川省教育科学研究院统一颁发获奖证书。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五、其他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70" w:lineRule="atLeast"/>
        <w:ind w:left="0" w:right="0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（一）联系人：黄燕（电话：18882093555）、徐建国（电话：13648171333）。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（二）评选范围、选题参考、申报要求及格式要求等均见附件。</w:t>
      </w:r>
    </w:p>
    <w:p>
      <w:pPr>
        <w:keepNext w:val="0"/>
        <w:keepLines w:val="0"/>
        <w:widowControl/>
        <w:suppressLineNumbers w:val="0"/>
        <w:spacing w:before="120" w:beforeAutospacing="0" w:after="0" w:afterAutospacing="0" w:line="570" w:lineRule="atLeast"/>
        <w:ind w:left="1920" w:right="0" w:hanging="128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附件：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.凉山州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年中等职业教育优秀论文评选活动评选范围与选题参考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1920" w:right="0" w:hanging="32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.凉山州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年中等职业教育优秀论文评选活动申报要求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1920" w:right="0" w:hanging="323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.凉山州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年中等职业教育优秀论文评选活动格式要求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6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384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凉山彝族自治州教育科学研究所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70" w:lineRule="atLeast"/>
        <w:ind w:left="0" w:right="0" w:firstLine="512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月25日</w:t>
      </w:r>
    </w:p>
    <w:p>
      <w:pPr>
        <w:keepNext w:val="0"/>
        <w:keepLines w:val="0"/>
        <w:widowControl/>
        <w:suppressLineNumbers w:val="0"/>
        <w:spacing w:before="12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pacing w:before="12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1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凉山州2022年中等职业教育优秀论文评选活动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评选范围与选题参考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一、评选范围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评选论文内容紧密围绕习近平总书记重要指示和全国、全省职业教育大会精神，以及国务院、教育部和四川省相关职业教育改革发展的重要文件精神和重点任务，结合当前职业教育的热点、难点问题开展的研究，具有一定的理论价值和实践价值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二、选题参考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（一）中等职业教育基本理论研究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围绕中等职业教育原理，就中等职业教育的基本概念、原理、本质、价值、功能、体系、内容等开展有深度的理论研究；关注中等职业教育的公益性、开放性、基础性和终身化、体系化发展；关注国内外中等职业教育基本理论前沿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（二）四川省现代职业教育和培训体系研究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现代职业教育体系内涵和规律研究；四川省中等和高等职业教育协调发展研究；中等职业教育与其他教育的沟通研究；职业教育适应发展方式转变和经济结构调整需求的研究；“校企合作、工学结合、顶岗实习”的人才培养模式研究；职业教育集团化办学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（三）职业教育发展战略研究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构建“职业教育高质量发展”、“人民满意的职业教育”的指标体系研究；四川省中等职业教育发展战略研究；区域职业教育发展战略研究；职业教育服务“乡村振兴”研究；四川省职业教育对外国际交流合作研究；健全职业教育城乡一体化发展的体制与机制研究；民族地区职业教育发展研究；职业教育行政领导能力建设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（四）政策与制度研究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《国家、省职业教育改革实施方案》《推动现代职业教育高质量发展》等相关政策研究；职教高考制度研究；职业教育混合所有制研究；中等职业教育现代学校制度研究；中等职业学校招生与就业制度创新研究；中等职业学校管理体制研究；中等职业教育多元化办学体制研究；中等职业学校办学自主权与内部治理结构研究;中等职业学校校企合作制度建设研究；中等职业学校“双师型”教师制度建设研究；中等职业学校教育督导评估研究；中等职业学校教学质量监测评估研究;中等职业学校学生就业质量监测研究;四川省中等职业学校办学行为现状调查研究；国家中等职业教育改革发展示范学校建设研究；四川省“双示范”及“三名工程”建设研究；完善中等职业学校评估指标体系研究；四川省中等职业教育经费投入体制与机制的创新研究；中等职业学校学生资助政策与管理研究；社会力量参与职业教育办学的制度研究；中等职业学校学分制及弹性学制研究；东西部职业教育合作机制研究；优质职业学校对农村薄弱职业学校托管、帮扶政策研究；职业教育发展的权责划分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（五）党建工作研究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新时代中等职业学校党建工作理论研究与路径、模式探索研究；习近平新时代中国特色社会主义思想进教材、进课堂、进头脑研究等。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（六）教师专业发展研究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四川省中等职业学校教师专业发展现状与对策研究；中等职业学校“双师型”教师培养体系研究；中等职业学校教师培训有效性研究；中等职业学校教师职业道德、职业心理研究；中等职业学校名校长（名师）成长规律与有效培养研究；中等职业学校兼职教师进修和管理模式研究；促进教师专业发展的校本教研制度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（七）“9+3”教育教学研究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+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”教育管理、学校管理研究；“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+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”德育研究；“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+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”心理健康教育研究；“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+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”课程改革、学科教学改革研究；民族教育研究；入学教育研究；多元文化研究等。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（八）公共基础课程教学改革研究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贯彻落实课程标准研究；新教材、新教法研究；中等职业学校教学质量管理与多元评价制度研究；课堂教学有效性研究；体现以学生为主体的教法与学法的研究；校本课程开发研究；学校教学资源库建设研究；网络课程开发与网络学习平台建设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（九）本科层次职业教育研究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本科层次职业教育意义、职能定位、实践路径研究；本科层次职业教育政策流变与演进研究；本科层次职业教育发展现状研究；本科层次职业教育人才培养模式研究；本科层次职业教育学位授予研究；本科层次职业教育专业建设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（十）劳动教育研究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中等职业学校开展劳动教育的价值、内涵、特质研究；中等职业学校劳动教育的实施现状与路径研究；中等职业学校劳动教育的课程体系构建研究；中等职业学校劳动教育的比较研究；中等职业学校开展劳动启蒙教育的路径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（十一）“停课不停学”研究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停课不停学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背景下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中等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职业学校教学策略、教学模式研究；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停课不停学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背景下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中等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职业学校组织形式和资源提供研究；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停课不停学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背景下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中等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职业学校教学有效性研究；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停课不停学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”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背景下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中等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职业学校学生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心理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健康研究等。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40"/>
        <w:jc w:val="center"/>
        <w:rPr>
          <w:rFonts w:hint="default" w:ascii="仿宋_GB2312" w:eastAsia="仿宋_GB2312" w:cs="仿宋_GB2312"/>
          <w:sz w:val="30"/>
          <w:szCs w:val="30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凉山州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2022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年中等职业教育优秀论文评选活动申报要求</w:t>
      </w:r>
    </w:p>
    <w:p>
      <w:pPr>
        <w:keepNext w:val="0"/>
        <w:keepLines w:val="0"/>
        <w:widowControl/>
        <w:suppressLineNumbers w:val="0"/>
        <w:spacing w:before="12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一、论文观点正确、主题鲜明、重点突出、有必要的事实、数据或典型案例支撑；文字表述规范、简洁、流畅，字数以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4000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—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6000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字为益。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二、若为合著论文，署名不超过两人；同一名教师限报一篇。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三、已在省级及以上评选活动中获奖的论文，在内容相同而没有特别创新的情况下不得再次申报。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四、忌抄袭、剽窃等学术不端行为，文责自负；若有举报，一经查实，即刻取消评奖资格，并予以通报批评。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0"/>
        <w:jc w:val="both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40"/>
        <w:jc w:val="both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ind w:left="0" w:firstLine="0"/>
        <w:jc w:val="left"/>
        <w:rPr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both"/>
        <w:rPr>
          <w:rFonts w:hint="default" w:asci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3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40"/>
        <w:jc w:val="center"/>
        <w:rPr>
          <w:rFonts w:hint="default" w:ascii="仿宋_GB2312" w:eastAsia="仿宋_GB2312" w:cs="仿宋_GB2312"/>
          <w:sz w:val="30"/>
          <w:szCs w:val="30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凉山州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2022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年中等职业教育优秀论文评选活动格式要求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一、总体要求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（一）文章中不得出现作者姓名及工作单位，只在系统填报时填写作者姓名和工作单位。文中出现作者姓名和工作单位视为一票否决。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600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（二）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一律用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word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文档编辑，设单倍行距。内容应包括题目、摘要、关键词、正文、参考文献等，其中题目为黑体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号字，正文为宋体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号字，摘要、关键词为楷体小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号字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，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参考文献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为宋体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号字等。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64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二、具体要求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01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（一）题目（黑体三号）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要求言简意赅，能准确反映研究主题；一般不超过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个汉字，必要时可加副题名；不用非公知公认的缩写或符号；尽量避免用英文缩写。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601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（二）摘要（楷体小四号）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　　概括陈述研究的背景、目的、方法和主要结论，要求客观反映出研究的主要信息。非公知公认的符号或术语第一次出现时应写全称。字数不少于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200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字。</w:t>
      </w: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  （三）关键词（楷体小四号）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 xml:space="preserve">    一般可选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—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5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个关键词，用全称。关键词为反映论文的核心内容，对文献检索有重要作用的学术术语，多个关键词之间以“；”隔开。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601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（四）图表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　　文中插图与表格放在相应正文之后，分别按出现顺序用图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、图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……或表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、表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……统一编号。插图的序号、标题及注释居中置于图的下方，表格的序号及标题置于表格上方。</w:t>
      </w: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　　（五）标题编号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　　一级标题用一、二、三……编号；二级标题用（一）、（二）、（三）……编号；三级标题用阿拉伯数字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、……编号；四级标题用（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）、（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）、（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）……编号。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1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楷体_GB2312" w:eastAsia="楷体_GB2312" w:cs="楷体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（六）参考文献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（小四号宋体加粗）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2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</w:t>
      </w:r>
      <w:r>
        <w:rPr>
          <w:rFonts w:hint="default" w:ascii="仿宋_GB2312" w:eastAsia="仿宋_GB2312" w:cs="仿宋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.中文参考文献的书写格式如下：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（文献顶格，连续编号，宋体小四号，单倍行距，请注意标点符号）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）期刊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 主要作者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.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文献题名[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J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.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刊名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,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出版年份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,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卷号(期号:起止页码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 袁庆龙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候文义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Ni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-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P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合金镀层组织形貌及显微硬度研究[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J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太原理工大学学报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2001,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32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(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)：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51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-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53.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）专著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 著者．书名[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M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]．出版地：出版者，出版年：起止页码．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 刘国钧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王连成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图书馆史研究[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M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北京：高等教育出版社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1979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-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18,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31.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）论文集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 著者．文献题名[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C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]．编者．论文集名．出版地：出版者，出版年：起止页码．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 孙品一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高校学报编辑工作现代化特征[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C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中国高等学校自然科学学报研究会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科技编辑学论文集(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)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北京：北京师范大学出版社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1998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-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22.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4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）学位论文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 作者．题名[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D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]．保存地：保存单位，年份．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 张和生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地质力学系统理论[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太原：太原理工大学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1998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5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）报告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 作者．文献题名[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R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]．报告地：报告会主办单位，年份．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 冯西桥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核反应堆压力容器的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LBB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分析[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R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北京：清华大学核能技术设计研究院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1997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6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）专利文献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 专利所有者．专利题名[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P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]．专利国别：专利号，发布日期．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 姜锡洲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一种温热外敷药制备方案[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P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中国专利：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881056078,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1983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-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08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-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12.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7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）国际、国家标准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 标准代号，标准名称[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S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]．出版地：出版者，出版年．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 xml:space="preserve">]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GB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/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T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16159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—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1996,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汉语拼音正词法基本规则[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S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北京：中国标准出版社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1996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8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）报纸文章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 作者．文献题名[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N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]．报纸名，出版日期(版次)．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 谢希德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创造学习的思路[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N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人民日报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1998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-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-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(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)．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）电子文献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 作者．电子文献题名[文献类型/载体类型]．电子文献的出版或可获得地址，发表或更新的期/引用日期(任选)．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 王明亮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中国学术期刊标准化数据库系统工程的[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EB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/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OL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]．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2"/>
        <w:jc w:val="both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.英文参考文献的书写格式如下：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（文献顶格，连续编号，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Times New Roman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体小四号，单倍行距，请注意标点符号）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）单一作者著作的书籍：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[序号]姓，名字首字母.(年). 书名(斜体). 出版社所在城市：出版社.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[1]Sheril, R. D. (1956). The terrifying future: Contemplating color television. San Diego: Halstead.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）两位作者以上合著的书籍：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[序号]姓，名字首字母, &amp;姓，名字首字母.(年). 书名(斜体). 出版社所在城市：出版社.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Smith, J., &amp; Peter, Q. (1992). Hairball: An intensive peek behind the surface of an enigma. Hamilton, ON: McMaster University Press.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28"/>
          <w:szCs w:val="28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）期刊中的文章（非连续页码）：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Crackton, P. (1987). The Loonie: God's long-awaited gift to colourful pocket change? Canadian Change,64(7), 34–37.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（4）期刊中的文章（连续页码）：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[序号]姓，名字首字母.(年). 题目. 期刊名(斜体). 卷号（期号）（斜体），页码.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4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Rottweiler, F. T., &amp; Beauchemin, J. L. (1987). Detroit and Narnia: Two foes on the brink of destruction. Canadian/American Studies Journal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54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5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, 66–146.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（5）月刊杂志中的文章：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5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Henry, W. A., III. (1990, April 9). Making the grade in today's schools. Time,135, 28-31.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（6）文集中的文章：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600"/>
        <w:jc w:val="left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示例：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6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Mcdonalds, A. (1993). Practical methods for the apprehension and sustained containment of supernatural entities. In G. L. Yeager (Ed.), Paranormal and occult studies: Case studies in application (pp. 42–64). London: OtherWorld Books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4C078C"/>
    <w:rsid w:val="4F0F4A0A"/>
    <w:rsid w:val="7CD1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Office_11.1.0.10941_F1E327BC-269C-435d-A152-05C5408002CA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2022-03-30T00:00:12Z</dcterms:created>
  <dc:creator>Administrator</dc:creator>
  <cp:lastModifiedBy>Administrator</cp:lastModifiedBy>
  <dcterms:modified xsi:type="dcterms:W3CDTF">2022-03-30T00:09:42Z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2052-11.1.0.10941</vt:lpwstr>
  </property>
  <property fmtid="{D5CDD505-2E9C-101B-9397-08002B2CF9AE}" pid="3" name="ICV">
    <vt:lpwstr>60958842D30C4B28A428BAE4F70F9771</vt:lpwstr>
  </property>
</Properties>
</file>