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3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3"/>
        <w:gridCol w:w="1712"/>
        <w:gridCol w:w="1705"/>
        <w:gridCol w:w="2233"/>
        <w:gridCol w:w="1417"/>
        <w:gridCol w:w="198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借用部门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行政楼会议室借用申请单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 议 室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   门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 议 室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借用时间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借用事由</w:t>
            </w:r>
          </w:p>
        </w:tc>
        <w:tc>
          <w:tcPr>
            <w:tcW w:w="5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请 人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借用时间</w:t>
            </w:r>
          </w:p>
        </w:tc>
        <w:tc>
          <w:tcPr>
            <w:tcW w:w="5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月   日   时   分至   月   日   时   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请 人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备注：1、请保持会议室设施设备完好，如需调整位置，使用后需及时归位，如有损坏，请及时告知校办工作人员；2、会议结束后，关闭所有电源，门窗，做好室内清洁工作，并通知管理员锁门。谢谢合作！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8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3"/>
                <w:szCs w:val="23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560A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2023-05-11T02:11:28Z</dcterms:created>
  <dc:creator>LYT</dc:creator>
  <cp:lastModifiedBy>皮卡皮卡貅</cp:lastModifiedBy>
  <dcterms:modified xsi:type="dcterms:W3CDTF">2023-05-11T02:11:34Z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B1EC7E75CF414EC4A68F08F88359B8C4_12</vt:lpwstr>
  </property>
</Properties>
</file>