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附件3</w:t>
      </w:r>
    </w:p>
    <w:p>
      <w:pPr>
        <w:spacing w:line="560" w:lineRule="exact"/>
        <w:ind w:firstLine="880" w:firstLineChars="200"/>
        <w:jc w:val="center"/>
        <w:rPr>
          <w:rFonts w:hint="eastAsia" w:ascii="仿宋" w:hAnsi="仿宋" w:eastAsia="仿宋" w:cs="仿宋"/>
          <w:sz w:val="44"/>
          <w:szCs w:val="44"/>
        </w:rPr>
      </w:pPr>
      <w:r>
        <w:rPr>
          <w:rFonts w:hint="eastAsia" w:ascii="仿宋" w:hAnsi="仿宋" w:eastAsia="仿宋" w:cs="仿宋"/>
          <w:sz w:val="44"/>
          <w:szCs w:val="44"/>
        </w:rPr>
        <w:t>创新创业大赛评分标准</w:t>
      </w:r>
    </w:p>
    <w:p>
      <w:pPr>
        <w:spacing w:line="560" w:lineRule="exact"/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</w:rPr>
      </w:pPr>
    </w:p>
    <w:tbl>
      <w:tblPr>
        <w:tblStyle w:val="2"/>
        <w:tblW w:w="9286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6520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评审要点</w:t>
            </w:r>
          </w:p>
        </w:tc>
        <w:tc>
          <w:tcPr>
            <w:tcW w:w="6520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评审内容</w:t>
            </w:r>
          </w:p>
        </w:tc>
        <w:tc>
          <w:tcPr>
            <w:tcW w:w="109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分值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创新性</w:t>
            </w:r>
          </w:p>
        </w:tc>
        <w:tc>
          <w:tcPr>
            <w:tcW w:w="6520" w:type="dxa"/>
            <w:vAlign w:val="center"/>
          </w:tcPr>
          <w:p>
            <w:pPr>
              <w:spacing w:line="594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突出原始创意的价值，不鼓励模仿。强调利用互联网技术、方法和思维在销售、研发、生产、物流、信息、人力、管理等方面寻求突破和创新。鼓励项目与高校科技成果转移转化相结合。</w:t>
            </w:r>
          </w:p>
        </w:tc>
        <w:tc>
          <w:tcPr>
            <w:tcW w:w="109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团队情况</w:t>
            </w:r>
          </w:p>
        </w:tc>
        <w:tc>
          <w:tcPr>
            <w:tcW w:w="6520" w:type="dxa"/>
            <w:vAlign w:val="center"/>
          </w:tcPr>
          <w:p>
            <w:pPr>
              <w:spacing w:line="594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考察管理团队各成员的教育和工作背景、价值观念、擅长领域，成员的分工和业务互补情况；公司的组织构架、人员配置安排是否科学；创业顾问，主要投资人和持股情况；战略合作企业及其与本项目的关系，团队是否具有实现这种突破的具体方案和可能的资源基础。</w:t>
            </w:r>
          </w:p>
        </w:tc>
        <w:tc>
          <w:tcPr>
            <w:tcW w:w="109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商业性</w:t>
            </w:r>
          </w:p>
        </w:tc>
        <w:tc>
          <w:tcPr>
            <w:tcW w:w="6520" w:type="dxa"/>
            <w:vAlign w:val="center"/>
          </w:tcPr>
          <w:p>
            <w:pPr>
              <w:spacing w:line="594" w:lineRule="exact"/>
              <w:ind w:firstLine="640" w:firstLineChars="200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在商业模式方面，强调设计的完整性与可行性，完整地描述商业模式，评测其盈利能力推导过程的合理性。在机会识别与利用、竞争与合作、技术基础、产品或服务设计、资金及人员需求、现行法律法规限制等方面具有可行性。在调查研究方面，考察行业调查研究程度，项目市场、技术等调查工作是否形成一手资料，不鼓励文献调查，强调田野调查和实际操作检验。</w:t>
            </w:r>
          </w:p>
        </w:tc>
        <w:tc>
          <w:tcPr>
            <w:tcW w:w="109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6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带动就业前景</w:t>
            </w:r>
          </w:p>
        </w:tc>
        <w:tc>
          <w:tcPr>
            <w:tcW w:w="6520" w:type="dxa"/>
            <w:vAlign w:val="center"/>
          </w:tcPr>
          <w:p>
            <w:pPr>
              <w:spacing w:line="594" w:lineRule="exact"/>
              <w:ind w:firstLine="640" w:firstLineChars="200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综合考察项目发展战略和规模扩张策略的合理性和可行性，预判项目可能带动社会就业的能力。</w:t>
            </w:r>
          </w:p>
        </w:tc>
        <w:tc>
          <w:tcPr>
            <w:tcW w:w="1098" w:type="dxa"/>
            <w:vAlign w:val="center"/>
          </w:tcPr>
          <w:p>
            <w:pPr>
              <w:spacing w:line="480" w:lineRule="exact"/>
              <w:jc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5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3YzhmZDM2MGNkYWIzMzJkZDkzZDExYmUwYTA5ZTkifQ=="/>
  </w:docVars>
  <w:rsids>
    <w:rsidRoot w:val="00000000"/>
    <w:rsid w:val="0771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2024-05-08T01:36:30Z</dcterms:created>
  <dc:creator>JOWENA</dc:creator>
  <cp:lastModifiedBy>leonidas</cp:lastModifiedBy>
  <dcterms:modified xsi:type="dcterms:W3CDTF">2024-05-08T01:36:38Z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5C0A5D5A4B63464E9166622F5B7AE8BB_12</vt:lpwstr>
  </property>
</Properties>
</file>