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eastAsia="zh-CN"/>
        </w:rPr>
      </w:pPr>
      <w:bookmarkStart w:id="3" w:name="_GoBack"/>
      <w:bookmarkEnd w:id="3"/>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黑体" w:eastAsia="方正小标宋简体" w:cs="黑体"/>
          <w:sz w:val="44"/>
          <w:szCs w:val="44"/>
        </w:rPr>
      </w:pPr>
      <w:r>
        <w:rPr>
          <w:rFonts w:hint="eastAsia" w:ascii="方正小标宋简体" w:hAnsi="黑体" w:eastAsia="方正小标宋简体" w:cs="黑体"/>
          <w:sz w:val="44"/>
          <w:szCs w:val="44"/>
        </w:rPr>
        <w:t>广西普通本科高校新工科研究与实践</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hAnsi="黑体" w:eastAsia="方正小标宋简体" w:cs="黑体"/>
          <w:sz w:val="44"/>
          <w:szCs w:val="44"/>
        </w:rPr>
      </w:pPr>
      <w:r>
        <w:rPr>
          <w:rFonts w:hint="eastAsia" w:ascii="方正小标宋简体" w:hAnsi="黑体" w:eastAsia="方正小标宋简体" w:cs="黑体"/>
          <w:sz w:val="44"/>
          <w:szCs w:val="44"/>
        </w:rPr>
        <w:t>项目申报指南</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b/>
          <w:bCs/>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eastAsia="楷体" w:cs="楷体"/>
          <w:kern w:val="0"/>
          <w:sz w:val="32"/>
          <w:szCs w:val="32"/>
        </w:rPr>
      </w:pPr>
      <w:r>
        <w:rPr>
          <w:rFonts w:hint="eastAsia" w:ascii="楷体" w:eastAsia="楷体" w:cs="楷体"/>
          <w:kern w:val="0"/>
          <w:sz w:val="32"/>
          <w:szCs w:val="32"/>
        </w:rPr>
        <w:t>1.广西经济社会发展对工科人才需求的调研分析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auto"/>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Times New Roman" w:eastAsia="仿宋" w:cs="仿宋"/>
          <w:kern w:val="0"/>
          <w:sz w:val="32"/>
          <w:szCs w:val="32"/>
        </w:rPr>
        <w:t>围绕</w:t>
      </w:r>
      <w:r>
        <w:rPr>
          <w:rFonts w:hint="eastAsia" w:ascii="仿宋" w:hAnsi="仿宋" w:eastAsia="仿宋" w:cs="仿宋"/>
          <w:color w:val="000000"/>
          <w:kern w:val="0"/>
          <w:sz w:val="32"/>
          <w:szCs w:val="32"/>
          <w:lang w:bidi="ar"/>
        </w:rPr>
        <w:t>广西经济社会发展需求，</w:t>
      </w:r>
      <w:r>
        <w:rPr>
          <w:rFonts w:hint="eastAsia" w:ascii="仿宋" w:hAnsi="仿宋" w:eastAsia="仿宋" w:cs="仿宋"/>
          <w:color w:val="auto"/>
          <w:kern w:val="0"/>
          <w:sz w:val="32"/>
          <w:szCs w:val="32"/>
          <w:lang w:bidi="ar"/>
        </w:rPr>
        <w:t>针对广西重点产业集群，以及新技术、新产业、新业态和新模式，进行分行业、分区域、大规模的行业企业调研，为广西高校工科专业设置和人才培养提供依据和指导。</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auto"/>
          <w:kern w:val="0"/>
          <w:sz w:val="32"/>
          <w:szCs w:val="32"/>
          <w:lang w:bidi="ar"/>
        </w:rPr>
      </w:pPr>
      <w:r>
        <w:rPr>
          <w:rFonts w:hint="eastAsia" w:ascii="仿宋" w:hAnsi="仿宋" w:eastAsia="仿宋" w:cs="仿宋"/>
          <w:b/>
          <w:bCs/>
          <w:color w:val="auto"/>
          <w:kern w:val="0"/>
          <w:sz w:val="32"/>
          <w:szCs w:val="32"/>
          <w:lang w:bidi="ar"/>
        </w:rPr>
        <w:t>内容：</w:t>
      </w:r>
      <w:r>
        <w:rPr>
          <w:rFonts w:hint="eastAsia" w:ascii="仿宋" w:hAnsi="仿宋" w:eastAsia="仿宋" w:cs="仿宋"/>
          <w:color w:val="auto"/>
          <w:kern w:val="0"/>
          <w:sz w:val="32"/>
          <w:szCs w:val="32"/>
          <w:lang w:bidi="ar"/>
        </w:rPr>
        <w:t>围绕广西经济社会发展总体布局和相关规划，调研机械、汽车、冶金、有色等重点产业，大数据、云计算、物联网、人工智能等新技术和智能制造、集成电路、空天海洋、生物医药、新材料、新能源等新产业对人才的需求状况及趋势”，为广西新工科专业设置、结构调整和建设提供数据支撑、建议和发展思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b/>
          <w:bCs/>
          <w:sz w:val="32"/>
          <w:szCs w:val="32"/>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形成结构完整、数据详实的调研报告和咨询报告，专业发展战略，高质量论文等。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eastAsia="楷体" w:cs="楷体"/>
          <w:kern w:val="0"/>
          <w:sz w:val="32"/>
          <w:szCs w:val="32"/>
        </w:rPr>
      </w:pPr>
      <w:r>
        <w:rPr>
          <w:rFonts w:hint="eastAsia" w:ascii="楷体" w:eastAsia="楷体" w:cs="楷体"/>
          <w:kern w:val="0"/>
          <w:sz w:val="32"/>
          <w:szCs w:val="32"/>
        </w:rPr>
        <w:t>2.传统工科专业改造升级探索与实践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：聚焦传统产业改造升级和新兴产业培育发展的需要，推动高新技术与工科专业人才培养的知识、能力、素质要求深度融合，探索工科专业改造升级的实施路径。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研究分析新经济对传统工科专业人才培养提出的新要求，拓展传统专业的内涵和建设重点，重构课程体系，更新教学内容；调整传统工科专业人才培养目标和培养标准；探索传统工科专业信息化、数字化改造的途径与方式；探索传统工科专业多学科交叉改造的途径与方式；面向人工智能、大数据、云计算、物联网等新技术，探索基于现有工科专业改造升级的新方向、新领域。</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：改造升级一批传统工科专业，提交专业培养方案、课程体系、系列教材和实施案例等。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eastAsia="楷体" w:cs="楷体"/>
          <w:kern w:val="0"/>
          <w:sz w:val="32"/>
          <w:szCs w:val="32"/>
        </w:rPr>
      </w:pPr>
      <w:r>
        <w:rPr>
          <w:rFonts w:ascii="楷体" w:eastAsia="楷体" w:cs="楷体"/>
          <w:kern w:val="0"/>
          <w:sz w:val="32"/>
          <w:szCs w:val="32"/>
        </w:rPr>
        <w:t>3.</w:t>
      </w:r>
      <w:r>
        <w:rPr>
          <w:rFonts w:hint="eastAsia" w:ascii="楷体" w:eastAsia="楷体" w:cs="楷体"/>
          <w:kern w:val="0"/>
          <w:sz w:val="32"/>
          <w:szCs w:val="32"/>
        </w:rPr>
        <w:t>未来战略必争领域紧缺人才培养机制探索与实践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立足国家当前“卡脖子”技术和未来战略需求，探索未来战略必争领域紧缺人才培养机制并</w:t>
      </w:r>
      <w:r>
        <w:rPr>
          <w:rFonts w:ascii="仿宋" w:hAnsi="仿宋" w:eastAsia="仿宋" w:cs="仿宋"/>
          <w:color w:val="000000"/>
          <w:kern w:val="0"/>
          <w:sz w:val="32"/>
          <w:szCs w:val="32"/>
          <w:lang w:bidi="ar"/>
        </w:rPr>
        <w:t>进行</w:t>
      </w:r>
      <w:r>
        <w:rPr>
          <w:rFonts w:hint="eastAsia" w:ascii="仿宋" w:hAnsi="仿宋" w:eastAsia="仿宋" w:cs="仿宋"/>
          <w:color w:val="000000"/>
          <w:kern w:val="0"/>
          <w:sz w:val="32"/>
          <w:szCs w:val="32"/>
          <w:lang w:bidi="ar"/>
        </w:rPr>
        <w:t>布局</w:t>
      </w:r>
      <w:r>
        <w:rPr>
          <w:rFonts w:ascii="仿宋" w:hAnsi="仿宋" w:eastAsia="仿宋" w:cs="仿宋"/>
          <w:color w:val="000000"/>
          <w:kern w:val="0"/>
          <w:sz w:val="32"/>
          <w:szCs w:val="32"/>
          <w:lang w:bidi="ar"/>
        </w:rPr>
        <w:t>实践</w:t>
      </w:r>
      <w:r>
        <w:rPr>
          <w:rFonts w:hint="eastAsia" w:ascii="仿宋" w:hAnsi="仿宋" w:eastAsia="仿宋" w:cs="仿宋"/>
          <w:color w:val="000000"/>
          <w:kern w:val="0"/>
          <w:sz w:val="32"/>
          <w:szCs w:val="32"/>
          <w:lang w:bidi="ar"/>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聚焦国家未来战略发展亟待解决和攻克的关键核心技术，超前布局一批相关领域的未来专业，支撑产业变革和保障国家安全，探索人才培养新机制、新模式。加快培养人工智能、集成电路、微电子、智能制造、海洋、网络空间安全、生物医药等战略必争领域人才培养。完善学科专业布局，以新工科理念改造升级一批紧缺人才培养相关学科专业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 w:eastAsia="楷体" w:cs="楷体"/>
          <w:kern w:val="0"/>
          <w:sz w:val="32"/>
          <w:szCs w:val="32"/>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打造若干未来战略必争领域工科相关专业，改造升级一批传统工科专业点，形成人才培养模式改革的实践经验，提交专业培养方案及实施案例等。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eastAsia="楷体" w:cs="楷体"/>
          <w:kern w:val="0"/>
          <w:sz w:val="32"/>
          <w:szCs w:val="32"/>
        </w:rPr>
      </w:pPr>
      <w:r>
        <w:rPr>
          <w:rFonts w:hint="eastAsia" w:ascii="楷体" w:eastAsia="楷体" w:cs="楷体"/>
          <w:kern w:val="0"/>
          <w:sz w:val="32"/>
          <w:szCs w:val="32"/>
        </w:rPr>
        <w:t>4.跨学科、多学科交叉的创新型工程教育组织模式研究与实践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：根据新技术和新产业发展趋势，促进学科交叉与跨界整合，推动学科交叉融合，构建多学科交叉的创新工程教育组织模式。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：研究技术发展规律和产业发展特征，探寻新工业革命时代工程人才培养需求的变化规律；研究新工科与新农科、新医科、新文科的交叉融合模式，探索理工结合、工工交叉、工</w:t>
      </w:r>
      <w:r>
        <w:rPr>
          <w:rFonts w:ascii="仿宋" w:hAnsi="仿宋" w:eastAsia="仿宋" w:cs="仿宋"/>
          <w:color w:val="000000"/>
          <w:kern w:val="0"/>
          <w:sz w:val="32"/>
          <w:szCs w:val="32"/>
          <w:lang w:bidi="ar"/>
        </w:rPr>
        <w:t>医融合、</w:t>
      </w:r>
      <w:r>
        <w:rPr>
          <w:rFonts w:hint="eastAsia" w:ascii="仿宋" w:hAnsi="仿宋" w:eastAsia="仿宋" w:cs="仿宋"/>
          <w:color w:val="000000"/>
          <w:kern w:val="0"/>
          <w:sz w:val="32"/>
          <w:szCs w:val="32"/>
          <w:lang w:bidi="ar"/>
        </w:rPr>
        <w:t>工文渗透、工艺联合等不同学科、专业交叉融合的机制；研究多学科交叉的教学组织模式、学科专业结构重组、产业导向的跨学科交叉人才培养机制等。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：形成产业导向的多学科交叉的创新工程教育体系改革方案，包括学科交叉的专业设置、教学组织模式、人才培养模式、建设与管理模式等。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eastAsia="楷体" w:cs="楷体"/>
          <w:kern w:val="0"/>
          <w:sz w:val="32"/>
          <w:szCs w:val="32"/>
        </w:rPr>
      </w:pPr>
      <w:r>
        <w:rPr>
          <w:rFonts w:hint="eastAsia" w:ascii="楷体" w:eastAsia="楷体" w:cs="楷体"/>
          <w:kern w:val="0"/>
          <w:sz w:val="32"/>
          <w:szCs w:val="32"/>
        </w:rPr>
        <w:t>5.新工科产教融合、校企合作机制模式探索与实践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进一步推动开放式办学，创新工程教育人才培养组织模式，深化产学研合作办学、合作育人、合作就业、合作发展，建立多主体协同育人的管理体制机制。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主动对接广西经济和行业产业发展需求，集聚优质工程教育资源，强化高校、地方政府、行业协会、企业机构等多元主体之间的协同，打破体制壁垒，探索共建共管的组织架构和治理模式，并配套完备的运行制度和组织载体；以提升人才培养质量为主线，以办学模式创新为切入点，以体制机制改革为动力，着力开展“政产学研用”办学模式创新与实践；根据广西产业布局和支柱产业发展规划，结合高校办学特色，打造产教融合、协同育人的工程教育示范样板，形成可推广的改革成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产生一批合作办学</w:t>
      </w:r>
      <w:r>
        <w:rPr>
          <w:rFonts w:ascii="仿宋" w:hAnsi="仿宋" w:eastAsia="仿宋" w:cs="仿宋"/>
          <w:color w:val="000000"/>
          <w:kern w:val="0"/>
          <w:sz w:val="32"/>
          <w:szCs w:val="32"/>
          <w:lang w:bidi="ar"/>
        </w:rPr>
        <w:t>、</w:t>
      </w:r>
      <w:r>
        <w:rPr>
          <w:rFonts w:hint="eastAsia" w:ascii="仿宋" w:hAnsi="仿宋" w:eastAsia="仿宋" w:cs="仿宋"/>
          <w:color w:val="000000"/>
          <w:kern w:val="0"/>
          <w:sz w:val="32"/>
          <w:szCs w:val="32"/>
          <w:lang w:bidi="ar"/>
        </w:rPr>
        <w:t>合作育人、合作就业、合作发展的可推广的标志性成果，形成多元主体有效协同、社会深度参与人才培养的机制和模式。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eastAsia="楷体" w:cs="楷体"/>
          <w:kern w:val="0"/>
          <w:sz w:val="32"/>
          <w:szCs w:val="32"/>
        </w:rPr>
      </w:pPr>
      <w:r>
        <w:rPr>
          <w:rFonts w:hint="eastAsia" w:ascii="楷体" w:eastAsia="楷体" w:cs="楷体"/>
          <w:kern w:val="0"/>
          <w:sz w:val="32"/>
          <w:szCs w:val="32"/>
        </w:rPr>
        <w:t xml:space="preserve">6.面向广西产业急需的现代产业学院建设探索与实践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充分利用区域产业优势、发挥企业等教育主体作用，推动行业特色鲜明、与产业联系紧密的普通本</w:t>
      </w:r>
      <w:r>
        <w:rPr>
          <w:rFonts w:ascii="仿宋" w:hAnsi="仿宋" w:eastAsia="仿宋" w:cs="仿宋"/>
          <w:color w:val="000000"/>
          <w:kern w:val="0"/>
          <w:sz w:val="32"/>
          <w:szCs w:val="32"/>
          <w:lang w:bidi="ar"/>
        </w:rPr>
        <w:t>科</w:t>
      </w:r>
      <w:r>
        <w:rPr>
          <w:rFonts w:hint="eastAsia" w:ascii="仿宋" w:hAnsi="仿宋" w:eastAsia="仿宋" w:cs="仿宋"/>
          <w:color w:val="000000"/>
          <w:kern w:val="0"/>
          <w:sz w:val="32"/>
          <w:szCs w:val="32"/>
          <w:lang w:bidi="ar"/>
        </w:rPr>
        <w:t>高校建立现代产业学院，探索现代产业学院的建设模式，探索多元化办学机制和路径，构建</w:t>
      </w:r>
      <w:r>
        <w:rPr>
          <w:rFonts w:ascii="仿宋" w:hAnsi="仿宋" w:eastAsia="仿宋" w:cs="仿宋"/>
          <w:color w:val="000000"/>
          <w:kern w:val="0"/>
          <w:sz w:val="32"/>
          <w:szCs w:val="32"/>
          <w:lang w:bidi="ar"/>
        </w:rPr>
        <w:t>产教融合多方协同的育人机制</w:t>
      </w:r>
      <w:r>
        <w:rPr>
          <w:rFonts w:hint="eastAsia" w:ascii="仿宋" w:hAnsi="仿宋" w:eastAsia="仿宋" w:cs="仿宋"/>
          <w:color w:val="000000"/>
          <w:kern w:val="0"/>
          <w:sz w:val="32"/>
          <w:szCs w:val="32"/>
          <w:lang w:bidi="ar"/>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精准对接产业链、创新链，精准分析专业与产业链、创新链的对应关系，研究分析高校自身优势，明确服务定位和发展方向，探索多样化的现代产业学院发展路径；围绕区域集聚的产业链和创新链的关键技术和核心需求，深度探索政府搭建平台、校企深度参与的可持续发展模式；</w:t>
      </w:r>
      <w:r>
        <w:rPr>
          <w:rFonts w:ascii="仿宋" w:hAnsi="仿宋" w:eastAsia="仿宋" w:cs="仿宋"/>
          <w:color w:val="000000"/>
          <w:kern w:val="0"/>
          <w:sz w:val="32"/>
          <w:szCs w:val="32"/>
          <w:lang w:bidi="ar"/>
        </w:rPr>
        <w:t>以技术发展逻辑体系构建培养方案，探索任务式、项目式、探究式等培养模式改革</w:t>
      </w:r>
      <w:r>
        <w:rPr>
          <w:rFonts w:hint="eastAsia" w:ascii="仿宋" w:hAnsi="仿宋" w:eastAsia="仿宋" w:cs="仿宋"/>
          <w:color w:val="000000"/>
          <w:kern w:val="0"/>
          <w:sz w:val="32"/>
          <w:szCs w:val="32"/>
          <w:lang w:bidi="ar"/>
        </w:rPr>
        <w:t>；</w:t>
      </w:r>
      <w:r>
        <w:rPr>
          <w:rFonts w:ascii="仿宋" w:hAnsi="仿宋" w:eastAsia="仿宋" w:cs="仿宋"/>
          <w:color w:val="000000"/>
          <w:kern w:val="0"/>
          <w:sz w:val="32"/>
          <w:szCs w:val="32"/>
          <w:lang w:bidi="ar"/>
        </w:rPr>
        <w:t>围绕国家和区域产业布局，建设紧密对接产业链的应用型特色专业（群）</w:t>
      </w:r>
      <w:r>
        <w:rPr>
          <w:rFonts w:hint="eastAsia" w:ascii="仿宋" w:hAnsi="仿宋" w:eastAsia="仿宋" w:cs="仿宋"/>
          <w:color w:val="000000"/>
          <w:kern w:val="0"/>
          <w:sz w:val="32"/>
          <w:szCs w:val="32"/>
          <w:lang w:bidi="ar"/>
        </w:rPr>
        <w:t>；</w:t>
      </w:r>
      <w:r>
        <w:rPr>
          <w:rFonts w:ascii="仿宋" w:hAnsi="仿宋" w:eastAsia="仿宋" w:cs="仿宋"/>
          <w:color w:val="000000"/>
          <w:kern w:val="0"/>
          <w:sz w:val="32"/>
          <w:szCs w:val="32"/>
          <w:lang w:bidi="ar"/>
        </w:rPr>
        <w:t>校企合作建设能够及时响应产业发展需求的课程体系</w:t>
      </w:r>
      <w:r>
        <w:rPr>
          <w:rFonts w:hint="eastAsia" w:ascii="仿宋" w:hAnsi="仿宋" w:eastAsia="仿宋" w:cs="仿宋"/>
          <w:color w:val="000000"/>
          <w:kern w:val="0"/>
          <w:sz w:val="32"/>
          <w:szCs w:val="32"/>
          <w:lang w:bidi="ar"/>
        </w:rPr>
        <w:t>；</w:t>
      </w:r>
      <w:r>
        <w:rPr>
          <w:rFonts w:ascii="仿宋" w:hAnsi="仿宋" w:eastAsia="仿宋" w:cs="仿宋"/>
          <w:color w:val="000000"/>
          <w:kern w:val="0"/>
          <w:sz w:val="32"/>
          <w:szCs w:val="32"/>
          <w:lang w:bidi="ar"/>
        </w:rPr>
        <w:t>建设一批体现产业发展前沿的新形态高质量教材和案例库</w:t>
      </w:r>
      <w:r>
        <w:rPr>
          <w:rFonts w:hint="eastAsia" w:ascii="仿宋" w:hAnsi="仿宋" w:eastAsia="仿宋" w:cs="仿宋"/>
          <w:color w:val="000000"/>
          <w:kern w:val="0"/>
          <w:sz w:val="32"/>
          <w:szCs w:val="32"/>
          <w:lang w:bidi="ar"/>
        </w:rPr>
        <w:t>；</w:t>
      </w:r>
      <w:r>
        <w:rPr>
          <w:rFonts w:ascii="仿宋" w:hAnsi="仿宋" w:eastAsia="仿宋" w:cs="仿宋"/>
          <w:color w:val="000000"/>
          <w:kern w:val="0"/>
          <w:sz w:val="32"/>
          <w:szCs w:val="32"/>
          <w:lang w:bidi="ar"/>
        </w:rPr>
        <w:t>强化“产学研用”体系化设计，建设“浸润式”产学研融合实践平台</w:t>
      </w:r>
      <w:r>
        <w:rPr>
          <w:rFonts w:hint="eastAsia" w:ascii="仿宋" w:hAnsi="仿宋" w:eastAsia="仿宋" w:cs="仿宋"/>
          <w:color w:val="000000"/>
          <w:kern w:val="0"/>
          <w:sz w:val="32"/>
          <w:szCs w:val="32"/>
          <w:lang w:bidi="ar"/>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围绕广西重点产业领域，建设一批</w:t>
      </w:r>
      <w:r>
        <w:rPr>
          <w:rFonts w:ascii="仿宋" w:hAnsi="仿宋" w:eastAsia="仿宋" w:cs="仿宋"/>
          <w:color w:val="000000"/>
          <w:kern w:val="0"/>
          <w:sz w:val="32"/>
          <w:szCs w:val="32"/>
          <w:lang w:bidi="ar"/>
        </w:rPr>
        <w:t>融人才培养、科学研究、技术创新、企业服务、学生创业等功能于一体的</w:t>
      </w:r>
      <w:r>
        <w:rPr>
          <w:rFonts w:hint="eastAsia" w:ascii="仿宋" w:hAnsi="仿宋" w:eastAsia="仿宋" w:cs="仿宋"/>
          <w:color w:val="000000"/>
          <w:kern w:val="0"/>
          <w:sz w:val="32"/>
          <w:szCs w:val="32"/>
          <w:lang w:bidi="ar"/>
        </w:rPr>
        <w:t>示范性</w:t>
      </w:r>
      <w:r>
        <w:rPr>
          <w:rFonts w:ascii="仿宋" w:hAnsi="仿宋" w:eastAsia="仿宋" w:cs="仿宋"/>
          <w:color w:val="000000"/>
          <w:kern w:val="0"/>
          <w:sz w:val="32"/>
          <w:szCs w:val="32"/>
          <w:lang w:bidi="ar"/>
        </w:rPr>
        <w:t>现代产业学院</w:t>
      </w:r>
      <w:r>
        <w:rPr>
          <w:rFonts w:hint="eastAsia" w:ascii="仿宋" w:hAnsi="仿宋" w:eastAsia="仿宋" w:cs="仿宋"/>
          <w:color w:val="000000"/>
          <w:kern w:val="0"/>
          <w:sz w:val="32"/>
          <w:szCs w:val="32"/>
          <w:lang w:bidi="ar"/>
        </w:rPr>
        <w:t>，</w:t>
      </w:r>
      <w:r>
        <w:rPr>
          <w:rFonts w:ascii="仿宋" w:hAnsi="仿宋" w:eastAsia="仿宋" w:cs="仿宋"/>
          <w:color w:val="000000"/>
          <w:kern w:val="0"/>
          <w:sz w:val="32"/>
          <w:szCs w:val="32"/>
          <w:lang w:bidi="ar"/>
        </w:rPr>
        <w:t>为提高</w:t>
      </w:r>
      <w:r>
        <w:rPr>
          <w:rFonts w:hint="eastAsia" w:ascii="仿宋" w:hAnsi="仿宋" w:eastAsia="仿宋" w:cs="仿宋"/>
          <w:color w:val="000000"/>
          <w:kern w:val="0"/>
          <w:sz w:val="32"/>
          <w:szCs w:val="32"/>
          <w:lang w:bidi="ar"/>
        </w:rPr>
        <w:t>广西</w:t>
      </w:r>
      <w:r>
        <w:rPr>
          <w:rFonts w:ascii="仿宋" w:hAnsi="仿宋" w:eastAsia="仿宋" w:cs="仿宋"/>
          <w:color w:val="000000"/>
          <w:kern w:val="0"/>
          <w:sz w:val="32"/>
          <w:szCs w:val="32"/>
          <w:lang w:bidi="ar"/>
        </w:rPr>
        <w:t>产业竞争力和汇聚发展新动能提供人才支持和智力支撑。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eastAsia="楷体" w:cs="楷体"/>
          <w:kern w:val="0"/>
          <w:sz w:val="32"/>
          <w:szCs w:val="32"/>
        </w:rPr>
      </w:pPr>
      <w:r>
        <w:rPr>
          <w:rFonts w:hint="eastAsia" w:ascii="楷体" w:eastAsia="楷体" w:cs="楷体"/>
          <w:kern w:val="0"/>
          <w:sz w:val="32"/>
          <w:szCs w:val="32"/>
        </w:rPr>
        <w:t>7.普通本科高校教师与行业人才双向交流机制探索与实践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开展高校教师与行业人才双向交流，探索交流形式、实施机制、效果评价机制等，搭建工科教师挂职锻炼、产学研合作等工程实践平台，打造“双师双能型”教师培养培训基地，构建多层次教师培训体系。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探索选聘行业协会、企业业务骨干、优秀技术和管理人才到高校专职兼职任教的实施与评价机制；探索实施产业教师（导师）特设岗位计划；设置一定数量的流动岗位吸引企业一线的实践经验丰富的科技人员加盟，探索完善专兼职教师引进、认证与使用机制；鼓励人才合理流动，积极支持教师到企业兼职、挂职，不断提升专业综合能力；围绕提高教师工程实践能力，探索教师轮换制度和到合作行业企业的轮训制度；探索行业企业牵头的师资培训项目的运行机制；探索建设“双师双能型”教师培养培训基地，尤其探索如何将现代产业学院建设成培养培训基地；探索“学历教育+企业实训”的师资培训方法及相应的人事制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形成高质量的研究报告和管理机制汇编，形成代表性教师培养培训基地，形成多种形式的高校教师与行业人才双向交流项目等。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eastAsia="楷体" w:cs="楷体"/>
          <w:kern w:val="0"/>
          <w:sz w:val="32"/>
          <w:szCs w:val="32"/>
        </w:rPr>
      </w:pPr>
      <w:r>
        <w:rPr>
          <w:rFonts w:ascii="楷体" w:eastAsia="楷体" w:cs="楷体"/>
          <w:kern w:val="0"/>
          <w:sz w:val="32"/>
          <w:szCs w:val="32"/>
        </w:rPr>
        <w:t>8.</w:t>
      </w:r>
      <w:r>
        <w:rPr>
          <w:rFonts w:hint="eastAsia" w:ascii="楷体" w:eastAsia="楷体" w:cs="楷体"/>
          <w:kern w:val="0"/>
          <w:sz w:val="32"/>
          <w:szCs w:val="32"/>
        </w:rPr>
        <w:t>新工科人才创新创业教育实践平台开发与保障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强化工科学生创新创业实践，建设基于工科优势特色的创新创业平台，建立健全学生创新创业条件和帮扶体系，形成推动创新创业成果转化应用的机制模式。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建设多主体参与、校内外资源共享的创新创业教育实践基地;探索创新创业教育实践基地的科学化、规范化管理;将“大学生创新创业训练计划”等激发工科学生技术创新潜能的训练项目或赛事与新工科人才培养有机结合;建设创客空间、孵化基地等多种形式的创新创业教育实践平台和社会对接平台;探索创业导师、创投资金、政策帮扶等资源保障机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建设若干新工科教育创新创业实践基地平台，形成可推广的创新创业实践基地管理机制方案，提出创新创业教育社会资源条件与机制保障的对策建议等。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eastAsia="楷体" w:cs="楷体"/>
          <w:kern w:val="0"/>
          <w:sz w:val="32"/>
          <w:szCs w:val="32"/>
        </w:rPr>
      </w:pPr>
      <w:r>
        <w:rPr>
          <w:rFonts w:ascii="楷体" w:eastAsia="楷体" w:cs="楷体"/>
          <w:kern w:val="0"/>
          <w:sz w:val="32"/>
          <w:szCs w:val="32"/>
        </w:rPr>
        <w:t>9.</w:t>
      </w:r>
      <w:r>
        <w:rPr>
          <w:rFonts w:hint="eastAsia" w:ascii="楷体" w:eastAsia="楷体" w:cs="楷体"/>
          <w:kern w:val="0"/>
          <w:sz w:val="32"/>
          <w:szCs w:val="32"/>
        </w:rPr>
        <w:t>面向新工科的工程实践教育体系与实践平台构建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：构建新工科人才实践能力、创新创业能力培养的工程实践教育体系与实践平台。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围绕工科学生工程实践能力、创意创新创业能力培养的目标，从课程设置、实习实训安排、经费投入、体制机制、雇主反馈等关键环节开展调查，深入分析广西工科学生工程实践能力和创意创新创业能力的现状与问题；推进基于成果导向的工科学生工程实践能力培养，设计评价体系，指导改革实践；从政策配套、学校体制机制、企业深度参与等维度提出相关对策建议；提升工科学生创意思维、创新精神、创业意识和创新创业能力的方案与路径；探索建立跨院系、跨学科、跨专业交叉培养创新创业人才的新机制；总结创新创业教育与专业教育融合的多样化人才培养模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：形成可推广的工程实践教育体系与实践平台，工科学生创意创新创业能力培养实施方案，有针对性、可操作的评价体系、对策建议报告、调研报告、案例集等。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eastAsia="楷体" w:cs="楷体"/>
          <w:kern w:val="0"/>
          <w:sz w:val="32"/>
          <w:szCs w:val="32"/>
        </w:rPr>
      </w:pPr>
      <w:r>
        <w:rPr>
          <w:rFonts w:hint="eastAsia" w:ascii="楷体" w:eastAsia="楷体" w:cs="楷体"/>
          <w:kern w:val="0"/>
          <w:sz w:val="32"/>
          <w:szCs w:val="32"/>
        </w:rPr>
        <w:t>10.结果导向的实习实训保障制度体系建设探索与实践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完善行业企业、社会服务机构、研究机构等接受普通</w:t>
      </w:r>
      <w:r>
        <w:rPr>
          <w:rFonts w:ascii="仿宋" w:hAnsi="仿宋" w:eastAsia="仿宋" w:cs="仿宋"/>
          <w:color w:val="000000"/>
          <w:kern w:val="0"/>
          <w:sz w:val="32"/>
          <w:szCs w:val="32"/>
          <w:lang w:bidi="ar"/>
        </w:rPr>
        <w:t>本科</w:t>
      </w:r>
      <w:r>
        <w:rPr>
          <w:rFonts w:hint="eastAsia" w:ascii="仿宋" w:hAnsi="仿宋" w:eastAsia="仿宋" w:cs="仿宋"/>
          <w:color w:val="000000"/>
          <w:kern w:val="0"/>
          <w:sz w:val="32"/>
          <w:szCs w:val="32"/>
          <w:lang w:bidi="ar"/>
        </w:rPr>
        <w:t>高校学生实习实训的保障制度和政策体系，开展实习实训改革试点，为完善大学生实习实践的制度奠定实践基础。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完善行业企业开展产学合作的保障措施和激励机制，引导地方政府、行业企业、科研机构等接受大学生实习实训；通过引进企业研发、生产基地，建成兼具生产、教学和研发功能的校企一体、产学研用协同的大型实验实训实习中心和培训基地；统筹各类实践教学资源，构建功能集约、资源共享、开放充分、运作高效的专业类或跨专业类实验教学中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建设集教育、培训、研究及生产为一体的共享型人才培养实践平台；紧贴行业人才培养要求，建设一批具有专业特色的实习实训基地；形成大学生实习实训保障制度体系。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eastAsia="楷体" w:cs="楷体"/>
          <w:kern w:val="0"/>
          <w:sz w:val="32"/>
          <w:szCs w:val="32"/>
        </w:rPr>
      </w:pPr>
      <w:r>
        <w:rPr>
          <w:rFonts w:ascii="楷体" w:eastAsia="楷体" w:cs="楷体"/>
          <w:kern w:val="0"/>
          <w:sz w:val="32"/>
          <w:szCs w:val="32"/>
        </w:rPr>
        <w:t>11.</w:t>
      </w:r>
      <w:r>
        <w:rPr>
          <w:rFonts w:hint="eastAsia" w:ascii="楷体" w:eastAsia="楷体" w:cs="楷体"/>
          <w:kern w:val="0"/>
          <w:sz w:val="32"/>
          <w:szCs w:val="32"/>
        </w:rPr>
        <w:t>新工科个性化人才培养模式探索与实践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：落实以学生为中心的理念，满足学生的个性化需求，探索形成以学习者为中心的工程教育模式。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调研分析互联网时代大学生的思维方式、行为方式、学习目标和方法，总结借鉴国内外高校个性化人才培养的成功经验；提供丰富多样的课程与教学资源，鼓励学生在导师指导下自主规划职业发展，允许学生选择专业和自由组合课程；总结借鉴“卓越计划”</w:t>
      </w:r>
      <w:r>
        <w:rPr>
          <w:rFonts w:ascii="楷体" w:hAnsi="楷体" w:eastAsia="楷体" w:cs="楷体"/>
          <w:color w:val="000000"/>
          <w:kern w:val="0"/>
          <w:sz w:val="32"/>
          <w:szCs w:val="32"/>
          <w:lang w:bidi="ar"/>
        </w:rPr>
        <w:t>“</w:t>
      </w:r>
      <w:r>
        <w:rPr>
          <w:rFonts w:hint="eastAsia" w:ascii="仿宋" w:hAnsi="仿宋" w:eastAsia="仿宋" w:cs="仿宋"/>
          <w:color w:val="000000"/>
          <w:kern w:val="0"/>
          <w:sz w:val="32"/>
          <w:szCs w:val="32"/>
          <w:lang w:bidi="ar"/>
        </w:rPr>
        <w:t>拔尖计划</w:t>
      </w:r>
      <w:r>
        <w:rPr>
          <w:rFonts w:hint="eastAsia" w:ascii="楷体" w:hAnsi="楷体" w:eastAsia="楷体" w:cs="楷体"/>
          <w:color w:val="000000"/>
          <w:kern w:val="0"/>
          <w:sz w:val="32"/>
          <w:szCs w:val="32"/>
          <w:lang w:bidi="ar"/>
        </w:rPr>
        <w:t>”</w:t>
      </w:r>
      <w:r>
        <w:rPr>
          <w:rFonts w:hint="eastAsia" w:ascii="仿宋" w:hAnsi="仿宋" w:eastAsia="仿宋" w:cs="仿宋"/>
          <w:color w:val="000000"/>
          <w:kern w:val="0"/>
          <w:sz w:val="32"/>
          <w:szCs w:val="32"/>
          <w:lang w:bidi="ar"/>
        </w:rPr>
        <w:t>等教学改革经验，探索新工科个性化人才培养模式，充分展示学生天赋特长；研究制定自主设计培养方案和自创专业的标准和程序，建立必要的支撑保障条件；完善个性化的人才培养质量评价，推进课程体系与培养方案持续改进；面向产业高层次工程科技人才需求，探索本科和</w:t>
      </w:r>
      <w:r>
        <w:rPr>
          <w:rFonts w:ascii="仿宋" w:hAnsi="仿宋" w:eastAsia="仿宋" w:cs="仿宋"/>
          <w:color w:val="000000"/>
          <w:kern w:val="0"/>
          <w:sz w:val="32"/>
          <w:szCs w:val="32"/>
          <w:lang w:bidi="ar"/>
        </w:rPr>
        <w:t>研究生</w:t>
      </w:r>
      <w:r>
        <w:rPr>
          <w:rFonts w:hint="eastAsia" w:ascii="仿宋" w:hAnsi="仿宋" w:eastAsia="仿宋" w:cs="仿宋"/>
          <w:color w:val="000000"/>
          <w:kern w:val="0"/>
          <w:sz w:val="32"/>
          <w:szCs w:val="32"/>
          <w:lang w:bidi="ar"/>
        </w:rPr>
        <w:t>分段衔接的知识结构、课程体系、培养模式及配套制度体系。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 w:eastAsia="楷体" w:cs="楷体"/>
          <w:kern w:val="0"/>
          <w:sz w:val="32"/>
          <w:szCs w:val="32"/>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：完成研究报告，形成人才培养方案、管理模式和运行机制，提供基于案例、数据的实践经验等。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eastAsia="楷体" w:cs="楷体"/>
          <w:kern w:val="0"/>
          <w:sz w:val="32"/>
          <w:szCs w:val="32"/>
        </w:rPr>
      </w:pPr>
      <w:r>
        <w:rPr>
          <w:rFonts w:ascii="楷体" w:eastAsia="楷体" w:cs="楷体"/>
          <w:kern w:val="0"/>
          <w:sz w:val="32"/>
          <w:szCs w:val="32"/>
        </w:rPr>
        <w:t>12.</w:t>
      </w:r>
      <w:r>
        <w:rPr>
          <w:rFonts w:hint="eastAsia" w:ascii="楷体" w:eastAsia="楷体" w:cs="楷体"/>
          <w:kern w:val="0"/>
          <w:sz w:val="32"/>
          <w:szCs w:val="32"/>
        </w:rPr>
        <w:t>新工科通识教育课程体系构建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：根据新工科人才培养定位，构建面向新工科的通识教育课程体系。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 xml:space="preserve">：依据新工科人才培养的要求，针对工科专业的基础课程体系进行整合、优化、重组，提高学生的学习效率和效果；探索如何有效培养工科学生批判性思维、设计思维、工程思维、数字化思维、工程管理思维、工程伦理、跨文化沟通素养等；研究新工科人才应具备的数字化思维与能力，面向非计算机类工科专业开展计算机通识课程体系的改革实践；研究优质通识教育课程资源的信息化建设等。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 w:eastAsia="楷体" w:cs="楷体"/>
          <w:kern w:val="0"/>
          <w:sz w:val="32"/>
          <w:szCs w:val="32"/>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：形成新工科专业通识课程综合改革方案；建设一系列新工科通识课程；开发通识教育资源共享与教学管理平台等。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eastAsia="楷体" w:cs="楷体"/>
          <w:kern w:val="0"/>
          <w:sz w:val="32"/>
          <w:szCs w:val="32"/>
        </w:rPr>
      </w:pPr>
      <w:r>
        <w:rPr>
          <w:rFonts w:ascii="楷体" w:eastAsia="楷体" w:cs="楷体"/>
          <w:kern w:val="0"/>
          <w:sz w:val="32"/>
          <w:szCs w:val="32"/>
        </w:rPr>
        <w:t>13.</w:t>
      </w:r>
      <w:r>
        <w:rPr>
          <w:rFonts w:hint="eastAsia" w:ascii="楷体" w:eastAsia="楷体" w:cs="楷体"/>
          <w:kern w:val="0"/>
          <w:sz w:val="32"/>
          <w:szCs w:val="32"/>
        </w:rPr>
        <w:t>新工科通专融合课程及教材体系建设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 w:eastAsia="楷体" w:cs="楷体"/>
          <w:kern w:val="0"/>
          <w:sz w:val="32"/>
          <w:szCs w:val="32"/>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构建适应新工科人才培养要求的模块化课程体系，以及与之配套的专业教育和通识教育教材体系。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依据新工科人才培养理念与要求，系统梳理新工科专业知识逻辑体系，构建以项目为链条的模块化课程体系，科学设计新工科通专融合的课程体系。从学生主体认知特点出发，构建节点化、关联化的教材知识结构体系，有机融入课程思政有关要求，注重凝练本土化案例，弘扬大国工匠精神，培育工程伦理意识；吸纳相关领域理论知识与实践成果，凸显前沿性、交叉性与综合性的教材内容;探索适应现代化教育教学手段的数字化、新形态教材形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构建新工科专业通专融合的课程体系;编写出版新工科专业教育系列教材、通识教育系列教材。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eastAsia="楷体" w:cs="楷体"/>
          <w:kern w:val="0"/>
          <w:sz w:val="32"/>
          <w:szCs w:val="32"/>
        </w:rPr>
      </w:pPr>
      <w:r>
        <w:rPr>
          <w:rFonts w:hint="eastAsia" w:ascii="楷体" w:eastAsia="楷体" w:cs="楷体"/>
          <w:kern w:val="0"/>
          <w:sz w:val="32"/>
          <w:szCs w:val="32"/>
        </w:rPr>
        <w:t>14.新工科建设创新创业教育类课程体系建设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根据新工科人才培养定位和创新创业教育目标要求，丰富创新创业教育课程资源，构建与新工科建设课程体系相融合的创新创业教育课程体系。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与新工科专业教育有机互融的创新创业课程体系设计；重点培养工科学生设计思维、工程思维、批判性思维和数字思维的课程开发；适应于创新创业教育的多样化、现代化教学方法和考核评价方法改进；优质创新创业教育课程资源的信息化建设；创新创业课程重点教材编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 w:eastAsia="楷体" w:cs="楷体"/>
          <w:kern w:val="0"/>
          <w:sz w:val="32"/>
          <w:szCs w:val="32"/>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建设一批新工科教育创新创业类课程；开发创新创业教学资源共享与教学管理平台；出版具有科学性、先进性、适用性的创新创业教育重点教材。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eastAsia="楷体" w:cs="楷体"/>
          <w:kern w:val="0"/>
          <w:sz w:val="32"/>
          <w:szCs w:val="32"/>
        </w:rPr>
      </w:pPr>
      <w:r>
        <w:rPr>
          <w:rFonts w:ascii="楷体" w:eastAsia="楷体" w:cs="楷体"/>
          <w:kern w:val="0"/>
          <w:sz w:val="32"/>
          <w:szCs w:val="32"/>
        </w:rPr>
        <w:t>15.</w:t>
      </w:r>
      <w:r>
        <w:rPr>
          <w:rFonts w:hint="eastAsia" w:ascii="楷体" w:eastAsia="楷体" w:cs="楷体"/>
          <w:kern w:val="0"/>
          <w:sz w:val="32"/>
          <w:szCs w:val="32"/>
        </w:rPr>
        <w:t>新形态复合型教育教学资源体系构建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落实“学生中心、产出导向、持续改进”的理念，结合新形态下的工程教育教学特点，开展新工科教育教学资源、专业资源库建设的理论与实践研究。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以学生发展为中心，探索新形态下新兴专业、交叉融合专业的教育教学资源建设方式与路径;以产出为导向，推进新形态下工程教育教学资源的应用与实践研究，在快速迭代、自组织体不断涌现的时代背景下开展教育资源建设的效益、效率研究;秉持持续改进的理念，结合新工科教育发展规律，探索传统优势专业、新兴交叉专业等各类教育教学资源、资源库的建设模式与路径,为进一步深化应用新工科教育资源提供理论与实践依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形成系列研究案例、研究报告、教育教学资源平台或资源库等。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eastAsia="楷体" w:cs="楷体"/>
          <w:kern w:val="0"/>
          <w:sz w:val="32"/>
          <w:szCs w:val="32"/>
        </w:rPr>
      </w:pPr>
      <w:r>
        <w:rPr>
          <w:rFonts w:ascii="楷体" w:eastAsia="楷体" w:cs="楷体"/>
          <w:kern w:val="0"/>
          <w:sz w:val="32"/>
          <w:szCs w:val="32"/>
        </w:rPr>
        <w:t>16.</w:t>
      </w:r>
      <w:r>
        <w:rPr>
          <w:rFonts w:hint="eastAsia" w:ascii="楷体" w:eastAsia="楷体" w:cs="楷体"/>
          <w:kern w:val="0"/>
          <w:sz w:val="32"/>
          <w:szCs w:val="32"/>
        </w:rPr>
        <w:t>新兴技术范式下的教师教学方法创新与实践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深入推进信息技术与教育教学的深度融合，探索人工智能、云计算、物联网、虚拟现实、数据挖掘等新兴技术促进教与学的方法与路径。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围绕混合式学习、在线开放课程、MOOC (大规模在线开放课程)、SPOC(小规模视频公开课)、翻转课堂等，从学习者的“学”出发，探究智慧环境下新工科专业的课堂教学模式改革;推进新兴技术在新工科教育教学中的深度融合性应用，探索人工智能+教育”“互联网+教育”教学模式，开展基于云计算、物联网、虚拟仿真、教育大数据等新兴技术的教学应用研究;研究新兴技术促进工程教育实验教学、实践教学的方法与路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形成相关教学模式、教学方法、学习方法、教学制度改革创新的方案和典型案例等。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eastAsia="楷体" w:cs="楷体"/>
          <w:kern w:val="0"/>
          <w:sz w:val="32"/>
          <w:szCs w:val="32"/>
        </w:rPr>
      </w:pPr>
      <w:r>
        <w:rPr>
          <w:rFonts w:hint="eastAsia" w:ascii="楷体" w:eastAsia="楷体" w:cs="楷体"/>
          <w:kern w:val="0"/>
          <w:sz w:val="32"/>
          <w:szCs w:val="32"/>
        </w:rPr>
        <w:t>17.工科专业类教学指导委员会分类推进新工科建设的研究与实践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充分发挥广西普通</w:t>
      </w:r>
      <w:r>
        <w:rPr>
          <w:rFonts w:ascii="仿宋" w:hAnsi="仿宋" w:eastAsia="仿宋" w:cs="仿宋"/>
          <w:color w:val="000000"/>
          <w:kern w:val="0"/>
          <w:sz w:val="32"/>
          <w:szCs w:val="32"/>
          <w:lang w:bidi="ar"/>
        </w:rPr>
        <w:t>本科</w:t>
      </w:r>
      <w:r>
        <w:rPr>
          <w:rFonts w:hint="eastAsia" w:ascii="仿宋" w:hAnsi="仿宋" w:eastAsia="仿宋" w:cs="仿宋"/>
          <w:color w:val="000000"/>
          <w:kern w:val="0"/>
          <w:sz w:val="32"/>
          <w:szCs w:val="32"/>
          <w:lang w:bidi="ar"/>
        </w:rPr>
        <w:t>高校工科专业类教学指导委员会作用，统筹各领域相关高校，分类推进新工科建设。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在全面分析广西产业需求和技术趋势的基础上，对广西传统工科专业改造升级和新兴工科专业建设提出建议；探索满足不同人才培养定位的差异化培养方案，修订或制订专业质量标准；组织开展新工科建设的经验交流，提炼形成可推广、可复制的经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 w:eastAsia="楷体" w:cs="楷体"/>
          <w:kern w:val="0"/>
          <w:sz w:val="32"/>
          <w:szCs w:val="32"/>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工科专业类课程体系、培养模式改革的实施方案，提出分类推进新工科建设的政策建议等。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eastAsia="楷体" w:cs="楷体"/>
          <w:kern w:val="0"/>
          <w:sz w:val="32"/>
          <w:szCs w:val="32"/>
        </w:rPr>
      </w:pPr>
      <w:r>
        <w:rPr>
          <w:rFonts w:hint="eastAsia" w:ascii="楷体" w:eastAsia="楷体" w:cs="楷体"/>
          <w:kern w:val="0"/>
          <w:sz w:val="32"/>
          <w:szCs w:val="32"/>
        </w:rPr>
        <w:t>1</w:t>
      </w:r>
      <w:r>
        <w:rPr>
          <w:rFonts w:ascii="楷体" w:eastAsia="楷体" w:cs="楷体"/>
          <w:kern w:val="0"/>
          <w:sz w:val="32"/>
          <w:szCs w:val="32"/>
        </w:rPr>
        <w:t>8.</w:t>
      </w:r>
      <w:r>
        <w:rPr>
          <w:rFonts w:hint="eastAsia" w:ascii="楷体" w:eastAsia="楷体" w:cs="楷体"/>
          <w:kern w:val="0"/>
          <w:sz w:val="32"/>
          <w:szCs w:val="32"/>
        </w:rPr>
        <w:t>广西新工科教育共同体建设及实践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探索组建新工科教育广西共同体，提升新工科教育对广西经济社会发展的支撑和服务能力。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广西新工科教育共同体建设的框架设计、合作模式、合作机制、相关利益主体作用发挥等;广西新工科教育共同体建设中国家政策、法律法规、相关制度研究与应用;广西新工科教育共同体建设中的教育治理机制和模式、质量标准和质量保障体系构建、资金支持、大数据平台建设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研究报告、高质量论文;新工科教育广西共同体建设和日常运行。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eastAsia="楷体" w:cs="楷体"/>
          <w:kern w:val="0"/>
          <w:sz w:val="32"/>
          <w:szCs w:val="32"/>
        </w:rPr>
      </w:pPr>
      <w:r>
        <w:rPr>
          <w:rFonts w:ascii="楷体" w:eastAsia="楷体" w:cs="楷体"/>
          <w:kern w:val="0"/>
          <w:sz w:val="32"/>
          <w:szCs w:val="32"/>
        </w:rPr>
        <w:t>19.</w:t>
      </w:r>
      <w:r>
        <w:rPr>
          <w:rFonts w:hint="eastAsia" w:ascii="楷体" w:eastAsia="楷体" w:cs="楷体"/>
          <w:kern w:val="0"/>
          <w:sz w:val="32"/>
          <w:szCs w:val="32"/>
        </w:rPr>
        <w:t>面向东盟新工科教育共同体建设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：面向“中国-东盟信息港”建设需求，探索组建</w:t>
      </w:r>
      <w:bookmarkStart w:id="0" w:name="_Hlk93303951"/>
      <w:r>
        <w:rPr>
          <w:rFonts w:hint="eastAsia" w:ascii="仿宋" w:hAnsi="仿宋" w:eastAsia="仿宋" w:cs="仿宋"/>
          <w:color w:val="000000"/>
          <w:kern w:val="0"/>
          <w:sz w:val="32"/>
          <w:szCs w:val="32"/>
          <w:lang w:bidi="ar"/>
        </w:rPr>
        <w:t>中国-东盟</w:t>
      </w:r>
      <w:bookmarkEnd w:id="0"/>
      <w:r>
        <w:rPr>
          <w:rFonts w:hint="eastAsia" w:ascii="仿宋" w:hAnsi="仿宋" w:eastAsia="仿宋" w:cs="仿宋"/>
          <w:color w:val="000000"/>
          <w:kern w:val="0"/>
          <w:sz w:val="32"/>
          <w:szCs w:val="32"/>
          <w:lang w:bidi="ar"/>
        </w:rPr>
        <w:t>工科高校战略联盟，搭建中国-东盟工程教育国际合作平台，提升广西工程教育国际影响力和对国家战略的支撑能力。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sz w:val="32"/>
          <w:szCs w:val="32"/>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探索构建中国-东盟工科高校战略联盟，共同打造工程教育共同体，推动中国-东盟国家和地区高校之间在工程人才培养、科学研究、文化交流等方面的全面合作；推动高校与走向东盟的企业实施产学合作育人，培养面向东盟的工程人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打造面向东盟的工程教育国际联盟和工程教育共同体；培养一批认同中国文化、熟悉中国标准的工科留学生；推动具备条件的高校“走出去”，面向东盟国家培养工程科技人才、工程管理人才和工程教育师资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eastAsia="楷体" w:cs="楷体"/>
          <w:kern w:val="0"/>
          <w:sz w:val="32"/>
          <w:szCs w:val="32"/>
        </w:rPr>
      </w:pPr>
      <w:r>
        <w:rPr>
          <w:rFonts w:hint="eastAsia" w:ascii="楷体" w:eastAsia="楷体" w:cs="楷体"/>
          <w:kern w:val="0"/>
          <w:sz w:val="32"/>
          <w:szCs w:val="32"/>
        </w:rPr>
        <w:t>20.广西普通本科高校新工科建设进展和效果研究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跟踪总结广西普通</w:t>
      </w:r>
      <w:r>
        <w:rPr>
          <w:rFonts w:ascii="仿宋" w:hAnsi="仿宋" w:eastAsia="仿宋" w:cs="仿宋"/>
          <w:color w:val="000000"/>
          <w:kern w:val="0"/>
          <w:sz w:val="32"/>
          <w:szCs w:val="32"/>
          <w:lang w:bidi="ar"/>
        </w:rPr>
        <w:t>本科</w:t>
      </w:r>
      <w:r>
        <w:rPr>
          <w:rFonts w:hint="eastAsia" w:ascii="仿宋" w:hAnsi="仿宋" w:eastAsia="仿宋" w:cs="仿宋"/>
          <w:color w:val="000000"/>
          <w:kern w:val="0"/>
          <w:sz w:val="32"/>
          <w:szCs w:val="32"/>
          <w:lang w:bidi="ar"/>
        </w:rPr>
        <w:t>高校新工科建设相关进展和成效，</w:t>
      </w:r>
      <w:r>
        <w:rPr>
          <w:rFonts w:hint="eastAsia" w:ascii="仿宋" w:hAnsi="Times New Roman" w:eastAsia="仿宋" w:cs="仿宋"/>
          <w:kern w:val="0"/>
          <w:sz w:val="32"/>
          <w:szCs w:val="32"/>
        </w:rPr>
        <w:t>总结成功经验，揭示存在问题，提出政策措施。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Times New Roman" w:eastAsia="仿宋" w:cs="仿宋"/>
          <w:kern w:val="0"/>
          <w:sz w:val="32"/>
          <w:szCs w:val="32"/>
        </w:rPr>
      </w:pPr>
      <w:r>
        <w:rPr>
          <w:rFonts w:hint="eastAsia" w:ascii="仿宋" w:hAnsi="仿宋" w:eastAsia="仿宋" w:cs="仿宋"/>
          <w:b/>
          <w:bCs/>
          <w:color w:val="000000"/>
          <w:kern w:val="0"/>
          <w:sz w:val="32"/>
          <w:szCs w:val="32"/>
          <w:lang w:bidi="ar"/>
        </w:rPr>
        <w:t>内容：</w:t>
      </w:r>
      <w:r>
        <w:rPr>
          <w:rFonts w:hint="eastAsia" w:ascii="仿宋" w:hAnsi="Times New Roman" w:eastAsia="仿宋" w:cs="仿宋"/>
          <w:kern w:val="0"/>
          <w:sz w:val="32"/>
          <w:szCs w:val="32"/>
        </w:rPr>
        <w:t>调研改革开放以来广西工程教育改革的实施情况，包括卓越工程师教育培养计划、战略性新兴产业相关专业建设、专业认证、</w:t>
      </w:r>
      <w:r>
        <w:rPr>
          <w:rFonts w:ascii="仿宋" w:hAnsi="Times New Roman" w:eastAsia="仿宋" w:cs="仿宋"/>
          <w:kern w:val="0"/>
          <w:sz w:val="32"/>
          <w:szCs w:val="32"/>
        </w:rPr>
        <w:t>CDIO</w:t>
      </w:r>
      <w:r>
        <w:rPr>
          <w:rFonts w:hint="eastAsia" w:ascii="仿宋" w:hAnsi="Times New Roman" w:eastAsia="仿宋" w:cs="仿宋"/>
          <w:kern w:val="0"/>
          <w:sz w:val="32"/>
          <w:szCs w:val="32"/>
        </w:rPr>
        <w:t>、示范性软件学院和微电子学院等；全面总结广西工程教育改革发展的经验与特色，分析当前广西工程教育面临的问题；</w:t>
      </w:r>
      <w:r>
        <w:rPr>
          <w:rFonts w:hint="eastAsia" w:ascii="仿宋" w:hAnsi="仿宋" w:eastAsia="仿宋" w:cs="仿宋"/>
          <w:color w:val="000000"/>
          <w:kern w:val="0"/>
          <w:sz w:val="32"/>
          <w:szCs w:val="32"/>
          <w:lang w:bidi="ar"/>
        </w:rPr>
        <w:t>调研并跟踪分析广西普通</w:t>
      </w:r>
      <w:r>
        <w:rPr>
          <w:rFonts w:ascii="仿宋" w:hAnsi="仿宋" w:eastAsia="仿宋" w:cs="仿宋"/>
          <w:color w:val="000000"/>
          <w:kern w:val="0"/>
          <w:sz w:val="32"/>
          <w:szCs w:val="32"/>
          <w:lang w:bidi="ar"/>
        </w:rPr>
        <w:t>本科</w:t>
      </w:r>
      <w:r>
        <w:rPr>
          <w:rFonts w:hint="eastAsia" w:ascii="仿宋" w:hAnsi="仿宋" w:eastAsia="仿宋" w:cs="仿宋"/>
          <w:color w:val="000000"/>
          <w:kern w:val="0"/>
          <w:sz w:val="32"/>
          <w:szCs w:val="32"/>
          <w:lang w:bidi="ar"/>
        </w:rPr>
        <w:t>高校新工科建设的计划和实施情况，总结相关经验和实践案例，分析存在问题；</w:t>
      </w:r>
      <w:r>
        <w:rPr>
          <w:rFonts w:hint="eastAsia" w:ascii="仿宋" w:hAnsi="Times New Roman" w:eastAsia="仿宋" w:cs="仿宋"/>
          <w:kern w:val="0"/>
          <w:sz w:val="32"/>
          <w:szCs w:val="32"/>
        </w:rPr>
        <w:t>提出广西新工科发展的对策建议、相关政策和配套措施等。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Times New Roman" w:eastAsia="仿宋" w:cs="仿宋"/>
          <w:kern w:val="0"/>
          <w:sz w:val="32"/>
          <w:szCs w:val="32"/>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广西普通</w:t>
      </w:r>
      <w:r>
        <w:rPr>
          <w:rFonts w:ascii="仿宋" w:hAnsi="仿宋" w:eastAsia="仿宋" w:cs="仿宋"/>
          <w:color w:val="000000"/>
          <w:kern w:val="0"/>
          <w:sz w:val="32"/>
          <w:szCs w:val="32"/>
          <w:lang w:bidi="ar"/>
        </w:rPr>
        <w:t>本科</w:t>
      </w:r>
      <w:r>
        <w:rPr>
          <w:rFonts w:hint="eastAsia" w:ascii="仿宋" w:hAnsi="仿宋" w:eastAsia="仿宋" w:cs="仿宋"/>
          <w:color w:val="000000"/>
          <w:kern w:val="0"/>
          <w:sz w:val="32"/>
          <w:szCs w:val="32"/>
          <w:lang w:bidi="ar"/>
        </w:rPr>
        <w:t>高校新工科建设进展报告、</w:t>
      </w:r>
      <w:r>
        <w:rPr>
          <w:rFonts w:hint="eastAsia" w:ascii="仿宋" w:hAnsi="Times New Roman" w:eastAsia="仿宋" w:cs="仿宋"/>
          <w:kern w:val="0"/>
          <w:sz w:val="32"/>
          <w:szCs w:val="32"/>
        </w:rPr>
        <w:t>研究报告、咨询报告、案例集、高质量论文等。</w:t>
      </w:r>
    </w:p>
    <w:p>
      <w:pPr>
        <w:keepNext w:val="0"/>
        <w:keepLines w:val="0"/>
        <w:pageBreakBefore w:val="0"/>
        <w:kinsoku/>
        <w:wordWrap/>
        <w:overflowPunct/>
        <w:topLinePunct w:val="0"/>
        <w:bidi w:val="0"/>
        <w:spacing w:line="560" w:lineRule="exact"/>
        <w:jc w:val="left"/>
        <w:textAlignment w:val="auto"/>
        <w:rPr>
          <w:rFonts w:hint="eastAsia" w:ascii="黑体" w:hAnsi="黑体" w:eastAsia="黑体" w:cs="黑体"/>
          <w:sz w:val="32"/>
          <w:szCs w:val="32"/>
          <w:lang w:eastAsia="zh-CN"/>
        </w:rPr>
      </w:pPr>
      <w:r>
        <w:rPr>
          <w:rFonts w:hint="eastAsia" w:ascii="仿宋" w:hAnsi="Times New Roman" w:eastAsia="仿宋" w:cs="仿宋"/>
          <w:kern w:val="0"/>
          <w:sz w:val="32"/>
          <w:szCs w:val="3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keepNext w:val="0"/>
        <w:keepLines w:val="0"/>
        <w:pageBreakBefore w:val="0"/>
        <w:kinsoku/>
        <w:wordWrap/>
        <w:overflowPunct/>
        <w:topLinePunct w:val="0"/>
        <w:bidi w:val="0"/>
        <w:spacing w:line="560" w:lineRule="exact"/>
        <w:jc w:val="left"/>
        <w:textAlignment w:val="auto"/>
        <w:rPr>
          <w:rFonts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黑体" w:eastAsia="方正小标宋简体" w:cs="黑体"/>
          <w:sz w:val="44"/>
          <w:szCs w:val="44"/>
        </w:rPr>
      </w:pPr>
      <w:r>
        <w:rPr>
          <w:rFonts w:hint="eastAsia" w:ascii="方正小标宋简体" w:hAnsi="黑体" w:eastAsia="方正小标宋简体" w:cs="黑体"/>
          <w:sz w:val="44"/>
          <w:szCs w:val="44"/>
        </w:rPr>
        <w:t>广西普通本科高校新医科研究与实践</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hAnsi="黑体" w:eastAsia="方正小标宋简体" w:cs="黑体"/>
          <w:sz w:val="44"/>
          <w:szCs w:val="44"/>
        </w:rPr>
      </w:pPr>
      <w:r>
        <w:rPr>
          <w:rFonts w:hint="eastAsia" w:ascii="方正小标宋简体" w:hAnsi="黑体" w:eastAsia="方正小标宋简体" w:cs="黑体"/>
          <w:sz w:val="44"/>
          <w:szCs w:val="44"/>
        </w:rPr>
        <w:t>项目申报指南</w:t>
      </w:r>
    </w:p>
    <w:p>
      <w:pPr>
        <w:keepNext w:val="0"/>
        <w:keepLines w:val="0"/>
        <w:pageBreakBefore w:val="0"/>
        <w:widowControl/>
        <w:numPr>
          <w:ilvl w:val="0"/>
          <w:numId w:val="0"/>
        </w:numPr>
        <w:kinsoku/>
        <w:wordWrap/>
        <w:overflowPunct/>
        <w:topLinePunct w:val="0"/>
        <w:bidi w:val="0"/>
        <w:spacing w:line="560" w:lineRule="exact"/>
        <w:textAlignment w:val="auto"/>
        <w:rPr>
          <w:rFonts w:hint="eastAsia" w:ascii="仿宋" w:hAnsi="仿宋" w:eastAsia="仿宋" w:cs="仿宋"/>
          <w:sz w:val="32"/>
          <w:szCs w:val="32"/>
        </w:rPr>
      </w:pP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1.新医科发展理念研究</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目标：</w:t>
      </w:r>
      <w:r>
        <w:rPr>
          <w:rFonts w:hint="eastAsia" w:ascii="仿宋" w:hAnsi="仿宋" w:eastAsia="仿宋" w:cs="仿宋"/>
          <w:kern w:val="0"/>
          <w:sz w:val="32"/>
          <w:szCs w:val="28"/>
        </w:rPr>
        <w:t>坚持以习近平新时代中国特色社会主义思想为指导推进新医科建设，将医学发展理念从疾病诊疗提升拓展为预防、诊疗和康养，服务生命全周期、健康全过程。</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内容：</w:t>
      </w:r>
      <w:r>
        <w:rPr>
          <w:rFonts w:hint="eastAsia" w:ascii="仿宋" w:hAnsi="仿宋" w:eastAsia="仿宋" w:cs="仿宋"/>
          <w:kern w:val="0"/>
          <w:sz w:val="32"/>
          <w:szCs w:val="28"/>
        </w:rPr>
        <w:t>充分体现“大健康”理念和新科技革命内涵，创新体制机制研究；深入推进各高校思想政治教育，构建医学高校思想政治工作质量体系；扎实推动课程思政建设，探索构建专业课教学与思想政治理论课教学同向同行的育人格局，强化医学生培养新内涵，加强学生救死扶伤的道术、心中有爱的仁术、知识扎实的学术、本领过硬的技术、方法科学的艺术</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教育，培养医德高尚、医术精湛的人民健康守护者。</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预期成果：</w:t>
      </w:r>
      <w:r>
        <w:rPr>
          <w:rFonts w:hint="eastAsia" w:ascii="仿宋" w:hAnsi="仿宋" w:eastAsia="仿宋" w:cs="仿宋"/>
          <w:sz w:val="32"/>
          <w:szCs w:val="32"/>
        </w:rPr>
        <w:t>研究报告、高质量论文、案例集、课程思政示范课程、课程思政优秀教师等。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2.新医科改革与发展研究</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目标</w:t>
      </w:r>
      <w:r>
        <w:rPr>
          <w:rFonts w:hint="eastAsia" w:ascii="仿宋" w:hAnsi="仿宋" w:eastAsia="仿宋" w:cs="仿宋"/>
          <w:kern w:val="0"/>
          <w:sz w:val="32"/>
          <w:szCs w:val="28"/>
        </w:rPr>
        <w:t>：</w:t>
      </w:r>
      <w:r>
        <w:rPr>
          <w:rFonts w:hint="eastAsia" w:ascii="仿宋" w:hAnsi="仿宋" w:eastAsia="仿宋" w:cs="仿宋"/>
          <w:sz w:val="32"/>
          <w:szCs w:val="32"/>
        </w:rPr>
        <w:t>系统总结医学教育发展和医学人才培养的历史经验，总结成功经验，揭示新医科建设面临的机遇和挑战，分析未来发展趋势，提出政策建议。</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kern w:val="0"/>
          <w:sz w:val="32"/>
          <w:szCs w:val="28"/>
        </w:rPr>
        <w:t>内容：</w:t>
      </w:r>
      <w:r>
        <w:rPr>
          <w:rFonts w:hint="eastAsia" w:ascii="仿宋" w:hAnsi="仿宋" w:eastAsia="仿宋" w:cs="仿宋"/>
          <w:sz w:val="32"/>
          <w:szCs w:val="32"/>
        </w:rPr>
        <w:t>深入调研改革开放以来我国医学教育改革的实施情况，包括卓越医生教育培养计划、医教协同、多学科交叉融合、专业认证、现代医药产业学院和医药基础研究创新基地等探索；全面总结我国医学教育改革发展的经验与特色，揭示我国医学教育发展的规律；全面阐述医学史及医学教育史，明确各专业类新医科建设的重点难点问题，研究提出各专业类新医科建设人才培养目标、知识能力素质要求及实现途径，提出新医科发展的对策建议、相关政策和配套措施等。</w:t>
      </w:r>
    </w:p>
    <w:p>
      <w:pPr>
        <w:keepNext w:val="0"/>
        <w:keepLines w:val="0"/>
        <w:pageBreakBefore w:val="0"/>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kern w:val="0"/>
          <w:sz w:val="32"/>
          <w:szCs w:val="28"/>
        </w:rPr>
        <w:t>预期成果：</w:t>
      </w:r>
      <w:r>
        <w:rPr>
          <w:rFonts w:hint="eastAsia" w:ascii="仿宋" w:hAnsi="仿宋" w:eastAsia="仿宋" w:cs="仿宋"/>
          <w:sz w:val="32"/>
          <w:szCs w:val="32"/>
        </w:rPr>
        <w:t>研究报告、咨询报告、案例集、高质量论文等。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3.国内外医学教育发展改革经验比较研究</w:t>
      </w:r>
    </w:p>
    <w:p>
      <w:pPr>
        <w:keepNext w:val="0"/>
        <w:keepLines w:val="0"/>
        <w:pageBreakBefore w:val="0"/>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kern w:val="0"/>
          <w:sz w:val="32"/>
          <w:szCs w:val="28"/>
        </w:rPr>
        <w:t>目标：</w:t>
      </w:r>
      <w:r>
        <w:rPr>
          <w:rFonts w:hint="eastAsia" w:ascii="仿宋" w:hAnsi="仿宋" w:eastAsia="仿宋" w:cs="仿宋"/>
          <w:sz w:val="32"/>
          <w:szCs w:val="32"/>
        </w:rPr>
        <w:t>从国际比较的视野进行总结分析，为我国医学教育改革提供经验和借鉴。</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内容：</w:t>
      </w:r>
      <w:r>
        <w:rPr>
          <w:rFonts w:hint="eastAsia" w:ascii="仿宋" w:hAnsi="仿宋" w:eastAsia="仿宋" w:cs="仿宋"/>
          <w:sz w:val="32"/>
          <w:szCs w:val="32"/>
        </w:rPr>
        <w:t>分析主要发达国家医学教育改革的历史和经验，总结高等医学教育与经济社会发展、新科技革命和产业变革间的互动规律和未来发展趋势，探索推进跨专业、跨学科门类交叉融合的有效路径；从医学教育发展的背景、政策、体制机制、人才培养模式、学科和专业、课程与教学、师资队伍建设、评价体系等维度进行对比分析；总结国际医学教育发展的规律，提供可资借鉴的经验。</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预期成果：</w:t>
      </w:r>
      <w:r>
        <w:rPr>
          <w:rFonts w:hint="eastAsia" w:ascii="仿宋" w:hAnsi="仿宋" w:eastAsia="仿宋" w:cs="仿宋"/>
          <w:sz w:val="32"/>
          <w:szCs w:val="32"/>
        </w:rPr>
        <w:t>研究报告、案例集、高质量论文等。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4.新时代医学学科专业结构布局优化研究与实践</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目标：</w:t>
      </w:r>
      <w:r>
        <w:rPr>
          <w:rFonts w:hint="eastAsia" w:ascii="仿宋" w:hAnsi="仿宋" w:eastAsia="仿宋" w:cs="仿宋"/>
          <w:kern w:val="0"/>
          <w:sz w:val="32"/>
          <w:szCs w:val="28"/>
        </w:rPr>
        <w:t>深化医学专业供给侧改革，建立健全专业动态调整机制；优化学科布局，完善人才需求预测预警机制，推动高校形成就业与招生计划、人才培养的联动机制。</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kern w:val="0"/>
          <w:sz w:val="32"/>
          <w:szCs w:val="28"/>
        </w:rPr>
        <w:t>内容：</w:t>
      </w:r>
      <w:r>
        <w:rPr>
          <w:rFonts w:hint="eastAsia" w:ascii="仿宋" w:hAnsi="仿宋" w:eastAsia="仿宋" w:cs="仿宋"/>
          <w:kern w:val="0"/>
          <w:sz w:val="32"/>
          <w:szCs w:val="28"/>
        </w:rPr>
        <w:t>面向广西医学人才需要和医药行业发展新形式，开展广西医学人才供求调研分析、专业与广西医药产业发展的适配性等研究，为完善广西</w:t>
      </w:r>
      <w:r>
        <w:rPr>
          <w:rFonts w:hint="eastAsia" w:ascii="仿宋" w:hAnsi="仿宋" w:eastAsia="仿宋" w:cs="仿宋"/>
          <w:sz w:val="32"/>
          <w:szCs w:val="32"/>
        </w:rPr>
        <w:t>人才需求预测预警和学科专业动态调整，</w:t>
      </w:r>
      <w:r>
        <w:rPr>
          <w:rFonts w:hint="eastAsia" w:ascii="仿宋" w:hAnsi="仿宋" w:eastAsia="仿宋" w:cs="仿宋"/>
          <w:kern w:val="0"/>
          <w:sz w:val="32"/>
          <w:szCs w:val="28"/>
        </w:rPr>
        <w:t>统筹研究医学相关学科设置，各类紧缺医学专业学生招生规模提出具有操作性的建议和方案；应对新一轮科技革命和产业变革，提升医学人才岗位胜任力，</w:t>
      </w:r>
      <w:r>
        <w:rPr>
          <w:rFonts w:hint="eastAsia" w:ascii="仿宋" w:hAnsi="仿宋" w:eastAsia="仿宋" w:cs="仿宋"/>
          <w:sz w:val="32"/>
          <w:szCs w:val="32"/>
        </w:rPr>
        <w:t>探讨新时代医学人才必须具备的知识能力素质，分类培养研究型、复合型和应用型医学人才，明确各专业类人才的核心能力架构，为高校制定修订人才培养方案提供依据。</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预期成果：</w:t>
      </w:r>
      <w:r>
        <w:rPr>
          <w:rFonts w:hint="eastAsia" w:ascii="仿宋" w:hAnsi="仿宋" w:eastAsia="仿宋" w:cs="仿宋"/>
          <w:kern w:val="0"/>
          <w:sz w:val="32"/>
          <w:szCs w:val="28"/>
        </w:rPr>
        <w:t>调研报告、</w:t>
      </w:r>
      <w:r>
        <w:rPr>
          <w:rFonts w:hint="eastAsia" w:ascii="仿宋" w:hAnsi="仿宋" w:eastAsia="仿宋" w:cs="仿宋"/>
          <w:kern w:val="0"/>
          <w:sz w:val="32"/>
          <w:szCs w:val="32"/>
        </w:rPr>
        <w:t>专业培养方案、课程体系和实施案例等。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5.多学科交叉融合的新医科专业建设探索与实践</w:t>
      </w:r>
    </w:p>
    <w:p>
      <w:pPr>
        <w:keepNext w:val="0"/>
        <w:keepLines w:val="0"/>
        <w:pageBreakBefore w:val="0"/>
        <w:kinsoku/>
        <w:wordWrap/>
        <w:overflowPunct/>
        <w:topLinePunct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目标</w:t>
      </w:r>
      <w:r>
        <w:rPr>
          <w:rFonts w:hint="eastAsia" w:ascii="仿宋" w:hAnsi="仿宋" w:eastAsia="仿宋" w:cs="仿宋"/>
          <w:kern w:val="0"/>
          <w:sz w:val="32"/>
          <w:szCs w:val="28"/>
        </w:rPr>
        <w:t>：</w:t>
      </w:r>
      <w:r>
        <w:rPr>
          <w:rFonts w:hint="eastAsia" w:ascii="仿宋" w:hAnsi="仿宋" w:eastAsia="仿宋" w:cs="仿宋"/>
          <w:kern w:val="0"/>
          <w:sz w:val="32"/>
          <w:szCs w:val="32"/>
        </w:rPr>
        <w:t>根据新技术和新产业发展趋势，促进学科交叉与跨界整合，推动医学专业之间、医科与工科、理科、文科等其他学科专业交叉融合，培育建设一批新的医学相关专业。</w:t>
      </w:r>
    </w:p>
    <w:p>
      <w:pPr>
        <w:keepNext w:val="0"/>
        <w:keepLines w:val="0"/>
        <w:pageBreakBefore w:val="0"/>
        <w:kinsoku/>
        <w:wordWrap/>
        <w:overflowPunct/>
        <w:topLinePunct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内容</w:t>
      </w:r>
      <w:r>
        <w:rPr>
          <w:rFonts w:hint="eastAsia" w:ascii="仿宋" w:hAnsi="仿宋" w:eastAsia="仿宋" w:cs="仿宋"/>
          <w:kern w:val="0"/>
          <w:sz w:val="32"/>
          <w:szCs w:val="28"/>
        </w:rPr>
        <w:t>：</w:t>
      </w:r>
      <w:r>
        <w:rPr>
          <w:rFonts w:hint="eastAsia" w:ascii="仿宋" w:hAnsi="仿宋" w:eastAsia="仿宋" w:cs="仿宋"/>
          <w:kern w:val="0"/>
          <w:sz w:val="32"/>
          <w:szCs w:val="32"/>
        </w:rPr>
        <w:t>探索设置面向新产业、新科技以及民生急需的新兴医学专业；推进基础与临床融通的整合式“5+3”一体化临床医学教育改革，优化课程体系和教学内容；制定以“医学+X”多学科交叉为特征的复合型拔尖创新医学人才培养方案；研究多学科交叉的新兴医科专业对师资队伍的要求以及实现途径。</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预期成果：</w:t>
      </w:r>
      <w:r>
        <w:rPr>
          <w:rFonts w:hint="eastAsia" w:ascii="仿宋" w:hAnsi="仿宋" w:eastAsia="仿宋" w:cs="仿宋"/>
          <w:kern w:val="0"/>
          <w:sz w:val="32"/>
          <w:szCs w:val="32"/>
        </w:rPr>
        <w:t>形成若干新医科专业的设置论证报告，提交专业培养方案、课程体系、系列教材和实施案例等。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6.传统医学专业改造提升路径探索与实践</w:t>
      </w:r>
    </w:p>
    <w:p>
      <w:pPr>
        <w:keepNext w:val="0"/>
        <w:keepLines w:val="0"/>
        <w:pageBreakBefore w:val="0"/>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kern w:val="0"/>
          <w:sz w:val="32"/>
          <w:szCs w:val="28"/>
        </w:rPr>
        <w:t>目标：</w:t>
      </w:r>
      <w:r>
        <w:rPr>
          <w:rFonts w:hint="eastAsia" w:ascii="仿宋" w:hAnsi="仿宋" w:eastAsia="仿宋" w:cs="仿宋"/>
          <w:sz w:val="32"/>
          <w:szCs w:val="32"/>
        </w:rPr>
        <w:t>满足改造提升传统医疗和培育壮大新兴医疗产业的需要，推动现代信息技术与医学专业的知识、能力、素质要求深度融合，探索医学专业改造升级的实施路径。</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内容：</w:t>
      </w:r>
      <w:r>
        <w:rPr>
          <w:rFonts w:hint="eastAsia" w:ascii="仿宋" w:hAnsi="仿宋" w:eastAsia="仿宋" w:cs="仿宋"/>
          <w:sz w:val="32"/>
          <w:szCs w:val="32"/>
        </w:rPr>
        <w:t>研究分析“大健康”理念和新科技革命对传统医学专业理念内容、方法技术、标准评价、人才培养提出的新要求，更新课程体系和教学内容；探索传统医学专业与现代信息技术融合的途径与方式；探索传统医学专业多学科交叉融合改造的途径与方式；面向人工智能、大数据、虚拟现实等现代技术，探索基于现有医学专业改造升级的智能医学教育新形态、新领域，逐步形成新的课程体系等。</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预期成果：</w:t>
      </w:r>
      <w:r>
        <w:rPr>
          <w:rFonts w:hint="eastAsia" w:ascii="仿宋" w:hAnsi="仿宋" w:eastAsia="仿宋" w:cs="仿宋"/>
          <w:sz w:val="32"/>
          <w:szCs w:val="32"/>
        </w:rPr>
        <w:t>改造升级一批传统医学专业，</w:t>
      </w:r>
      <w:r>
        <w:rPr>
          <w:rFonts w:hint="eastAsia" w:ascii="仿宋" w:hAnsi="仿宋" w:eastAsia="仿宋" w:cs="仿宋"/>
          <w:kern w:val="0"/>
          <w:sz w:val="32"/>
          <w:szCs w:val="32"/>
        </w:rPr>
        <w:t>提交人才培养方案、课程体系、系列教材和实施案例等。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7.中医药专业传承创新发展探索与实践</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目标：</w:t>
      </w:r>
      <w:r>
        <w:rPr>
          <w:rFonts w:hint="eastAsia" w:ascii="仿宋" w:hAnsi="仿宋" w:eastAsia="仿宋" w:cs="仿宋"/>
          <w:kern w:val="0"/>
          <w:sz w:val="32"/>
          <w:szCs w:val="28"/>
        </w:rPr>
        <w:t>强化中医药专业在广西中医药院校中的主体地位，集中优势资源做大做强广西中医药主干专业，扶持壮瑶医药专业建设，建设形成具有广西特色的民族医药相关专业。</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内容：</w:t>
      </w:r>
      <w:r>
        <w:rPr>
          <w:rFonts w:hint="eastAsia" w:ascii="仿宋" w:hAnsi="仿宋" w:eastAsia="仿宋" w:cs="仿宋"/>
          <w:kern w:val="0"/>
          <w:sz w:val="32"/>
          <w:szCs w:val="28"/>
        </w:rPr>
        <w:t>探索具有中医师承特色和个性化特点的人才培养模式；探索多学科交叉的中医药壮瑶医药创新型领军人才和创新团队；强化传承，探索中医药壮瑶医药经典教师队伍建设路径，提高中医类专业经典课程比重，编撰一批符合壮瑶医药教育规律的核心课程教材；注重创新，开展中西医结合人才培养模式改革，培养高层次壮瑶医药人才，探索具有广西特色的民族高层次复合型医药人才培养体系。</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预期成果：</w:t>
      </w:r>
      <w:r>
        <w:rPr>
          <w:rFonts w:hint="eastAsia" w:ascii="仿宋" w:hAnsi="仿宋" w:eastAsia="仿宋" w:cs="仿宋"/>
          <w:kern w:val="0"/>
          <w:sz w:val="32"/>
          <w:szCs w:val="28"/>
        </w:rPr>
        <w:t>人才培养方案、课程体系、</w:t>
      </w:r>
      <w:r>
        <w:rPr>
          <w:rFonts w:hint="eastAsia" w:ascii="仿宋" w:hAnsi="仿宋" w:eastAsia="仿宋" w:cs="仿宋"/>
          <w:kern w:val="0"/>
          <w:sz w:val="32"/>
          <w:szCs w:val="32"/>
        </w:rPr>
        <w:t>系列教材和实施案例、高水平论文等。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8.新医科课程体系和教材提升建设实践</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目标：</w:t>
      </w:r>
      <w:r>
        <w:rPr>
          <w:rFonts w:hint="eastAsia" w:ascii="仿宋" w:hAnsi="仿宋" w:eastAsia="仿宋" w:cs="仿宋"/>
          <w:kern w:val="0"/>
          <w:sz w:val="32"/>
          <w:szCs w:val="28"/>
        </w:rPr>
        <w:t>构建</w:t>
      </w:r>
      <w:r>
        <w:rPr>
          <w:rFonts w:hint="eastAsia" w:ascii="仿宋" w:hAnsi="仿宋" w:eastAsia="仿宋" w:cs="仿宋"/>
          <w:sz w:val="32"/>
          <w:szCs w:val="32"/>
        </w:rPr>
        <w:t>面向新医科的课程体系与教材体系，推动医学教育课堂教学改革，推进信息技术与医学教育深度融合，体现医学教育教学的时代性、学术性、针对性和实效性。</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内容：</w:t>
      </w:r>
      <w:r>
        <w:rPr>
          <w:rFonts w:hint="eastAsia" w:ascii="仿宋" w:hAnsi="仿宋" w:eastAsia="仿宋" w:cs="仿宋"/>
          <w:kern w:val="0"/>
          <w:sz w:val="32"/>
          <w:szCs w:val="32"/>
        </w:rPr>
        <w:t>依据新医科人才培养的要求，针对医学专业的基础课程体系进行整合、优化、重组，提高学生的学习效率和效果；探索基于器官系统的整合式教学改革；探索与构建有效培养医学生科研思维、批判性思维、临床能力、人文与医患沟通素养等；针对新医科领域，</w:t>
      </w:r>
      <w:r>
        <w:rPr>
          <w:rFonts w:hint="eastAsia" w:ascii="仿宋" w:hAnsi="仿宋" w:eastAsia="仿宋" w:cs="仿宋"/>
          <w:sz w:val="32"/>
          <w:szCs w:val="32"/>
        </w:rPr>
        <w:t>探索在线教学、混合式教学有效模式，创新课内课外师生互动机制；探索人工智能、虚拟现实、数据挖掘等新信息技术促进教与学的方法路径，探究智慧环境下新医科专业的课堂教学改革模式，实现优质教学资源开放共享；推动数字化教材及配套资源建设，建设及共享一批广西特色的临床医学、中医学、公共卫生、药学等教学案例共享资源库、医学专业课程思政建设案例及案例库。</w:t>
      </w:r>
    </w:p>
    <w:p>
      <w:pPr>
        <w:keepNext w:val="0"/>
        <w:keepLines w:val="0"/>
        <w:pageBreakBefore w:val="0"/>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kern w:val="0"/>
          <w:sz w:val="32"/>
          <w:szCs w:val="28"/>
        </w:rPr>
        <w:t>预期成果：</w:t>
      </w:r>
      <w:r>
        <w:rPr>
          <w:rFonts w:hint="eastAsia" w:ascii="仿宋" w:hAnsi="仿宋" w:eastAsia="仿宋" w:cs="仿宋"/>
          <w:sz w:val="32"/>
          <w:szCs w:val="32"/>
        </w:rPr>
        <w:t>国家级和自治区级医学“一流本科课程”、医学教育信息化报告、高校课程体系改革方案、高质量教材、课程教学案例及案例库等。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9.全科医学人才培养探索与实践</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目标：</w:t>
      </w:r>
      <w:r>
        <w:rPr>
          <w:rFonts w:hint="eastAsia" w:ascii="仿宋" w:hAnsi="仿宋" w:eastAsia="仿宋" w:cs="仿宋"/>
          <w:kern w:val="0"/>
          <w:sz w:val="32"/>
          <w:szCs w:val="28"/>
        </w:rPr>
        <w:t>根据基层医疗卫生机构医学人才需求，探索培养“小病善治、大病善识、重病善转、慢病善管”的防治管结合全科医学人才培养模式。</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内容</w:t>
      </w:r>
      <w:r>
        <w:rPr>
          <w:rFonts w:hint="eastAsia" w:ascii="仿宋" w:hAnsi="仿宋" w:eastAsia="仿宋" w:cs="仿宋"/>
          <w:kern w:val="0"/>
          <w:sz w:val="32"/>
          <w:szCs w:val="28"/>
        </w:rPr>
        <w:t>：全面总结国内全科医学教育人才培养取得的成就及存在的不足，借鉴国外成功经验，完善下得去、用得上、留得住的农村订单定向医学生培养机制，创新人才培养模式和三全育人特色模式；完善基于临床能力培养的实践教学体系；探索全科医生在校培养、毕业后教育和面向全体医学生的全科医学教育；探索全科医生培养效果的评价体系；探索全科医生师资队伍规范化培训与建设；探索全科医生薪酬制度、聘用管理等激励机制各项改革；探索国家级、自治区级全科医学实践教学示范基地建设。</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预期成果：</w:t>
      </w:r>
      <w:r>
        <w:rPr>
          <w:rFonts w:hint="eastAsia" w:ascii="仿宋" w:hAnsi="仿宋" w:eastAsia="仿宋" w:cs="仿宋"/>
          <w:kern w:val="0"/>
          <w:sz w:val="32"/>
          <w:szCs w:val="28"/>
        </w:rPr>
        <w:t>全科医学实践教学示范基地、人才培养模式、</w:t>
      </w:r>
      <w:r>
        <w:rPr>
          <w:rFonts w:hint="eastAsia" w:ascii="仿宋" w:hAnsi="仿宋" w:eastAsia="仿宋" w:cs="仿宋"/>
          <w:sz w:val="32"/>
          <w:szCs w:val="32"/>
        </w:rPr>
        <w:t>培养方案、教材和课程体系、管理机制及典型案例等。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10.高水平公共卫生人才培养探索与实践</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目标：</w:t>
      </w:r>
      <w:r>
        <w:rPr>
          <w:rFonts w:hint="eastAsia" w:ascii="仿宋" w:hAnsi="仿宋" w:eastAsia="仿宋" w:cs="仿宋"/>
          <w:kern w:val="0"/>
          <w:sz w:val="32"/>
          <w:szCs w:val="28"/>
        </w:rPr>
        <w:t>提高公共卫生教育在高等教育体系中的定位，完善高水平公共卫生人才培养体系，强化公共卫生实践教学，突出公共卫生本科人才的核心能力培养、专业型研究生的岗位胜任力培养和科学型研究生的创新能力培养，并积极探索专业型公共卫生博士研究生（DrPH）培养。</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内容：</w:t>
      </w:r>
      <w:r>
        <w:rPr>
          <w:rFonts w:hint="eastAsia" w:ascii="仿宋" w:hAnsi="仿宋" w:eastAsia="仿宋" w:cs="仿宋"/>
          <w:kern w:val="0"/>
          <w:sz w:val="32"/>
          <w:szCs w:val="28"/>
        </w:rPr>
        <w:t>总结借鉴国内外公共卫生人才培养经验，探索广西公共卫生人才培养体系；探索大数据多学科背景下公共卫生高层次人才培养改革，强化专业学位教育；建立高水平公共卫生实训示范基地和国家级公共卫生教学案例库，强化实践教学过程和质量管理；探索专业型公共卫生博士研究生（DrPH）培养。开拓公共卫生师资发展新途径，探索公共卫生新入职教师到疾病预防控制中心挂职学习模式，打造质量结构双优的师资队伍，加强“双师型”教师队伍建设；强化突发传染病疫情研判、预警能力、现场流行病调查能力以及突发公共卫生事件应急处理能力的培养；探索广西公共卫生医师薪酬制度，拓展公共卫生医师执业发展前景。</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预期成果：</w:t>
      </w:r>
      <w:r>
        <w:rPr>
          <w:rFonts w:hint="eastAsia" w:ascii="仿宋" w:hAnsi="仿宋" w:eastAsia="仿宋" w:cs="仿宋"/>
          <w:kern w:val="0"/>
          <w:sz w:val="32"/>
          <w:szCs w:val="28"/>
        </w:rPr>
        <w:t>高水平公共卫生实训示范基地、国家级公共卫生教学案例库、人才培养模式、培养方案、课程体系、管理机制及典型案例等。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11.基础学科拔尖创新人才培养探索与实践</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目标：</w:t>
      </w:r>
      <w:r>
        <w:rPr>
          <w:rFonts w:hint="eastAsia" w:ascii="仿宋" w:hAnsi="仿宋" w:eastAsia="仿宋" w:cs="仿宋"/>
          <w:kern w:val="0"/>
          <w:sz w:val="32"/>
          <w:szCs w:val="28"/>
        </w:rPr>
        <w:t>初步形成具有广西特色的基础学科拔尖人才培养体系，完善人才选拔及培养模式，健全培养机制。</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kern w:val="0"/>
          <w:sz w:val="32"/>
          <w:szCs w:val="28"/>
        </w:rPr>
        <w:t>内容：</w:t>
      </w:r>
      <w:r>
        <w:rPr>
          <w:rFonts w:hint="eastAsia" w:ascii="仿宋" w:hAnsi="仿宋" w:eastAsia="仿宋" w:cs="仿宋"/>
          <w:kern w:val="0"/>
          <w:sz w:val="32"/>
          <w:szCs w:val="28"/>
        </w:rPr>
        <w:t>全面总结国家医学基础学科人才培养、培养基地创新平台等建设经验；</w:t>
      </w:r>
      <w:r>
        <w:rPr>
          <w:rFonts w:hint="eastAsia" w:ascii="仿宋" w:hAnsi="仿宋" w:eastAsia="仿宋" w:cs="仿宋"/>
          <w:kern w:val="0"/>
          <w:sz w:val="32"/>
          <w:szCs w:val="32"/>
        </w:rPr>
        <w:t>提供丰富多样的课程与教学资源，</w:t>
      </w:r>
      <w:r>
        <w:rPr>
          <w:rFonts w:hint="eastAsia" w:ascii="仿宋" w:hAnsi="仿宋" w:eastAsia="仿宋" w:cs="仿宋"/>
          <w:kern w:val="0"/>
          <w:sz w:val="32"/>
          <w:szCs w:val="28"/>
        </w:rPr>
        <w:t>探索跨学科课程体系，开展研究性教学；</w:t>
      </w:r>
      <w:r>
        <w:rPr>
          <w:rFonts w:hint="eastAsia" w:ascii="仿宋" w:hAnsi="仿宋" w:eastAsia="仿宋" w:cs="仿宋"/>
          <w:sz w:val="32"/>
          <w:szCs w:val="32"/>
        </w:rPr>
        <w:t>从学生选拔、个性化培养、一体化管理等方面探索书院制、导师制、学分制等医学基础学科拔尖人才培养的实践经验；探索国内外双向互动的医学基础学科拔尖人才培养长效机制，创新人才培养模式。</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预期成果：</w:t>
      </w:r>
      <w:r>
        <w:rPr>
          <w:rFonts w:hint="eastAsia" w:ascii="仿宋" w:hAnsi="仿宋" w:eastAsia="仿宋" w:cs="仿宋"/>
          <w:kern w:val="0"/>
          <w:sz w:val="32"/>
          <w:szCs w:val="28"/>
        </w:rPr>
        <w:t>人才培养模式、</w:t>
      </w:r>
      <w:r>
        <w:rPr>
          <w:rFonts w:hint="eastAsia" w:ascii="仿宋" w:hAnsi="仿宋" w:eastAsia="仿宋" w:cs="仿宋"/>
          <w:sz w:val="32"/>
          <w:szCs w:val="32"/>
        </w:rPr>
        <w:t>培养方案、课程体系、管理机制及典型案例等。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12.高层次复合型医学人才培养探索与实践</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目标：</w:t>
      </w:r>
      <w:r>
        <w:rPr>
          <w:rFonts w:hint="eastAsia" w:ascii="仿宋" w:hAnsi="仿宋" w:eastAsia="仿宋" w:cs="仿宋"/>
          <w:kern w:val="0"/>
          <w:sz w:val="32"/>
          <w:szCs w:val="32"/>
        </w:rPr>
        <w:t>构建“医学+X”多学科背景复合型拔尖创新人才培养模式，健全选拔机制，探索本硕博分段衔接的知识结构、课程体系、培养模式及配套制度体系。</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内容：</w:t>
      </w:r>
      <w:r>
        <w:rPr>
          <w:rFonts w:hint="eastAsia" w:ascii="仿宋" w:hAnsi="仿宋" w:eastAsia="仿宋" w:cs="仿宋"/>
          <w:kern w:val="0"/>
          <w:sz w:val="32"/>
          <w:szCs w:val="32"/>
        </w:rPr>
        <w:t>分别对本硕博阶段学习目标、课程体系、学习成果评价等进行深入分析，探索相关专业不同阶段的核心知识、能力和素质要求的有效衔接，形成多渠道的学生发展路径；建立适应不同培养方案的选课体系，完善不同专业的学分确认机制；针对硕博分段连续培养的学生制定合适的培养模式和选课体系；探索招收优秀本科毕业生直接攻读基础医学和药学学术型博士研究生；探索开展医师科学家培养改革试点；探索实施学生自主选择和相应准入条件的学生选拔机制。</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kern w:val="0"/>
          <w:sz w:val="32"/>
          <w:szCs w:val="28"/>
        </w:rPr>
        <w:t>预期成果：</w:t>
      </w:r>
      <w:r>
        <w:rPr>
          <w:rFonts w:hint="eastAsia" w:ascii="仿宋" w:hAnsi="仿宋" w:eastAsia="仿宋" w:cs="仿宋"/>
          <w:kern w:val="0"/>
          <w:sz w:val="32"/>
          <w:szCs w:val="32"/>
        </w:rPr>
        <w:t>完成研究报告，提供培养模式、选课体系和学分确认机制的方案，并提供相应数据。</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13.新医科创新创业教育探索与实践</w:t>
      </w:r>
    </w:p>
    <w:p>
      <w:pPr>
        <w:keepNext w:val="0"/>
        <w:keepLines w:val="0"/>
        <w:pageBreakBefore w:val="0"/>
        <w:kinsoku/>
        <w:wordWrap/>
        <w:overflowPunct/>
        <w:topLinePunct w:val="0"/>
        <w:bidi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目标：</w:t>
      </w:r>
      <w:r>
        <w:rPr>
          <w:rFonts w:hint="eastAsia" w:ascii="仿宋" w:hAnsi="仿宋" w:eastAsia="仿宋" w:cs="仿宋"/>
          <w:sz w:val="32"/>
          <w:szCs w:val="32"/>
        </w:rPr>
        <w:t>完善医学人才创新创业教育体系，搭建大学生</w:t>
      </w:r>
      <w:r>
        <w:rPr>
          <w:rFonts w:hint="eastAsia" w:ascii="仿宋" w:hAnsi="仿宋" w:eastAsia="仿宋" w:cs="仿宋"/>
          <w:kern w:val="0"/>
          <w:sz w:val="32"/>
          <w:szCs w:val="32"/>
        </w:rPr>
        <w:t>创新创业平台，</w:t>
      </w:r>
      <w:r>
        <w:rPr>
          <w:rFonts w:hint="eastAsia" w:ascii="仿宋" w:hAnsi="仿宋" w:eastAsia="仿宋" w:cs="仿宋"/>
          <w:sz w:val="32"/>
          <w:szCs w:val="32"/>
        </w:rPr>
        <w:t>提升</w:t>
      </w:r>
      <w:r>
        <w:rPr>
          <w:rFonts w:hint="eastAsia" w:ascii="仿宋" w:hAnsi="仿宋" w:eastAsia="仿宋" w:cs="仿宋"/>
          <w:kern w:val="0"/>
          <w:sz w:val="32"/>
          <w:szCs w:val="32"/>
        </w:rPr>
        <w:t>医学人才创新创业能力。</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内容</w:t>
      </w:r>
      <w:r>
        <w:rPr>
          <w:rFonts w:hint="eastAsia" w:ascii="仿宋" w:hAnsi="仿宋" w:eastAsia="仿宋" w:cs="仿宋"/>
          <w:kern w:val="0"/>
          <w:sz w:val="32"/>
          <w:szCs w:val="28"/>
        </w:rPr>
        <w:t>：</w:t>
      </w:r>
      <w:r>
        <w:rPr>
          <w:rFonts w:hint="eastAsia" w:ascii="仿宋" w:hAnsi="仿宋" w:eastAsia="仿宋" w:cs="仿宋"/>
          <w:kern w:val="0"/>
          <w:sz w:val="32"/>
          <w:szCs w:val="32"/>
        </w:rPr>
        <w:t>完善创新创业教育课程体系和管理制度，加强创新创业通识教育，探索医学特色创新创业教育课程体系、教学方法、实践训练、机制建设，推进分类培养和特色化培养模式改革；建设基于医科优势特色的高校创新创业服务平台，构建专兼职创新创业师资队伍，深入实施大学生创新创业训练计划，建立健全中国国际“互联网+”大学生创新创业大赛与各级各类创新创业比赛联动机制，引导鼓励学生积极参与创新活动和创业实践，</w:t>
      </w:r>
      <w:r>
        <w:rPr>
          <w:rFonts w:hint="eastAsia" w:ascii="仿宋" w:hAnsi="仿宋" w:eastAsia="仿宋" w:cs="仿宋"/>
          <w:sz w:val="32"/>
          <w:szCs w:val="32"/>
        </w:rPr>
        <w:t>促进学生创新创业能力和综合素养提升。</w:t>
      </w:r>
    </w:p>
    <w:p>
      <w:pPr>
        <w:pStyle w:val="2"/>
        <w:keepNext w:val="0"/>
        <w:keepLines w:val="0"/>
        <w:pageBreakBefore w:val="0"/>
        <w:kinsoku/>
        <w:wordWrap/>
        <w:overflowPunct/>
        <w:topLinePunct w:val="0"/>
        <w:bidi w:val="0"/>
        <w:adjustRightInd w:val="0"/>
        <w:snapToGrid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kern w:val="0"/>
          <w:sz w:val="32"/>
          <w:szCs w:val="28"/>
        </w:rPr>
        <w:t>预期成果：</w:t>
      </w:r>
      <w:r>
        <w:rPr>
          <w:rFonts w:hint="eastAsia" w:ascii="仿宋" w:hAnsi="仿宋" w:eastAsia="仿宋" w:cs="仿宋"/>
          <w:sz w:val="32"/>
          <w:szCs w:val="32"/>
        </w:rPr>
        <w:t>医科创新创业教育实践体系和典型案例、创新创业教育实践平台、</w:t>
      </w:r>
      <w:r>
        <w:rPr>
          <w:rFonts w:hint="eastAsia" w:ascii="仿宋" w:hAnsi="仿宋" w:eastAsia="仿宋" w:cs="仿宋"/>
          <w:kern w:val="0"/>
          <w:sz w:val="32"/>
          <w:szCs w:val="32"/>
        </w:rPr>
        <w:t>中国国际</w:t>
      </w:r>
      <w:r>
        <w:rPr>
          <w:rFonts w:hint="eastAsia" w:ascii="仿宋" w:hAnsi="仿宋" w:eastAsia="仿宋" w:cs="仿宋"/>
          <w:sz w:val="32"/>
          <w:szCs w:val="32"/>
        </w:rPr>
        <w:t>“互联网+”</w:t>
      </w:r>
      <w:r>
        <w:rPr>
          <w:rFonts w:hint="eastAsia" w:ascii="仿宋" w:hAnsi="仿宋" w:eastAsia="仿宋" w:cs="仿宋"/>
          <w:kern w:val="0"/>
          <w:sz w:val="32"/>
          <w:szCs w:val="32"/>
        </w:rPr>
        <w:t>大学生创新创业</w:t>
      </w:r>
      <w:r>
        <w:rPr>
          <w:rFonts w:hint="eastAsia" w:ascii="仿宋" w:hAnsi="仿宋" w:eastAsia="仿宋" w:cs="仿宋"/>
          <w:sz w:val="32"/>
          <w:szCs w:val="32"/>
        </w:rPr>
        <w:t>大赛等创新创业赛事成果。</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14.新医科医教协同育人模式改革与实践</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目标：</w:t>
      </w:r>
      <w:r>
        <w:rPr>
          <w:rFonts w:hint="eastAsia" w:ascii="仿宋" w:hAnsi="仿宋" w:eastAsia="仿宋" w:cs="仿宋"/>
          <w:kern w:val="0"/>
          <w:sz w:val="32"/>
          <w:szCs w:val="32"/>
        </w:rPr>
        <w:t>推进</w:t>
      </w:r>
      <w:r>
        <w:rPr>
          <w:rFonts w:hint="eastAsia" w:ascii="仿宋" w:hAnsi="仿宋" w:eastAsia="仿宋" w:cs="仿宋"/>
          <w:kern w:val="0"/>
          <w:sz w:val="32"/>
          <w:szCs w:val="28"/>
        </w:rPr>
        <w:t>院校教育和毕业后教育紧密衔接，</w:t>
      </w:r>
      <w:r>
        <w:rPr>
          <w:rFonts w:hint="eastAsia" w:ascii="仿宋" w:hAnsi="仿宋" w:eastAsia="仿宋" w:cs="仿宋"/>
          <w:kern w:val="0"/>
          <w:sz w:val="32"/>
          <w:szCs w:val="32"/>
        </w:rPr>
        <w:t>建立医学院与附属医院、产业、企业等多主体协同育人模式，</w:t>
      </w:r>
      <w:r>
        <w:rPr>
          <w:rFonts w:hint="eastAsia" w:ascii="仿宋" w:hAnsi="仿宋" w:eastAsia="仿宋" w:cs="仿宋"/>
          <w:sz w:val="32"/>
          <w:szCs w:val="32"/>
        </w:rPr>
        <w:t>推进医教融合、产学融合、校企合作的协同育人</w:t>
      </w:r>
      <w:r>
        <w:rPr>
          <w:rFonts w:hint="eastAsia" w:ascii="仿宋" w:hAnsi="仿宋" w:eastAsia="仿宋" w:cs="仿宋"/>
          <w:kern w:val="0"/>
          <w:sz w:val="32"/>
          <w:szCs w:val="32"/>
        </w:rPr>
        <w:t>体制机制改革。</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内容：</w:t>
      </w:r>
      <w:r>
        <w:rPr>
          <w:rFonts w:hint="eastAsia" w:ascii="仿宋" w:hAnsi="仿宋" w:eastAsia="仿宋" w:cs="仿宋"/>
          <w:kern w:val="0"/>
          <w:sz w:val="32"/>
          <w:szCs w:val="32"/>
        </w:rPr>
        <w:t>争取各种社会资源，吸引多方面参与新医科建设，创新医学高校与附属医院、境内外行业企业、科研院所、其他高校及地方政府的多方协同育人模式，构建优势互补、项目共建、成果共享、利益共赢的人才培养共同体；围绕生命健康、药物创新、临床诊疗、生物安全等关键领域，构建多主体参与、医教协同的新医科人才培养模式；探索附属医院教学同质化路径；推动大学组织创新，探索建设由校内外多方参与的医药产业学院等新型组织模式；从人员招收、基地建设、薪酬待遇、培训体系、师资培训等多方面深化住院医师规范化培训改革。</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预期成果：</w:t>
      </w:r>
      <w:r>
        <w:rPr>
          <w:rFonts w:hint="eastAsia" w:ascii="仿宋" w:hAnsi="仿宋" w:eastAsia="仿宋" w:cs="仿宋"/>
          <w:kern w:val="0"/>
          <w:sz w:val="32"/>
          <w:szCs w:val="28"/>
        </w:rPr>
        <w:t>医教协同育人有效运行机制和模式、典型案例，</w:t>
      </w:r>
      <w:r>
        <w:rPr>
          <w:rFonts w:hint="eastAsia" w:ascii="仿宋" w:hAnsi="仿宋" w:eastAsia="仿宋" w:cs="仿宋"/>
          <w:kern w:val="0"/>
          <w:sz w:val="32"/>
          <w:szCs w:val="32"/>
        </w:rPr>
        <w:t>建设一批面向新兴医药产业领域的现代产业学院，如现代医药产业学院等</w:t>
      </w:r>
      <w:r>
        <w:rPr>
          <w:rFonts w:hint="eastAsia" w:ascii="仿宋" w:hAnsi="仿宋" w:eastAsia="仿宋" w:cs="仿宋"/>
          <w:sz w:val="32"/>
          <w:szCs w:val="32"/>
        </w:rPr>
        <w:t>。</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15.新医科实践育人体系与平台建设研究</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目标：</w:t>
      </w:r>
      <w:r>
        <w:rPr>
          <w:rFonts w:hint="eastAsia" w:ascii="仿宋" w:hAnsi="仿宋" w:eastAsia="仿宋" w:cs="仿宋"/>
          <w:kern w:val="0"/>
          <w:sz w:val="32"/>
          <w:szCs w:val="32"/>
        </w:rPr>
        <w:t>构建面向新医科的实践教育体系与实践平台。</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内容：</w:t>
      </w:r>
      <w:r>
        <w:rPr>
          <w:rFonts w:hint="eastAsia" w:ascii="仿宋" w:hAnsi="仿宋" w:eastAsia="仿宋" w:cs="仿宋"/>
          <w:kern w:val="0"/>
          <w:sz w:val="32"/>
          <w:szCs w:val="32"/>
        </w:rPr>
        <w:t>围绕医学生实践能力培养的目标、课程设置、实习基地、师资水平、经费投入、体制机制等关键环节开展调查，深入分析我国医学生实践能力的现状与问题；推进基于结果导向的医学生实践能力培养，强化过程管理，设计评价体系，指导改革实践；充分运用校内外教学资源，建立高标准的实践育人信息化平台；从政策配套、学校体制机制、附属医院、企业深度参与等维度提出相关对策建议。</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预期成果：</w:t>
      </w:r>
      <w:r>
        <w:rPr>
          <w:rFonts w:hint="eastAsia" w:ascii="仿宋" w:hAnsi="仿宋" w:eastAsia="仿宋" w:cs="仿宋"/>
          <w:kern w:val="0"/>
          <w:sz w:val="32"/>
          <w:szCs w:val="32"/>
        </w:rPr>
        <w:t>构建一批可推广的医学实践教育体系与实践平台，建立有针对性、可操作的评价体系，形成对策建议报告。</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16.新医科科教协同育人机制探索与实践</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目标：</w:t>
      </w:r>
      <w:r>
        <w:rPr>
          <w:rFonts w:hint="eastAsia" w:ascii="仿宋" w:hAnsi="仿宋" w:eastAsia="仿宋" w:cs="仿宋"/>
          <w:kern w:val="0"/>
          <w:sz w:val="32"/>
          <w:szCs w:val="28"/>
        </w:rPr>
        <w:t>促进医学院校与科研院所在教育和科研工作方面相互配合，建立科教协同育人模式和运行机制，增强学生创新精神和科研能力。</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28"/>
        </w:rPr>
      </w:pPr>
      <w:r>
        <w:rPr>
          <w:rFonts w:hint="eastAsia" w:ascii="仿宋" w:hAnsi="仿宋" w:eastAsia="仿宋" w:cs="仿宋"/>
          <w:b/>
          <w:kern w:val="0"/>
          <w:sz w:val="32"/>
          <w:szCs w:val="28"/>
        </w:rPr>
        <w:t>内容：</w:t>
      </w:r>
      <w:r>
        <w:rPr>
          <w:rFonts w:hint="eastAsia" w:ascii="仿宋" w:hAnsi="仿宋" w:eastAsia="仿宋" w:cs="仿宋"/>
          <w:kern w:val="0"/>
          <w:sz w:val="32"/>
          <w:szCs w:val="28"/>
        </w:rPr>
        <w:t>从制度设计、改革举措、资源配置、政策供给的方面总结分析医学高校科教协同育人的经验与不足，提出政策建议；探索构建以高水平科学研究为支撑的高质量医学人才培养模式，将最新科研成果及时融入课程内容及实验实践内容；依托协同创新中心、重点研究基地、重点科技计划项目、各类科研竞赛等，搭建学生科学实践和创新创业平台，推动师生共创。</w:t>
      </w:r>
    </w:p>
    <w:p>
      <w:pPr>
        <w:keepNext w:val="0"/>
        <w:keepLines w:val="0"/>
        <w:pageBreakBefore w:val="0"/>
        <w:widowControl/>
        <w:kinsoku/>
        <w:wordWrap/>
        <w:overflowPunct/>
        <w:topLinePunct w:val="0"/>
        <w:bidi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预期成果：</w:t>
      </w:r>
      <w:r>
        <w:rPr>
          <w:rFonts w:hint="eastAsia" w:ascii="仿宋" w:hAnsi="仿宋" w:eastAsia="仿宋" w:cs="仿宋"/>
          <w:kern w:val="0"/>
          <w:sz w:val="32"/>
          <w:szCs w:val="32"/>
        </w:rPr>
        <w:t>高质量研究报告、科教协同育人模式和运行机制、人才培养方案、典型案例、师生共创科研成果等。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17.面向“一带一路”的医学教育国际合作育人探索与实践</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目标：</w:t>
      </w:r>
      <w:r>
        <w:rPr>
          <w:rFonts w:hint="eastAsia" w:ascii="仿宋" w:hAnsi="仿宋" w:eastAsia="仿宋" w:cs="仿宋"/>
          <w:kern w:val="0"/>
          <w:sz w:val="32"/>
          <w:szCs w:val="32"/>
        </w:rPr>
        <w:t>充分利用广西区位优势，重点开展与“一带一路”等东盟各国交流合作，推进医学教育国际化，培养具有国际视野的医学人才，提升地方医学教育对国家卫生健康事业的支撑能力。</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kern w:val="0"/>
          <w:sz w:val="32"/>
          <w:szCs w:val="28"/>
        </w:rPr>
        <w:t>内容：</w:t>
      </w:r>
      <w:r>
        <w:rPr>
          <w:rFonts w:hint="eastAsia" w:ascii="仿宋" w:hAnsi="仿宋" w:eastAsia="仿宋" w:cs="仿宋"/>
          <w:kern w:val="0"/>
          <w:sz w:val="32"/>
          <w:szCs w:val="32"/>
        </w:rPr>
        <w:t>探索构建“一带一路”新医科教育共同体的必要性研究；探索构建“一带一路”医学高校战略联盟，推动“一带一路”沿线国家和地区高校之间在医学人才培养、科学研究、文化交流等方面的全面合作，支持学生交换、学分互认、学位互授联授</w:t>
      </w:r>
      <w:r>
        <w:rPr>
          <w:rFonts w:hint="eastAsia" w:ascii="仿宋" w:hAnsi="仿宋" w:eastAsia="仿宋" w:cs="仿宋"/>
          <w:sz w:val="32"/>
          <w:szCs w:val="32"/>
        </w:rPr>
        <w:t>；</w:t>
      </w:r>
      <w:r>
        <w:rPr>
          <w:rFonts w:hint="eastAsia" w:ascii="仿宋" w:hAnsi="仿宋" w:eastAsia="仿宋" w:cs="仿宋"/>
          <w:kern w:val="0"/>
          <w:sz w:val="32"/>
          <w:szCs w:val="32"/>
        </w:rPr>
        <w:t>推荐优秀师生到国际组织或国际高水平机构任职、实习、交流，推动医学高校与走向“一带一路”的产业企业实施产学合作育人，培养面向“一带一路”的医学人才。</w:t>
      </w:r>
    </w:p>
    <w:p>
      <w:pPr>
        <w:keepNext w:val="0"/>
        <w:keepLines w:val="0"/>
        <w:pageBreakBefore w:val="0"/>
        <w:kinsoku/>
        <w:wordWrap/>
        <w:overflowPunct/>
        <w:topLinePunct w:val="0"/>
        <w:bidi w:val="0"/>
        <w:adjustRightInd w:val="0"/>
        <w:spacing w:line="560" w:lineRule="exact"/>
        <w:ind w:firstLine="643" w:firstLineChars="200"/>
        <w:textAlignment w:val="auto"/>
        <w:rPr>
          <w:rFonts w:hint="eastAsia" w:ascii="仿宋" w:hAnsi="仿宋" w:eastAsia="仿宋" w:cs="仿宋"/>
          <w:b/>
        </w:rPr>
      </w:pPr>
      <w:r>
        <w:rPr>
          <w:rFonts w:hint="eastAsia" w:ascii="仿宋" w:hAnsi="仿宋" w:eastAsia="仿宋" w:cs="仿宋"/>
          <w:b/>
          <w:kern w:val="0"/>
          <w:sz w:val="32"/>
          <w:szCs w:val="28"/>
        </w:rPr>
        <w:t>预期成果：</w:t>
      </w:r>
      <w:r>
        <w:rPr>
          <w:rFonts w:hint="eastAsia" w:ascii="仿宋" w:hAnsi="仿宋" w:eastAsia="仿宋" w:cs="仿宋"/>
          <w:kern w:val="0"/>
          <w:sz w:val="32"/>
          <w:szCs w:val="32"/>
        </w:rPr>
        <w:t>新医科教育共同体建设、高校战略联盟、高质量研究报告、高质量论文等。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18.医学教育质量评估体系构建</w:t>
      </w:r>
    </w:p>
    <w:p>
      <w:pPr>
        <w:keepNext w:val="0"/>
        <w:keepLines w:val="0"/>
        <w:pageBreakBefore w:val="0"/>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目标</w:t>
      </w:r>
      <w:r>
        <w:rPr>
          <w:rFonts w:hint="eastAsia" w:ascii="仿宋" w:hAnsi="仿宋" w:eastAsia="仿宋" w:cs="仿宋"/>
          <w:sz w:val="32"/>
          <w:szCs w:val="32"/>
        </w:rPr>
        <w:t>：加大医学教育质量评估体系研究，完善医学教育质量评估机制，形成动态监测、定期评估和限期整改的新型医学评估体系，构建以教育行政部门为引导，学术组织、行业部门和社会机构共同参与的医学教育质量保障机制。</w:t>
      </w:r>
    </w:p>
    <w:p>
      <w:pPr>
        <w:keepNext w:val="0"/>
        <w:keepLines w:val="0"/>
        <w:pageBreakBefore w:val="0"/>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内容</w:t>
      </w:r>
      <w:r>
        <w:rPr>
          <w:rFonts w:hint="eastAsia" w:ascii="仿宋" w:hAnsi="仿宋" w:eastAsia="仿宋" w:cs="仿宋"/>
          <w:sz w:val="32"/>
          <w:szCs w:val="32"/>
        </w:rPr>
        <w:t>：开展医学教育质量综合评价改革研究；国内外医学教育质量评估与质量保障体系比较研究；国内外医学教育质量评估认证制度比较研究；注重评估结果的反馈与运用，加强对医学教育质量评估结果反馈的运用和实践研究，建立评估结果公示和约谈、整改复查机制；充分发挥专家组织和社会机构在医学教育质量评价中的作用，探索开展多元化医学教育质量评价方式综合实践研究；在大数据背景下，重视高等医学教育质量保障信息化手段的研究与应用，以信息技术手段为辅助和基于大数据平台开展医学教育评价实践研究。</w:t>
      </w:r>
    </w:p>
    <w:p>
      <w:pPr>
        <w:keepNext w:val="0"/>
        <w:keepLines w:val="0"/>
        <w:pageBreakBefore w:val="0"/>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：形成医学教育质量评价方法、信息化手段、实践案例和高质量论文等。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19.医学院校内部教学质量监控与保障体系建设</w:t>
      </w:r>
    </w:p>
    <w:p>
      <w:pPr>
        <w:keepNext w:val="0"/>
        <w:keepLines w:val="0"/>
        <w:pageBreakBefore w:val="0"/>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目标：</w:t>
      </w:r>
      <w:r>
        <w:rPr>
          <w:rFonts w:hint="eastAsia" w:ascii="仿宋" w:hAnsi="仿宋" w:eastAsia="仿宋" w:cs="仿宋"/>
          <w:sz w:val="32"/>
          <w:szCs w:val="32"/>
        </w:rPr>
        <w:t>坚持“学生中心、产出导向、持续改进”教育理念，建立和完善以本科教学质量报告、教学评价、专业评价、课程评价、教师评价、学生评价为主体的高校内部教学质量监控与保障体系，形成自觉、自省、自律、自查、自纠的医学教育质量文化。</w:t>
      </w:r>
    </w:p>
    <w:p>
      <w:pPr>
        <w:keepNext w:val="0"/>
        <w:keepLines w:val="0"/>
        <w:pageBreakBefore w:val="0"/>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内容：</w:t>
      </w:r>
      <w:r>
        <w:rPr>
          <w:rFonts w:hint="eastAsia" w:ascii="仿宋" w:hAnsi="仿宋" w:eastAsia="仿宋" w:cs="仿宋"/>
          <w:sz w:val="32"/>
          <w:szCs w:val="32"/>
        </w:rPr>
        <w:t xml:space="preserve">依据新医科建设要求，深化教学质量综合评价改革，构建适应医学教育特点的高校内部教学质量监控与保障体系；完善医学人才培养质量标准和教学主要环节质量标准；在人才培养过程中，持续改进结果评价，不断强化过程评价，积极探索增值评价，实现教学质量评价多元化；充分利用新技术新方法，推动信息技术与人工智能在教育测量领域的应用与实践；构建基于OBE理念的学生学业评价体系，倡导发展性评价，突出个性化评价；从制度创新、体制机制改革入手，力促以学生为中心的质量文化在高校内部落地生根。  </w:t>
      </w:r>
    </w:p>
    <w:p>
      <w:pPr>
        <w:keepNext w:val="0"/>
        <w:keepLines w:val="0"/>
        <w:pageBreakBefore w:val="0"/>
        <w:kinsoku/>
        <w:wordWrap/>
        <w:overflowPunct/>
        <w:topLinePunct w:val="0"/>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预期成果：</w:t>
      </w:r>
      <w:r>
        <w:rPr>
          <w:rFonts w:hint="eastAsia" w:ascii="仿宋" w:hAnsi="仿宋" w:eastAsia="仿宋" w:cs="仿宋"/>
          <w:sz w:val="32"/>
          <w:szCs w:val="32"/>
        </w:rPr>
        <w:t>高校内部教学质量保障体系及其运行机制、典型案例、信息化平台、评价或测量工具、高质量研究报告、研究论文等。</w:t>
      </w:r>
    </w:p>
    <w:p>
      <w:pPr>
        <w:keepNext w:val="0"/>
        <w:keepLines w:val="0"/>
        <w:pageBreakBefore w:val="0"/>
        <w:widowControl/>
        <w:kinsoku/>
        <w:wordWrap/>
        <w:overflowPunct/>
        <w:topLinePunct w:val="0"/>
        <w:bidi w:val="0"/>
        <w:spacing w:line="560" w:lineRule="exact"/>
        <w:ind w:firstLine="640" w:firstLineChars="200"/>
        <w:textAlignment w:val="auto"/>
        <w:rPr>
          <w:rFonts w:hint="eastAsia" w:ascii="仿宋" w:hAnsi="仿宋" w:eastAsia="仿宋" w:cs="仿宋"/>
          <w:b w:val="0"/>
          <w:bCs/>
          <w:kern w:val="0"/>
          <w:sz w:val="32"/>
          <w:szCs w:val="28"/>
        </w:rPr>
      </w:pPr>
      <w:r>
        <w:rPr>
          <w:rFonts w:hint="eastAsia" w:ascii="仿宋" w:hAnsi="仿宋" w:eastAsia="仿宋" w:cs="仿宋"/>
          <w:b w:val="0"/>
          <w:bCs/>
          <w:kern w:val="0"/>
          <w:sz w:val="32"/>
          <w:szCs w:val="28"/>
        </w:rPr>
        <w:t>20.新医科教师教学发展</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bCs/>
          <w:kern w:val="0"/>
          <w:sz w:val="32"/>
          <w:szCs w:val="32"/>
        </w:rPr>
        <w:t>目标：</w:t>
      </w:r>
      <w:r>
        <w:rPr>
          <w:rFonts w:hint="eastAsia" w:ascii="仿宋" w:hAnsi="仿宋" w:eastAsia="仿宋" w:cs="仿宋"/>
          <w:kern w:val="0"/>
          <w:sz w:val="32"/>
          <w:szCs w:val="32"/>
        </w:rPr>
        <w:t>探索符合新医科背景下地方医学院校教师教学发展机制，推动以追求卓越教学为目标的教师成长体系建设。</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hint="eastAsia" w:ascii="仿宋" w:hAnsi="仿宋" w:eastAsia="仿宋" w:cs="仿宋"/>
          <w:kern w:val="0"/>
          <w:sz w:val="32"/>
          <w:szCs w:val="32"/>
        </w:rPr>
      </w:pPr>
      <w:r>
        <w:rPr>
          <w:rFonts w:hint="eastAsia" w:ascii="仿宋" w:hAnsi="仿宋" w:eastAsia="仿宋" w:cs="仿宋"/>
          <w:b/>
          <w:bCs/>
          <w:kern w:val="0"/>
          <w:sz w:val="32"/>
          <w:szCs w:val="32"/>
        </w:rPr>
        <w:t>内容：</w:t>
      </w:r>
      <w:r>
        <w:rPr>
          <w:rFonts w:hint="eastAsia" w:ascii="仿宋" w:hAnsi="仿宋" w:eastAsia="仿宋" w:cs="仿宋"/>
          <w:kern w:val="0"/>
          <w:sz w:val="32"/>
          <w:szCs w:val="32"/>
        </w:rPr>
        <w:t>围绕新医科内涵要求，分析教师教学发展中心建设现状与问题，围绕教师专业发展规律，完善医学教师教学发展机制，创新师资培养体系，构建多层次且丰富的教师培训体系；研究设计教师培训项目，探索灵活有效的培训方法，更新教师教学理念，提升教师教学水平；提升教师交叉融合不同学科、构建新医科教学内容的能力。</w:t>
      </w:r>
    </w:p>
    <w:p>
      <w:pPr>
        <w:keepNext w:val="0"/>
        <w:keepLines w:val="0"/>
        <w:pageBreakBefore w:val="0"/>
        <w:kinsoku/>
        <w:wordWrap/>
        <w:overflowPunct/>
        <w:topLinePunct w:val="0"/>
        <w:autoSpaceDE w:val="0"/>
        <w:autoSpaceDN w:val="0"/>
        <w:bidi w:val="0"/>
        <w:adjustRightInd w:val="0"/>
        <w:snapToGrid w:val="0"/>
        <w:spacing w:line="560" w:lineRule="exact"/>
        <w:ind w:firstLine="643" w:firstLineChars="200"/>
        <w:textAlignment w:val="auto"/>
        <w:rPr>
          <w:rFonts w:ascii="仿宋_GB2312" w:hAnsi="宋体" w:eastAsia="仿宋_GB2312"/>
          <w:sz w:val="32"/>
          <w:szCs w:val="32"/>
        </w:rPr>
      </w:pPr>
      <w:r>
        <w:rPr>
          <w:rFonts w:hint="eastAsia" w:ascii="仿宋" w:hAnsi="仿宋" w:eastAsia="仿宋" w:cs="仿宋"/>
          <w:b/>
          <w:bCs/>
          <w:kern w:val="0"/>
          <w:sz w:val="32"/>
          <w:szCs w:val="32"/>
        </w:rPr>
        <w:t>预期成果：</w:t>
      </w:r>
      <w:r>
        <w:rPr>
          <w:rFonts w:hint="eastAsia" w:ascii="仿宋" w:hAnsi="仿宋" w:eastAsia="仿宋" w:cs="仿宋"/>
          <w:kern w:val="0"/>
          <w:sz w:val="32"/>
          <w:szCs w:val="32"/>
        </w:rPr>
        <w:t>形成新医科教师教学发展分类评价标准、政策保障及教师教学发展方案等。</w:t>
      </w:r>
    </w:p>
    <w:p>
      <w:pPr>
        <w:keepNext w:val="0"/>
        <w:keepLines w:val="0"/>
        <w:pageBreakBefore w:val="0"/>
        <w:kinsoku/>
        <w:wordWrap/>
        <w:overflowPunct/>
        <w:topLinePunct w:val="0"/>
        <w:bidi w:val="0"/>
        <w:spacing w:line="560" w:lineRule="exact"/>
        <w:textAlignment w:val="auto"/>
      </w:pPr>
    </w:p>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黑体" w:hAnsi="黑体" w:eastAsia="黑体" w:cs="黑体"/>
          <w:sz w:val="32"/>
          <w:szCs w:val="32"/>
          <w:lang w:val="en" w:eastAsia="zh-CN"/>
        </w:rPr>
      </w:pPr>
      <w:r>
        <w:br w:type="page"/>
      </w:r>
      <w:r>
        <w:rPr>
          <w:rFonts w:hint="eastAsia" w:ascii="黑体" w:hAnsi="黑体" w:eastAsia="黑体" w:cs="黑体"/>
          <w:sz w:val="32"/>
          <w:szCs w:val="32"/>
        </w:rPr>
        <w:t>附件</w:t>
      </w:r>
      <w:r>
        <w:rPr>
          <w:rFonts w:hint="default" w:ascii="黑体" w:hAnsi="黑体" w:eastAsia="黑体" w:cs="黑体"/>
          <w:sz w:val="32"/>
          <w:szCs w:val="32"/>
          <w:lang w:val="en" w:eastAsia="zh-CN"/>
        </w:rPr>
        <w:t>3</w:t>
      </w:r>
    </w:p>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黑体" w:eastAsia="方正小标宋简体" w:cs="黑体"/>
          <w:bCs/>
          <w:sz w:val="44"/>
          <w:szCs w:val="44"/>
        </w:rPr>
      </w:pPr>
      <w:r>
        <w:rPr>
          <w:rFonts w:hint="eastAsia" w:ascii="方正小标宋简体" w:hAnsi="黑体" w:eastAsia="方正小标宋简体" w:cs="黑体"/>
          <w:bCs/>
          <w:sz w:val="44"/>
          <w:szCs w:val="44"/>
        </w:rPr>
        <w:t>广西普通本科高校新农科研究与实践</w:t>
      </w:r>
    </w:p>
    <w:p>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黑体" w:eastAsia="方正小标宋简体" w:cs="黑体"/>
          <w:bCs/>
          <w:sz w:val="44"/>
          <w:szCs w:val="44"/>
        </w:rPr>
      </w:pPr>
      <w:r>
        <w:rPr>
          <w:rFonts w:hint="eastAsia" w:ascii="方正小标宋简体" w:hAnsi="黑体" w:eastAsia="方正小标宋简体" w:cs="黑体"/>
          <w:bCs/>
          <w:sz w:val="44"/>
          <w:szCs w:val="44"/>
        </w:rPr>
        <w:t>项目申报指南</w:t>
      </w:r>
    </w:p>
    <w:p>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b/>
          <w:sz w:val="32"/>
          <w:szCs w:val="32"/>
        </w:rPr>
      </w:pP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1.</w:t>
      </w:r>
      <w:r>
        <w:rPr>
          <w:rFonts w:hint="eastAsia" w:ascii="楷体" w:hAnsi="楷体" w:eastAsia="楷体" w:cs="楷体"/>
          <w:b w:val="0"/>
          <w:bCs/>
          <w:sz w:val="32"/>
          <w:szCs w:val="32"/>
        </w:rPr>
        <w:t>广西新农科建设政策及体制机制创新研究</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研究推动广西新农科建设政策及体制机制改革创新，以提升教育质量为核心、以激励教师投入和人才培养为重点，提出适应广西新农科建设发展需要的经费投入、基地建设、评价激励、招生规模、培养层次、就业举措等系统性政策与体制机制支撑体系，从宏观、中观和微观三个层面提出解决制约广西新农科建设发展瓶颈的可行性方案，全面提高农林人才培养能力，为广西新农科建设发展提供强有力理论支持、经验借鉴及政策保障。</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研究报告、解决方案、政策建议等。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2.</w:t>
      </w:r>
      <w:r>
        <w:rPr>
          <w:rFonts w:hint="eastAsia" w:ascii="楷体" w:hAnsi="楷体" w:eastAsia="楷体" w:cs="楷体"/>
          <w:b w:val="0"/>
          <w:bCs/>
          <w:sz w:val="32"/>
          <w:szCs w:val="32"/>
        </w:rPr>
        <w:t>广西新农科建设中长期发展战略研究</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分析国内新农科建设现状、建设规律及发展趋势，研究广西新农科建设现状及发展趋势，主要包括成绩及经验、发展基础、主要问题、面临形势以及发展趋势等，其中重点深入研究分析影响中长期规划目标实现的重大战略问题，研究并提出广西新农科建设中长期发展规划的主要目标、评价指标体系、发展路径、重点发展领域及其优先主题以及对策与保障措施。</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研究报告（含广西新农科中长期发展规划纲要及编制说明）、咨询报告等。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3.</w:t>
      </w:r>
      <w:r>
        <w:rPr>
          <w:rFonts w:hint="eastAsia" w:ascii="楷体" w:hAnsi="楷体" w:eastAsia="楷体" w:cs="楷体"/>
          <w:b w:val="0"/>
          <w:bCs/>
          <w:sz w:val="32"/>
          <w:szCs w:val="32"/>
        </w:rPr>
        <w:t>广西新农科建设标准化体系研究</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根据国家和广西新农科标准化建设现状，结合广西新农科建设发展战略规划，研究并提出广西新农科建设标准化体系，主要包括学科专业建设、人才培养、课程与教材、基层教学组织、实践教育基地、绩效考核等领域的标准化研究，其中重点研究提出近期（“十四五”期间）需制（修）订新农科建设领域地方标准和指南体系清单。</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研究报告、咨询报告等。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4.</w:t>
      </w:r>
      <w:r>
        <w:rPr>
          <w:rFonts w:hint="eastAsia" w:ascii="楷体" w:hAnsi="楷体" w:eastAsia="楷体" w:cs="楷体"/>
          <w:b w:val="0"/>
          <w:bCs/>
          <w:sz w:val="32"/>
          <w:szCs w:val="32"/>
        </w:rPr>
        <w:t>新农科背景下涉农现代产业学院建设与运行模式研究</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以服务广西支柱性、特色及新型农业产业发展、乡村振兴战略实施需求和提升涉农特色专业为出发点，探索研究在新农科建设背景下，广西涉农现代产业学院建设与运行模式研究，主要内容包括产业学院建设功能设计、组织机构设计、基本运行制度设计、科研项目组织设计、订制化人才培养方案设计及管理机制体制等，构建和探索产业链、创新链和教育链在新农科和现代产业学院建设背景下的深度融合发展的实践路径及运行模式，发挥企业重要教育主体作用，构建高等教育与产业集群联动发展机制，为涉农现代产业学院建设和运行提供可复制、可推广的新模式。</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提出基于新农科建设背景下广西涉农现代产业学院建设和运行的新模式，含建设方案及相关研究报告等。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5.</w:t>
      </w:r>
      <w:r>
        <w:rPr>
          <w:rFonts w:hint="eastAsia" w:ascii="楷体" w:hAnsi="楷体" w:eastAsia="楷体" w:cs="楷体"/>
          <w:b w:val="0"/>
          <w:bCs/>
          <w:sz w:val="32"/>
          <w:szCs w:val="32"/>
        </w:rPr>
        <w:t>新型农科人才核心能力指标体系研究</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基于新一轮科技革命、产业变革和现代农林业发展趋势，结合广西及区域重点发展、支柱性、特色以及新兴农业等涉农产业发展的人才需求，以适应和引领乡村振兴建设为目标，以岗位胜任力为导向，探讨新型农林人才必须具备的知识能力素质，提出新农科人才核心能力框架，明确各专业类人才的核心能力指标体系，为新农科人才培养方案制定提供依据。</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形成新农科人才核心能力体系，提出各专业类人才核心能力框架，提交研究报告、培养方案、案例等。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6.</w:t>
      </w:r>
      <w:r>
        <w:rPr>
          <w:rFonts w:hint="eastAsia" w:ascii="楷体" w:hAnsi="楷体" w:eastAsia="楷体" w:cs="楷体"/>
          <w:b w:val="0"/>
          <w:bCs/>
          <w:sz w:val="32"/>
          <w:szCs w:val="32"/>
        </w:rPr>
        <w:t>广西新农科建设教育教学改革创新研究</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分析国内及广西新农科建设教育教学改革与发展历程，开展广西与国内先进省（市、自治区）新农科建设教育教学对比分析及案例研究，研究广西新农科建设与区域经济社会发展、科技革命和产业变革、农业农村现代化、乡村振兴建设间的互动规律，探寻广西新农科教育教学改革未来发展趋势。结合广西新农科教育教学现状，围绕广西重点发展的粮食、糖料蔗、水果、蔬菜、茶叶、蚕桑、食用菌、渔业、优质家畜（禽）、中药材、木本油料、林业等种养产业和富硒农业、有机循环农业、休闲农业、森林康养、生态旅游、大健康产业等新兴产业发展的人才需求，开展广西新农科建设教育教学改革创新研究，重点包括适应广西新农科人才发展需求的教育教学改革创新的新路径、新模式、新方法研究。</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Cs/>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研究报告、案例分析、咨询报告、政策建议等。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7.</w:t>
      </w:r>
      <w:r>
        <w:rPr>
          <w:rFonts w:hint="eastAsia" w:ascii="楷体" w:hAnsi="楷体" w:eastAsia="楷体" w:cs="楷体"/>
          <w:b w:val="0"/>
          <w:bCs/>
          <w:sz w:val="32"/>
          <w:szCs w:val="32"/>
        </w:rPr>
        <w:t>新农科建设绩效评价研究</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分析国内高校新农科建设绩效评价总体进展、典型做法和实施成效，调研分析广西高校新农科建设绩效评价的实施情况，总结相关经验和实践案例，分析存在问题，研究广西新农科建设绩效评价目标、原则、指标等，提出广西新农科建设绩效评价体系，为广西新农科建设提供分类精准指导。</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黑体" w:hAnsi="黑体" w:eastAsia="黑体" w:cs="黑体"/>
          <w:b w:val="0"/>
          <w:bCs/>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建立新农科建设绩效评价体系，形成新农科建设评价分析报告等。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8.</w:t>
      </w:r>
      <w:r>
        <w:rPr>
          <w:rFonts w:hint="eastAsia" w:ascii="楷体" w:hAnsi="楷体" w:eastAsia="楷体" w:cs="楷体"/>
          <w:b w:val="0"/>
          <w:bCs/>
          <w:sz w:val="32"/>
          <w:szCs w:val="32"/>
        </w:rPr>
        <w:t>农科人才思政教育与“大国三农”教育实践</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落实立德树人根本任务，用习近平新时代中国特色社会主义思想在农林教育中铸魂育人，</w:t>
      </w:r>
      <w:r>
        <w:rPr>
          <w:rFonts w:hint="eastAsia" w:ascii="仿宋" w:hAnsi="仿宋" w:eastAsia="仿宋" w:cs="仿宋"/>
          <w:bCs/>
          <w:sz w:val="32"/>
          <w:szCs w:val="32"/>
        </w:rPr>
        <w:t>推动形成“三全育人”格局；</w:t>
      </w:r>
      <w:r>
        <w:rPr>
          <w:rFonts w:hint="eastAsia" w:ascii="仿宋" w:hAnsi="仿宋" w:eastAsia="仿宋" w:cs="仿宋"/>
          <w:sz w:val="32"/>
          <w:szCs w:val="32"/>
        </w:rPr>
        <w:t>深入挖掘各类新农科课程和教学方式中蕴含的思想政治教育资源，探索实践农科教育与思想政治教育深度融合的模式与路径；以强农兴农为己任，开发建设</w:t>
      </w:r>
      <w:r>
        <w:rPr>
          <w:rFonts w:hint="eastAsia" w:ascii="仿宋" w:hAnsi="仿宋" w:eastAsia="仿宋" w:cs="仿宋"/>
          <w:bCs/>
          <w:sz w:val="32"/>
          <w:szCs w:val="32"/>
        </w:rPr>
        <w:t>“大国三农”通识教育系列课程，增进学生了解国情、农情，培养学生家国情怀，</w:t>
      </w:r>
      <w:r>
        <w:rPr>
          <w:rFonts w:hint="eastAsia" w:ascii="仿宋" w:hAnsi="仿宋" w:eastAsia="仿宋" w:cs="仿宋"/>
          <w:sz w:val="32"/>
          <w:szCs w:val="32"/>
        </w:rPr>
        <w:t>增强学生服务“三农”和农业农村现代化的使命感和责任感，</w:t>
      </w:r>
      <w:r>
        <w:rPr>
          <w:rFonts w:hint="eastAsia" w:ascii="仿宋" w:hAnsi="仿宋" w:eastAsia="仿宋" w:cs="仿宋"/>
          <w:bCs/>
          <w:sz w:val="32"/>
          <w:szCs w:val="32"/>
        </w:rPr>
        <w:t>培育学生</w:t>
      </w:r>
      <w:r>
        <w:rPr>
          <w:rFonts w:hint="eastAsia" w:ascii="仿宋" w:hAnsi="仿宋" w:eastAsia="仿宋" w:cs="仿宋"/>
          <w:sz w:val="32"/>
          <w:szCs w:val="32"/>
        </w:rPr>
        <w:t>爱农知农为农素养。</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Cs/>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提出构建农科人才“三全育人”工作格局的政策、办法和实现路径，形成可推广可示范的农林类课程思政建设模式，构建课程思政建设标准，形成课程思政育人方案和教学案例，建设一批“大国三农”通识教育系列课程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9.</w:t>
      </w:r>
      <w:r>
        <w:rPr>
          <w:rFonts w:hint="eastAsia" w:ascii="楷体" w:hAnsi="楷体" w:eastAsia="楷体" w:cs="楷体"/>
          <w:b w:val="0"/>
          <w:bCs/>
          <w:sz w:val="32"/>
          <w:szCs w:val="32"/>
        </w:rPr>
        <w:t>基于四个面向的新农科教学组织体系重构研究与实践</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面向新农业、新乡村、新农民和新生态，创新校院两级教学组织管理机制，探索适应新农科建设要求的跨学院、跨学科、跨专业培养和大类人才培养的组织架构；优化学院组织模式，探索面向农林产业的新兴产业化学院的建设路径；围绕新农科人才培养模式改革，加强系、教研室、课程组、教学团队等新农科基层教学组织建设及制度建设的创新研究及实践，激发基层教学组织活力。</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lang w:val="en-US" w:eastAsia="zh-CN"/>
        </w:rPr>
      </w:pPr>
      <w:r>
        <w:rPr>
          <w:rFonts w:hint="eastAsia" w:ascii="仿宋" w:hAnsi="仿宋" w:eastAsia="仿宋" w:cs="仿宋"/>
          <w:b/>
          <w:sz w:val="32"/>
          <w:szCs w:val="32"/>
        </w:rPr>
        <w:t>预期成果：</w:t>
      </w:r>
      <w:r>
        <w:rPr>
          <w:rFonts w:hint="eastAsia" w:ascii="仿宋" w:hAnsi="仿宋" w:eastAsia="仿宋" w:cs="仿宋"/>
          <w:sz w:val="32"/>
          <w:szCs w:val="32"/>
        </w:rPr>
        <w:t>形成新农科基层教学组织体系建设方案、管理模式，建设面向新农林业的现代农林产业学院，形成大类人才培养教学组织模式、管理机制等。</w:t>
      </w:r>
      <w:r>
        <w:rPr>
          <w:rFonts w:hint="eastAsia" w:ascii="仿宋" w:hAnsi="仿宋" w:eastAsia="仿宋" w:cs="仿宋"/>
          <w:sz w:val="32"/>
          <w:szCs w:val="32"/>
          <w:lang w:val="en-US" w:eastAsia="zh-CN"/>
        </w:rPr>
        <w:t xml:space="preserve"> </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10.</w:t>
      </w:r>
      <w:r>
        <w:rPr>
          <w:rFonts w:hint="eastAsia" w:ascii="楷体" w:hAnsi="楷体" w:eastAsia="楷体" w:cs="楷体"/>
          <w:b w:val="0"/>
          <w:bCs/>
          <w:sz w:val="32"/>
          <w:szCs w:val="32"/>
        </w:rPr>
        <w:t>新农科课程体系与教材建设研究</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依据新农科人才培养要求，整体设计、整合优化面向广西新农科的课程与教材体系，完善具有广西农林特色的通识课程体系，注重多学科交叉融合和新兴学科的专业课程体系建设，建设开发新形态教材，着力打造农林教育“金课”，提升课程高阶性、突出课程创新性、增加课程挑战度，培养学生解决农林业复杂问题的综合能力。</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bCs/>
          <w:sz w:val="32"/>
          <w:szCs w:val="32"/>
        </w:rPr>
        <w:t>建设体现新农科特质和广西特色的通识课程、核心专业课程和学科交叉的系列课程，形成课程改革与</w:t>
      </w:r>
      <w:r>
        <w:rPr>
          <w:rFonts w:hint="eastAsia" w:ascii="仿宋" w:hAnsi="仿宋" w:eastAsia="仿宋" w:cs="仿宋"/>
          <w:sz w:val="32"/>
          <w:szCs w:val="32"/>
        </w:rPr>
        <w:t>“金课”建设方案，出版新农科教材等。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11.</w:t>
      </w:r>
      <w:r>
        <w:rPr>
          <w:rFonts w:hint="eastAsia" w:ascii="楷体" w:hAnsi="楷体" w:eastAsia="楷体" w:cs="楷体"/>
          <w:b w:val="0"/>
          <w:bCs/>
          <w:sz w:val="32"/>
          <w:szCs w:val="32"/>
        </w:rPr>
        <w:t>传统涉农专业改造提升改革与实践</w:t>
      </w:r>
    </w:p>
    <w:p>
      <w:pPr>
        <w:pStyle w:val="9"/>
        <w:keepNext w:val="0"/>
        <w:keepLines w:val="0"/>
        <w:pageBreakBefore w:val="0"/>
        <w:kinsoku/>
        <w:wordWrap/>
        <w:overflowPunct/>
        <w:topLinePunct w:val="0"/>
        <w:autoSpaceDE/>
        <w:autoSpaceDN/>
        <w:bidi w:val="0"/>
        <w:adjustRightInd w:val="0"/>
        <w:snapToGrid w:val="0"/>
        <w:spacing w:line="560" w:lineRule="exact"/>
        <w:ind w:firstLine="643"/>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基于一二三产融合理念，瞄准广西农林产业重点发展方向、主动适应地方农林产业结构重大调整，用现代生物技术、信息技术、工程技术改造提升传统涉农专业，重构专业知识体系和能力要求，探索传统涉农专业改造升级的实施路径，提出智慧农业等新农科专业设置方案。</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建设或升级一流涉农专业，构建广西农林特色优势专业集群，形成传统涉农专业升级改造，重构农科知识体系，新农科专业设置方案和可行性报告等。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12.</w:t>
      </w:r>
      <w:r>
        <w:rPr>
          <w:rFonts w:hint="eastAsia" w:ascii="楷体" w:hAnsi="楷体" w:eastAsia="楷体" w:cs="楷体"/>
          <w:b w:val="0"/>
          <w:bCs/>
          <w:sz w:val="32"/>
          <w:szCs w:val="32"/>
        </w:rPr>
        <w:t>农林类一流专业建设研究与实践</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ascii="仿宋" w:hAnsi="仿宋" w:eastAsia="仿宋" w:cs="仿宋"/>
          <w:b/>
          <w:sz w:val="32"/>
          <w:szCs w:val="32"/>
        </w:rPr>
      </w:pPr>
      <w:r>
        <w:rPr>
          <w:rFonts w:hint="eastAsia" w:ascii="仿宋" w:hAnsi="仿宋" w:eastAsia="仿宋" w:cs="仿宋"/>
          <w:b/>
          <w:kern w:val="2"/>
          <w:sz w:val="32"/>
          <w:szCs w:val="32"/>
        </w:rPr>
        <w:t>立项要点：</w:t>
      </w:r>
      <w:r>
        <w:rPr>
          <w:rFonts w:hint="eastAsia" w:ascii="仿宋" w:hAnsi="仿宋" w:eastAsia="仿宋" w:cs="仿宋"/>
          <w:kern w:val="2"/>
          <w:sz w:val="32"/>
          <w:szCs w:val="32"/>
        </w:rPr>
        <w:t>面向国家、地区重大战略需要和经济社会发展新形势新要求，对标卓越农林人才教育培养计划２.0、一流专业“双万计划”和一流专业建设标准，结合广西农林类专业建设现状，研究农科类专业结构优化、内涵建设、课程教材体系的建设，创新人才培养模式，科学确定新农科专业人才培养目标和培养标准，探索基于多学科交叉复合的新课程体系、教学内容、培养方式。探索广西农林类一流专业建设新思路和新举措，制订一套可行的农林类一流专业建设方案。</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bCs/>
          <w:sz w:val="32"/>
          <w:szCs w:val="32"/>
        </w:rPr>
        <w:t>形成广西农林类一流专业建设方案，包括专业改革方案、人才培养方案、一流课程、课程体系改革方案、高质量农科教材等。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13.</w:t>
      </w:r>
      <w:r>
        <w:rPr>
          <w:rFonts w:hint="eastAsia" w:ascii="楷体" w:hAnsi="楷体" w:eastAsia="楷体" w:cs="楷体"/>
          <w:b w:val="0"/>
          <w:bCs/>
          <w:sz w:val="32"/>
          <w:szCs w:val="32"/>
        </w:rPr>
        <w:t>多学科交叉融合的农科人才培养模式机制创新研究与实践</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hint="eastAsia" w:ascii="仿宋" w:hAnsi="仿宋" w:eastAsia="仿宋" w:cs="仿宋"/>
          <w:kern w:val="2"/>
          <w:sz w:val="32"/>
          <w:szCs w:val="32"/>
        </w:rPr>
      </w:pPr>
      <w:r>
        <w:rPr>
          <w:rFonts w:hint="eastAsia" w:ascii="仿宋" w:hAnsi="仿宋" w:eastAsia="仿宋" w:cs="仿宋"/>
          <w:b/>
          <w:kern w:val="2"/>
          <w:sz w:val="32"/>
          <w:szCs w:val="32"/>
        </w:rPr>
        <w:t>立项要点：</w:t>
      </w:r>
      <w:r>
        <w:rPr>
          <w:rFonts w:hint="eastAsia" w:ascii="仿宋" w:hAnsi="仿宋" w:eastAsia="仿宋" w:cs="仿宋"/>
          <w:kern w:val="2"/>
          <w:sz w:val="32"/>
          <w:szCs w:val="32"/>
        </w:rPr>
        <w:t>打破固有学科边界，形成跨学科、跨院系、跨专业新农科人才培养模式机制，探索多学科交叉融合农林人才培养的院系组织模式，建设跨学科跨专业教学团队和科教实践项目平台，研究制定多学科交叉的综合能力达成的评价标准和考核办法。</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hint="eastAsia" w:ascii="仿宋" w:hAnsi="仿宋" w:eastAsia="仿宋" w:cs="仿宋"/>
          <w:sz w:val="32"/>
          <w:szCs w:val="32"/>
        </w:rPr>
      </w:pPr>
      <w:r>
        <w:rPr>
          <w:rFonts w:hint="eastAsia" w:ascii="仿宋" w:hAnsi="仿宋" w:eastAsia="仿宋" w:cs="仿宋"/>
          <w:b/>
          <w:kern w:val="2"/>
          <w:sz w:val="32"/>
          <w:szCs w:val="32"/>
        </w:rPr>
        <w:t>预期成果：</w:t>
      </w:r>
      <w:r>
        <w:rPr>
          <w:rFonts w:hint="eastAsia" w:ascii="仿宋" w:hAnsi="仿宋" w:eastAsia="仿宋" w:cs="仿宋"/>
          <w:bCs/>
          <w:kern w:val="2"/>
          <w:sz w:val="32"/>
          <w:szCs w:val="32"/>
        </w:rPr>
        <w:t>形成多学科交叉融合农林人才培养新模式、新方案，建设高水平跨学科跨专业的教学团队和考核评价机制，</w:t>
      </w:r>
      <w:r>
        <w:rPr>
          <w:rFonts w:hint="eastAsia" w:ascii="仿宋" w:hAnsi="仿宋" w:eastAsia="仿宋" w:cs="仿宋"/>
          <w:sz w:val="32"/>
          <w:szCs w:val="32"/>
        </w:rPr>
        <w:t>提交实践报告、培养方案、案例分析</w:t>
      </w:r>
      <w:r>
        <w:rPr>
          <w:rFonts w:hint="eastAsia" w:ascii="仿宋" w:hAnsi="仿宋" w:eastAsia="仿宋" w:cs="仿宋"/>
          <w:bCs/>
          <w:kern w:val="2"/>
          <w:sz w:val="32"/>
          <w:szCs w:val="32"/>
        </w:rPr>
        <w:t>等</w:t>
      </w:r>
      <w:r>
        <w:rPr>
          <w:rFonts w:hint="eastAsia" w:ascii="仿宋" w:hAnsi="仿宋" w:eastAsia="仿宋" w:cs="仿宋"/>
          <w:sz w:val="32"/>
          <w:szCs w:val="32"/>
        </w:rPr>
        <w:t>。</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14.</w:t>
      </w:r>
      <w:r>
        <w:rPr>
          <w:rFonts w:hint="eastAsia" w:ascii="楷体" w:hAnsi="楷体" w:eastAsia="楷体" w:cs="楷体"/>
          <w:b w:val="0"/>
          <w:bCs/>
          <w:sz w:val="32"/>
          <w:szCs w:val="32"/>
        </w:rPr>
        <w:t>新农科创新创业教育研究与实践</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30" w:firstLineChars="196"/>
        <w:jc w:val="both"/>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面向新农业、新乡村、新农民、新生态，完善农林创新创业教育体系，推进创新创业教育与通识教育、专业教育深度融合，开发具有广西特色的农林特色创新创业教育课程，推进分类培养和特色化培养模式改革；探索跨学科跨专业校企合作的培养机制，建设产教融合创新创业教育实践基地，建设专兼职创新创业师资队伍，探索完善创新创业能力导向的激励制度，促进学生创新创业能力和综合素养提升。</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30" w:firstLineChars="196"/>
        <w:jc w:val="both"/>
        <w:textAlignment w:val="auto"/>
        <w:rPr>
          <w:rFonts w:hint="eastAsia" w:ascii="仿宋" w:hAnsi="仿宋" w:eastAsia="仿宋" w:cs="仿宋"/>
          <w:kern w:val="2"/>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形成广西新农科创新创业教育新体系、新模式，提交创新创业教育方案、典型案例等。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15.</w:t>
      </w:r>
      <w:r>
        <w:rPr>
          <w:rFonts w:hint="eastAsia" w:ascii="楷体" w:hAnsi="楷体" w:eastAsia="楷体" w:cs="楷体"/>
          <w:b w:val="0"/>
          <w:bCs/>
          <w:sz w:val="32"/>
          <w:szCs w:val="32"/>
        </w:rPr>
        <w:t>新农科协同育人教育研究与实践</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30" w:firstLineChars="196"/>
        <w:jc w:val="both"/>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kern w:val="2"/>
          <w:sz w:val="32"/>
          <w:szCs w:val="32"/>
        </w:rPr>
        <w:t>调研分析国家及广西产教融合协同育人现状与问题，结合国家战略和广西农林产业发展新需求，创新产教融合协同育人机制，推进广西新农科人才培养链与产业链相对接，</w:t>
      </w:r>
      <w:r>
        <w:rPr>
          <w:rFonts w:hint="eastAsia" w:ascii="仿宋" w:hAnsi="仿宋" w:eastAsia="仿宋" w:cs="仿宋"/>
          <w:sz w:val="32"/>
          <w:szCs w:val="32"/>
        </w:rPr>
        <w:t>建立农林高校教师与企业人员双向挂职办法，</w:t>
      </w:r>
      <w:r>
        <w:rPr>
          <w:rFonts w:hint="eastAsia" w:ascii="仿宋" w:hAnsi="仿宋" w:eastAsia="仿宋" w:cs="仿宋"/>
          <w:kern w:val="2"/>
          <w:sz w:val="32"/>
          <w:szCs w:val="32"/>
        </w:rPr>
        <w:t>探索高校与农林企业合作育人新模式，建设农林产教融合人才培养基地，推动校企合作办学、合作育人、合作促进就业、合作共同发展。</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30" w:firstLineChars="196"/>
        <w:jc w:val="both"/>
        <w:textAlignment w:val="auto"/>
        <w:rPr>
          <w:rFonts w:hint="eastAsia" w:ascii="仿宋" w:hAnsi="仿宋" w:eastAsia="仿宋" w:cs="仿宋"/>
          <w:kern w:val="2"/>
          <w:sz w:val="32"/>
          <w:szCs w:val="32"/>
        </w:rPr>
      </w:pPr>
      <w:r>
        <w:rPr>
          <w:rFonts w:hint="eastAsia" w:ascii="仿宋" w:hAnsi="仿宋" w:eastAsia="仿宋" w:cs="仿宋"/>
          <w:b/>
          <w:sz w:val="32"/>
          <w:szCs w:val="32"/>
        </w:rPr>
        <w:t>预期成果：</w:t>
      </w:r>
      <w:r>
        <w:rPr>
          <w:rFonts w:hint="eastAsia" w:ascii="仿宋" w:hAnsi="仿宋" w:eastAsia="仿宋" w:cs="仿宋"/>
          <w:kern w:val="2"/>
          <w:sz w:val="32"/>
          <w:szCs w:val="32"/>
        </w:rPr>
        <w:t>形成广西新农科产教融合育人新模式，建设若干农林产教融合示范基地，提交研究报告、建设方案、典型案例等。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16.</w:t>
      </w:r>
      <w:r>
        <w:rPr>
          <w:rFonts w:hint="eastAsia" w:ascii="楷体" w:hAnsi="楷体" w:eastAsia="楷体" w:cs="楷体"/>
          <w:b w:val="0"/>
          <w:bCs/>
          <w:sz w:val="32"/>
          <w:szCs w:val="32"/>
        </w:rPr>
        <w:t>服务乡村振兴战略模式研究与实践</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hint="eastAsia" w:ascii="仿宋" w:hAnsi="仿宋" w:eastAsia="仿宋" w:cs="仿宋"/>
          <w:sz w:val="32"/>
          <w:szCs w:val="32"/>
        </w:rPr>
      </w:pPr>
      <w:r>
        <w:rPr>
          <w:rFonts w:hint="eastAsia" w:ascii="仿宋" w:hAnsi="仿宋" w:eastAsia="仿宋" w:cs="仿宋"/>
          <w:b/>
          <w:kern w:val="2"/>
          <w:sz w:val="32"/>
          <w:szCs w:val="32"/>
        </w:rPr>
        <w:t>立项要点：</w:t>
      </w:r>
      <w:r>
        <w:rPr>
          <w:rFonts w:hint="eastAsia" w:ascii="仿宋" w:hAnsi="仿宋" w:eastAsia="仿宋" w:cs="仿宋"/>
          <w:sz w:val="32"/>
          <w:szCs w:val="32"/>
        </w:rPr>
        <w:t>调研分析广西高校服务乡村振兴的现状与问题，加强广西乡村振兴战略研究智库和乡村振兴研究院建设，围绕广西乡村产业振兴、人才振兴、文化振兴、生态振兴和组织振兴中的重大理论和实践问题，创新校地协同育人、科技成果协同推广、农业科技园区共建等服务乡村振兴体制机制、模式。</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hint="eastAsia" w:ascii="仿宋" w:hAnsi="仿宋" w:eastAsia="仿宋" w:cs="仿宋"/>
          <w:sz w:val="32"/>
          <w:szCs w:val="32"/>
        </w:rPr>
      </w:pPr>
      <w:r>
        <w:rPr>
          <w:rFonts w:hint="eastAsia" w:ascii="仿宋" w:hAnsi="仿宋" w:eastAsia="仿宋" w:cs="仿宋"/>
          <w:b/>
          <w:kern w:val="2"/>
          <w:sz w:val="32"/>
          <w:szCs w:val="32"/>
        </w:rPr>
        <w:t>预期成果：</w:t>
      </w:r>
      <w:r>
        <w:rPr>
          <w:rFonts w:hint="eastAsia" w:ascii="仿宋" w:hAnsi="仿宋" w:eastAsia="仿宋" w:cs="仿宋"/>
          <w:sz w:val="32"/>
          <w:szCs w:val="32"/>
        </w:rPr>
        <w:t>建设面向新乡村的乡村振兴研究院，形成广西高校服务乡村振兴战略新理念、新模式、新机制，提交基于案例、数据的研究报告、政策建议等。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17.</w:t>
      </w:r>
      <w:r>
        <w:rPr>
          <w:rFonts w:hint="eastAsia" w:ascii="楷体" w:hAnsi="楷体" w:eastAsia="楷体" w:cs="楷体"/>
          <w:b w:val="0"/>
          <w:bCs/>
          <w:sz w:val="32"/>
          <w:szCs w:val="32"/>
        </w:rPr>
        <w:t>信息技术与新农科教育教学深度融合研究与实践</w:t>
      </w:r>
    </w:p>
    <w:p>
      <w:pPr>
        <w:keepNext w:val="0"/>
        <w:keepLines w:val="0"/>
        <w:pageBreakBefore w:val="0"/>
        <w:kinsoku/>
        <w:wordWrap/>
        <w:overflowPunct/>
        <w:topLinePunct w:val="0"/>
        <w:autoSpaceDE/>
        <w:autoSpaceDN/>
        <w:bidi w:val="0"/>
        <w:adjustRightInd w:val="0"/>
        <w:snapToGrid w:val="0"/>
        <w:spacing w:line="560" w:lineRule="exact"/>
        <w:ind w:firstLine="630" w:firstLineChars="196"/>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推进新一代信息技术与新农科教育教学深度融合，促进教学模式、教学方法、学习方式变革。围绕在线开放课程与混合式教学，从“教”与“学”两方面入手，探索智慧环境下课堂教学与实践教学组织模式改革，创新课内课外师生互动机制，探索虚拟仿真等信息技术的深度应用，实现优质新农科教学资源的开放共享。</w:t>
      </w:r>
    </w:p>
    <w:p>
      <w:pPr>
        <w:keepNext w:val="0"/>
        <w:keepLines w:val="0"/>
        <w:pageBreakBefore w:val="0"/>
        <w:kinsoku/>
        <w:wordWrap/>
        <w:overflowPunct/>
        <w:topLinePunct w:val="0"/>
        <w:autoSpaceDE/>
        <w:autoSpaceDN/>
        <w:bidi w:val="0"/>
        <w:adjustRightInd w:val="0"/>
        <w:snapToGrid w:val="0"/>
        <w:spacing w:line="560" w:lineRule="exact"/>
        <w:ind w:firstLine="630" w:firstLineChars="196"/>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形成“互联网+”教学模式、教学方法、学习方式、考核方式、教学制度改革创新的新方案和典型案例，建设农林教育信息化相配套的共享和交流机制、教学管理平台等。</w:t>
      </w:r>
    </w:p>
    <w:p>
      <w:pPr>
        <w:pStyle w:val="9"/>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18.</w:t>
      </w:r>
      <w:r>
        <w:rPr>
          <w:rFonts w:hint="eastAsia" w:ascii="楷体" w:hAnsi="楷体" w:eastAsia="楷体" w:cs="楷体"/>
          <w:b w:val="0"/>
          <w:bCs/>
          <w:sz w:val="32"/>
          <w:szCs w:val="32"/>
        </w:rPr>
        <w:t>高校联盟与企业研究生分院协同培养新农科人才模式机制创新研究与实践</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hint="eastAsia" w:ascii="仿宋" w:hAnsi="仿宋" w:eastAsia="仿宋" w:cs="仿宋"/>
          <w:kern w:val="2"/>
          <w:sz w:val="32"/>
          <w:szCs w:val="32"/>
        </w:rPr>
      </w:pPr>
      <w:r>
        <w:rPr>
          <w:rFonts w:hint="eastAsia" w:ascii="仿宋" w:hAnsi="仿宋" w:eastAsia="仿宋" w:cs="仿宋"/>
          <w:b/>
          <w:kern w:val="2"/>
          <w:sz w:val="32"/>
          <w:szCs w:val="32"/>
        </w:rPr>
        <w:t>立项要点：</w:t>
      </w:r>
      <w:r>
        <w:rPr>
          <w:rFonts w:hint="eastAsia" w:ascii="仿宋" w:hAnsi="仿宋" w:eastAsia="仿宋" w:cs="仿宋"/>
          <w:kern w:val="2"/>
          <w:sz w:val="32"/>
          <w:szCs w:val="32"/>
        </w:rPr>
        <w:t>围绕广西传统优势特色农业产业链转型升级的“锻长链、补短板”及需要大量高素质农科类人才的背景，结合广西拥有多所农科类院校及具有优势特色农业的情况，由研究生分院提供场地、经费，与高校共同探索解决“卡脖子问题”，专、本、硕、博不同层次学生形成团队，在不同高校、专业导师指导下进行“科研攻关答题”，探索跨校培养高素质农林类人才机制，以满足当前广西农业类企业对大量综合素质高的人才需求，助力乡村振兴、壮美广西。</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hint="eastAsia" w:ascii="仿宋" w:hAnsi="仿宋" w:eastAsia="仿宋" w:cs="仿宋"/>
          <w:sz w:val="32"/>
          <w:szCs w:val="32"/>
        </w:rPr>
      </w:pPr>
      <w:r>
        <w:rPr>
          <w:rFonts w:hint="eastAsia" w:ascii="仿宋" w:hAnsi="仿宋" w:eastAsia="仿宋" w:cs="仿宋"/>
          <w:b/>
          <w:kern w:val="2"/>
          <w:sz w:val="32"/>
          <w:szCs w:val="32"/>
        </w:rPr>
        <w:t>预期成果：</w:t>
      </w:r>
      <w:r>
        <w:rPr>
          <w:rFonts w:hint="eastAsia" w:ascii="仿宋" w:hAnsi="仿宋" w:eastAsia="仿宋" w:cs="仿宋"/>
          <w:kern w:val="2"/>
          <w:sz w:val="32"/>
          <w:szCs w:val="32"/>
        </w:rPr>
        <w:t>形成</w:t>
      </w:r>
      <w:r>
        <w:rPr>
          <w:rFonts w:hint="eastAsia" w:ascii="仿宋" w:hAnsi="仿宋" w:eastAsia="仿宋" w:cs="仿宋"/>
          <w:sz w:val="32"/>
          <w:szCs w:val="32"/>
        </w:rPr>
        <w:t>跨校、跨学科与企业研究生分院联合培养人才新模式、新机制，提交实践报告、培养方案、案例分析</w:t>
      </w:r>
      <w:r>
        <w:rPr>
          <w:rFonts w:hint="eastAsia" w:ascii="仿宋" w:hAnsi="仿宋" w:eastAsia="仿宋" w:cs="仿宋"/>
          <w:bCs/>
          <w:kern w:val="2"/>
          <w:sz w:val="32"/>
          <w:szCs w:val="32"/>
        </w:rPr>
        <w:t>等</w:t>
      </w:r>
      <w:r>
        <w:rPr>
          <w:rFonts w:hint="eastAsia" w:ascii="仿宋" w:hAnsi="仿宋" w:eastAsia="仿宋" w:cs="仿宋"/>
          <w:sz w:val="32"/>
          <w:szCs w:val="32"/>
        </w:rPr>
        <w:t>。</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rPr>
        <w:t>19.</w:t>
      </w:r>
      <w:r>
        <w:rPr>
          <w:rFonts w:hint="eastAsia" w:ascii="楷体" w:hAnsi="楷体" w:eastAsia="楷体" w:cs="楷体"/>
          <w:b w:val="0"/>
          <w:bCs/>
          <w:kern w:val="2"/>
          <w:sz w:val="32"/>
          <w:szCs w:val="32"/>
          <w:lang w:val="en-US" w:eastAsia="zh-CN" w:bidi="ar-SA"/>
        </w:rPr>
        <w:t>涉农专业应用型人才培养模式的研究与实践</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结合当地产业，完善实践教学体系，改革农林专业人才培养模式，培养学生实践动手能力、创新能力及创业能力，实现人才培养与岗位需求对接。培养学生懂农业、爱农村、爱农民的思想，扎根基层，为农林生产一线解决技术难题，为广西农业现代化建设发展服务。</w:t>
      </w:r>
    </w:p>
    <w:p>
      <w:pPr>
        <w:keepNext w:val="0"/>
        <w:keepLines w:val="0"/>
        <w:pageBreakBefore w:val="0"/>
        <w:kinsoku/>
        <w:wordWrap/>
        <w:overflowPunct/>
        <w:topLinePunct w:val="0"/>
        <w:autoSpaceDE/>
        <w:autoSpaceDN/>
        <w:bidi w:val="0"/>
        <w:adjustRightInd w:val="0"/>
        <w:snapToGrid w:val="0"/>
        <w:spacing w:line="560" w:lineRule="exact"/>
        <w:ind w:firstLine="627"/>
        <w:textAlignment w:val="auto"/>
        <w:rPr>
          <w:rFonts w:hint="eastAsia" w:ascii="仿宋" w:hAnsi="仿宋" w:eastAsia="仿宋" w:cs="仿宋"/>
          <w:sz w:val="32"/>
          <w:szCs w:val="32"/>
        </w:rPr>
      </w:pPr>
      <w:r>
        <w:rPr>
          <w:rFonts w:hint="eastAsia" w:ascii="仿宋" w:hAnsi="仿宋" w:eastAsia="仿宋" w:cs="仿宋"/>
          <w:b/>
          <w:sz w:val="32"/>
          <w:szCs w:val="32"/>
        </w:rPr>
        <w:t>预期成果：</w:t>
      </w:r>
      <w:r>
        <w:rPr>
          <w:rFonts w:hint="eastAsia" w:ascii="仿宋" w:hAnsi="仿宋" w:eastAsia="仿宋" w:cs="仿宋"/>
          <w:sz w:val="32"/>
          <w:szCs w:val="32"/>
        </w:rPr>
        <w:t>形成广西农林专业应用型人才培养新模式或实践教学新模式，建设若干农林校企合作、产教融合示范基地，提交研究报告、凝练典型案例等。</w:t>
      </w:r>
    </w:p>
    <w:p>
      <w:pPr>
        <w:keepNext w:val="0"/>
        <w:keepLines w:val="0"/>
        <w:pageBreakBefore w:val="0"/>
        <w:kinsoku/>
        <w:wordWrap/>
        <w:overflowPunct/>
        <w:topLinePunct w:val="0"/>
        <w:autoSpaceDE/>
        <w:autoSpaceDN/>
        <w:bidi w:val="0"/>
        <w:adjustRightInd w:val="0"/>
        <w:snapToGrid w:val="0"/>
        <w:spacing w:line="560" w:lineRule="exact"/>
        <w:ind w:firstLine="627"/>
        <w:textAlignment w:val="auto"/>
        <w:rPr>
          <w:rFonts w:hint="eastAsia" w:ascii="楷体" w:hAnsi="楷体" w:eastAsia="楷体" w:cs="楷体"/>
          <w:b w:val="0"/>
          <w:bCs/>
          <w:kern w:val="2"/>
          <w:sz w:val="32"/>
          <w:szCs w:val="32"/>
          <w:lang w:val="en-US" w:eastAsia="zh-CN" w:bidi="ar-SA"/>
        </w:rPr>
      </w:pPr>
      <w:r>
        <w:rPr>
          <w:rFonts w:hint="eastAsia" w:ascii="楷体" w:hAnsi="楷体" w:eastAsia="楷体" w:cs="楷体"/>
          <w:b w:val="0"/>
          <w:bCs/>
          <w:kern w:val="2"/>
          <w:sz w:val="32"/>
          <w:szCs w:val="32"/>
          <w:lang w:val="en-US" w:eastAsia="zh-CN" w:bidi="ar-SA"/>
        </w:rPr>
        <w:t>20.面向东盟东亚国际合作的新农科人才培养研究与实践</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立项要点：</w:t>
      </w:r>
      <w:r>
        <w:rPr>
          <w:rFonts w:hint="eastAsia" w:ascii="仿宋" w:hAnsi="仿宋" w:eastAsia="仿宋" w:cs="仿宋"/>
          <w:sz w:val="32"/>
          <w:szCs w:val="32"/>
        </w:rPr>
        <w:t>推进农科人才国际化培养，探索</w:t>
      </w:r>
      <w:bookmarkStart w:id="1" w:name="_Hlk95817245"/>
      <w:r>
        <w:rPr>
          <w:rFonts w:hint="eastAsia" w:ascii="仿宋" w:hAnsi="仿宋" w:eastAsia="仿宋" w:cs="仿宋"/>
          <w:sz w:val="32"/>
          <w:szCs w:val="32"/>
        </w:rPr>
        <w:t>面向东盟或东亚为主的新农科人才培养要求、机制和路径</w:t>
      </w:r>
      <w:bookmarkEnd w:id="1"/>
      <w:r>
        <w:rPr>
          <w:rFonts w:hint="eastAsia" w:ascii="仿宋" w:hAnsi="仿宋" w:eastAsia="仿宋" w:cs="仿宋"/>
          <w:sz w:val="32"/>
          <w:szCs w:val="32"/>
        </w:rPr>
        <w:t>，更好实现服务我国我区外向型农业发展的人才需求。</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pPr>
      <w:r>
        <w:rPr>
          <w:rFonts w:hint="eastAsia" w:ascii="仿宋" w:hAnsi="仿宋" w:eastAsia="仿宋" w:cs="仿宋"/>
          <w:b/>
          <w:sz w:val="32"/>
          <w:szCs w:val="32"/>
        </w:rPr>
        <w:t>预期成果：</w:t>
      </w:r>
      <w:r>
        <w:rPr>
          <w:rFonts w:hint="eastAsia" w:ascii="仿宋" w:hAnsi="仿宋" w:eastAsia="仿宋" w:cs="仿宋"/>
          <w:sz w:val="32"/>
          <w:szCs w:val="32"/>
        </w:rPr>
        <w:t>面向东盟或东亚为主的新农科人才培养要求、机制和路径，提交案例、实证分析、数据研究报告、政策建议等。</w:t>
      </w:r>
    </w:p>
    <w:p>
      <w:pPr>
        <w:keepNext w:val="0"/>
        <w:keepLines w:val="0"/>
        <w:pageBreakBefore w:val="0"/>
        <w:kinsoku/>
        <w:wordWrap/>
        <w:overflowPunct/>
        <w:topLinePunct w:val="0"/>
        <w:autoSpaceDE/>
        <w:autoSpaceDN/>
        <w:bidi w:val="0"/>
        <w:spacing w:line="560" w:lineRule="exact"/>
        <w:textAlignment w:val="auto"/>
        <w:rPr>
          <w:rFonts w:hint="eastAsia" w:ascii="楷体" w:hAnsi="楷体" w:eastAsia="楷体" w:cs="楷体"/>
          <w:bCs/>
          <w:sz w:val="32"/>
          <w:szCs w:val="32"/>
        </w:rPr>
      </w:pPr>
      <w:r>
        <w:rPr>
          <w:rFonts w:hint="eastAsia" w:ascii="楷体" w:hAnsi="楷体" w:eastAsia="楷体" w:cs="楷体"/>
          <w:bCs/>
          <w:sz w:val="32"/>
          <w:szCs w:val="32"/>
          <w:lang w:val="en-US" w:eastAsia="zh-CN"/>
        </w:rPr>
        <w:t xml:space="preserve">    </w:t>
      </w:r>
      <w:r>
        <w:rPr>
          <w:rFonts w:hint="eastAsia" w:ascii="楷体" w:hAnsi="楷体" w:eastAsia="楷体" w:cs="楷体"/>
          <w:bCs/>
          <w:sz w:val="32"/>
          <w:szCs w:val="32"/>
        </w:rPr>
        <w:t>21.面向新农科的实践教育体系研究与实践</w:t>
      </w:r>
    </w:p>
    <w:p>
      <w:pPr>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sz w:val="32"/>
          <w:szCs w:val="32"/>
        </w:rPr>
      </w:pPr>
      <w:r>
        <w:rPr>
          <w:rFonts w:hint="eastAsia" w:ascii="仿宋" w:hAnsi="仿宋" w:eastAsia="仿宋" w:cs="仿宋"/>
          <w:b/>
          <w:sz w:val="32"/>
          <w:szCs w:val="32"/>
          <w:lang w:val="en-US" w:eastAsia="zh-CN"/>
        </w:rPr>
        <w:t xml:space="preserve">    </w:t>
      </w:r>
      <w:r>
        <w:rPr>
          <w:rFonts w:hint="eastAsia" w:ascii="仿宋" w:hAnsi="仿宋" w:eastAsia="仿宋" w:cs="仿宋"/>
          <w:b/>
          <w:sz w:val="32"/>
          <w:szCs w:val="32"/>
        </w:rPr>
        <w:t>立项要点：</w:t>
      </w:r>
      <w:r>
        <w:rPr>
          <w:rFonts w:hint="eastAsia" w:ascii="仿宋" w:hAnsi="仿宋" w:eastAsia="仿宋" w:cs="仿宋"/>
          <w:sz w:val="32"/>
          <w:szCs w:val="32"/>
        </w:rPr>
        <w:t>比较研究国内外农林实践教育教学体系，调研分析广西农科学生实践能力培养现状与问题，构建面向广西新农科的实践教育教学体系，研究提出广西农林实践教学基地建设标准，建设功能集约、开放充分、协同联动的校内外实践教学平台，打造核心实践项目，探索强化实习实践管理、提高实践教学比重的机制，提升学生综合实践能力。</w:t>
      </w:r>
    </w:p>
    <w:p>
      <w:pPr>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sz w:val="32"/>
          <w:szCs w:val="32"/>
        </w:rPr>
      </w:pPr>
      <w:r>
        <w:rPr>
          <w:rFonts w:hint="eastAsia" w:ascii="仿宋" w:hAnsi="仿宋" w:eastAsia="仿宋" w:cs="仿宋"/>
          <w:b/>
          <w:sz w:val="32"/>
          <w:szCs w:val="32"/>
          <w:lang w:val="en-US" w:eastAsia="zh-CN"/>
        </w:rPr>
        <w:t xml:space="preserve">    </w:t>
      </w:r>
      <w:r>
        <w:rPr>
          <w:rFonts w:hint="eastAsia" w:ascii="仿宋" w:hAnsi="仿宋" w:eastAsia="仿宋" w:cs="仿宋"/>
          <w:b/>
          <w:sz w:val="32"/>
          <w:szCs w:val="32"/>
        </w:rPr>
        <w:t>预期成果：</w:t>
      </w:r>
      <w:r>
        <w:rPr>
          <w:rFonts w:hint="eastAsia" w:ascii="仿宋" w:hAnsi="仿宋" w:eastAsia="仿宋" w:cs="仿宋"/>
          <w:sz w:val="32"/>
          <w:szCs w:val="32"/>
        </w:rPr>
        <w:t>形成面向广西新农科的实践教育教学及评价体系，制定农林实践教学基地建设标准，建设若干实践教学示范基地，打造若干核心实践项目，形成学生实践能力培养情况调研报告等。</w:t>
      </w:r>
    </w:p>
    <w:p>
      <w:pPr>
        <w:keepNext w:val="0"/>
        <w:keepLines w:val="0"/>
        <w:pageBreakBefore w:val="0"/>
        <w:widowControl w:val="0"/>
        <w:kinsoku/>
        <w:wordWrap/>
        <w:overflowPunct/>
        <w:topLinePunct w:val="0"/>
        <w:autoSpaceDE/>
        <w:autoSpaceDN/>
        <w:bidi w:val="0"/>
        <w:adjustRightInd/>
        <w:snapToGrid/>
        <w:spacing w:line="554" w:lineRule="exact"/>
        <w:jc w:val="left"/>
        <w:textAlignment w:val="auto"/>
        <w:rPr>
          <w:rFonts w:hint="eastAsia" w:ascii="黑体" w:hAnsi="黑体" w:eastAsia="黑体" w:cs="黑体"/>
          <w:color w:val="000000"/>
          <w:sz w:val="32"/>
          <w:szCs w:val="32"/>
          <w:lang w:val="en" w:eastAsia="zh-CN"/>
        </w:rPr>
      </w:pPr>
      <w:r>
        <w:br w:type="page"/>
      </w: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line="554"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黑体" w:eastAsia="方正小标宋简体" w:cs="黑体"/>
          <w:color w:val="000000"/>
          <w:sz w:val="44"/>
          <w:szCs w:val="44"/>
        </w:rPr>
      </w:pPr>
      <w:r>
        <w:rPr>
          <w:rFonts w:hint="eastAsia" w:ascii="方正小标宋简体" w:hAnsi="黑体" w:eastAsia="方正小标宋简体" w:cs="黑体"/>
          <w:color w:val="000000"/>
          <w:sz w:val="44"/>
          <w:szCs w:val="44"/>
        </w:rPr>
        <w:t>广西普通本科高校新文科研究与实践</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黑体" w:eastAsia="方正小标宋简体" w:cs="黑体"/>
          <w:color w:val="000000"/>
          <w:sz w:val="44"/>
          <w:szCs w:val="44"/>
        </w:rPr>
      </w:pPr>
      <w:r>
        <w:rPr>
          <w:rFonts w:hint="eastAsia" w:ascii="方正小标宋简体" w:hAnsi="黑体" w:eastAsia="方正小标宋简体" w:cs="黑体"/>
          <w:color w:val="000000"/>
          <w:sz w:val="44"/>
          <w:szCs w:val="44"/>
        </w:rPr>
        <w:t>项目申报指南</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b/>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ascii="楷体" w:hAnsi="楷体" w:eastAsia="楷体" w:cs="楷体"/>
          <w:b w:val="0"/>
          <w:bCs w:val="0"/>
          <w:color w:val="000000"/>
          <w:kern w:val="0"/>
          <w:sz w:val="32"/>
          <w:szCs w:val="32"/>
          <w:lang w:bidi="ar"/>
        </w:rPr>
      </w:pPr>
      <w:r>
        <w:rPr>
          <w:rFonts w:hint="eastAsia" w:ascii="楷体" w:hAnsi="楷体" w:eastAsia="楷体" w:cs="楷体"/>
          <w:b w:val="0"/>
          <w:bCs w:val="0"/>
          <w:color w:val="000000"/>
          <w:kern w:val="0"/>
          <w:sz w:val="32"/>
          <w:szCs w:val="32"/>
          <w:lang w:bidi="ar"/>
        </w:rPr>
        <w:t>1.新文科建设理念、改革与发展研究</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ascii="仿宋" w:hAnsi="仿宋" w:eastAsia="仿宋" w:cs="仿宋"/>
          <w:b/>
          <w:bCs/>
          <w:color w:val="000000"/>
          <w:kern w:val="0"/>
          <w:sz w:val="32"/>
          <w:szCs w:val="32"/>
          <w:lang w:bidi="ar"/>
        </w:rPr>
        <w:t>目标</w:t>
      </w:r>
      <w:r>
        <w:rPr>
          <w:rFonts w:hint="eastAsia" w:ascii="仿宋" w:hAnsi="仿宋" w:eastAsia="仿宋" w:cs="仿宋"/>
          <w:b/>
          <w:bCs/>
          <w:color w:val="000000"/>
          <w:kern w:val="0"/>
          <w:sz w:val="32"/>
          <w:szCs w:val="32"/>
          <w:lang w:bidi="ar"/>
        </w:rPr>
        <w:t>：</w:t>
      </w:r>
      <w:r>
        <w:rPr>
          <w:rFonts w:hint="eastAsia" w:ascii="仿宋" w:hAnsi="仿宋" w:eastAsia="仿宋" w:cs="仿宋"/>
          <w:color w:val="000000"/>
          <w:kern w:val="0"/>
          <w:sz w:val="32"/>
          <w:szCs w:val="32"/>
          <w:lang w:bidi="ar"/>
        </w:rPr>
        <w:t>研究培养适应和引领现代产业发展的高素质应用型、复合型、创新型文科人才的新理念、新方法、新路径、新范式。</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坚持以习近平新时代中国特色社会主义思想为指导推进新文科建设，深入推进习近平新时代中国特色社会主义思想“三进”、高校“四史”教育、中华优秀传统文化创造性转化、创新性发展的有效路径、模式、机制研究；发挥文科教育知识性与价值性统一的特点，全面推进课程思政建设，培养担当民族复兴大任的新时代文科人才；科学分析新文科建设面临的机遇和挑战，明确文科教育在整个高等教育中的新定位新功能；研究高等文科教育发展与经济社会发展、新科技革命和产业变革间的互动规律及跨专业、跨学科门类交叉融合路径；调研分析综合类、文科类、理工农医类等不同类型高校文科教育建设发展情况，总结提炼推进新文科建设的经验做法；对接区域经济社会发展需求，结合广西实际，研究提出各专业类新文科建设的人才培养目标、知识能力素质及实现路径；坚持问题导向，从宏观、中观和微观不同角度，分析新文科建设在政策支撑和条件保障上的重难点，提出推动具有民族边疆地区优势特色的新文科建设改革举措。</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调研报告、研究论文、政策建议等。</w:t>
      </w:r>
    </w:p>
    <w:p>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ascii="楷体" w:hAnsi="楷体" w:eastAsia="楷体" w:cs="楷体"/>
          <w:b w:val="0"/>
          <w:bCs w:val="0"/>
          <w:color w:val="000000"/>
          <w:kern w:val="0"/>
          <w:sz w:val="32"/>
          <w:szCs w:val="32"/>
          <w:lang w:bidi="ar"/>
        </w:rPr>
      </w:pPr>
      <w:bookmarkStart w:id="2" w:name="_Hlk95581153"/>
      <w:r>
        <w:rPr>
          <w:rFonts w:hint="eastAsia" w:ascii="楷体" w:hAnsi="楷体" w:eastAsia="楷体" w:cs="楷体"/>
          <w:b w:val="0"/>
          <w:bCs w:val="0"/>
          <w:color w:val="000000"/>
          <w:kern w:val="0"/>
          <w:sz w:val="32"/>
          <w:szCs w:val="32"/>
          <w:lang w:bidi="ar"/>
        </w:rPr>
        <w:t>2.新时代文科专业优化研究与实践</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ascii="仿宋" w:hAnsi="仿宋" w:eastAsia="仿宋" w:cs="仿宋"/>
          <w:b/>
          <w:bCs/>
          <w:color w:val="000000"/>
          <w:kern w:val="0"/>
          <w:sz w:val="32"/>
          <w:szCs w:val="32"/>
          <w:lang w:bidi="ar"/>
        </w:rPr>
        <w:t>目标</w:t>
      </w:r>
      <w:r>
        <w:rPr>
          <w:rFonts w:hint="eastAsia" w:ascii="仿宋" w:hAnsi="仿宋" w:eastAsia="仿宋" w:cs="仿宋"/>
          <w:b/>
          <w:bCs/>
          <w:color w:val="000000"/>
          <w:kern w:val="0"/>
          <w:sz w:val="32"/>
          <w:szCs w:val="32"/>
          <w:lang w:bidi="ar"/>
        </w:rPr>
        <w:t>：</w:t>
      </w:r>
      <w:r>
        <w:rPr>
          <w:rFonts w:hint="eastAsia" w:ascii="仿宋" w:hAnsi="仿宋" w:eastAsia="仿宋" w:cs="仿宋"/>
          <w:color w:val="000000"/>
          <w:kern w:val="0"/>
          <w:sz w:val="32"/>
          <w:szCs w:val="32"/>
          <w:lang w:bidi="ar"/>
        </w:rPr>
        <w:t>主动服务国家重大战略需要和经济社会发展新要求，积极应对新科技革命和产业变革，推进文科专业结构适应区域产业发展需求，探索新时代文科教育新范式。</w:t>
      </w:r>
    </w:p>
    <w:p>
      <w:pPr>
        <w:pStyle w:val="2"/>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结合广西独特区位优势和在国家新发展格局中的战略地位，主动服务“南向、北联、东融、西合”全方位开放发展新格局，聚焦关键领域、重点行业、重点区域，分行业开展人才需求调研，建立健全人才需求预测预警机制和学科专业动态调整机制；探讨新时代文科人才必须具备的知识能力素质，明确各专业类人才的核心能力架构，提升文科人才职业适应性和胜任力；紧跟新一轮科技革命和产业变革新趋势，积极推动人工智能、大数据等现代信息技术与原有文科专业深入融合，探索原有文科专业内涵提升、改造升级的实施路径；研究探索现代信息技术与文科专业、文科专业之间、文科与理工农医科专业深度交叉融合的新方向，研究提出新兴文科专业的增长点和发展方向；科学确定新兴专业人才培养目标和培养标准，探索基于多学科交叉的复合的新课程体系、教学内容、培养方式。</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人才需求调研报告；广西新文科人才培养引导性专业建议目录；原有文科专业人才培养改革方案；新兴文科专业设置论证报告等。</w:t>
      </w:r>
    </w:p>
    <w:bookmarkEnd w:id="2"/>
    <w:p>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ascii="楷体" w:hAnsi="楷体" w:eastAsia="楷体" w:cs="楷体"/>
          <w:b w:val="0"/>
          <w:bCs w:val="0"/>
          <w:color w:val="000000"/>
          <w:kern w:val="0"/>
          <w:sz w:val="32"/>
          <w:szCs w:val="32"/>
          <w:lang w:bidi="ar"/>
        </w:rPr>
      </w:pPr>
      <w:r>
        <w:rPr>
          <w:rFonts w:hint="eastAsia" w:ascii="楷体" w:hAnsi="楷体" w:eastAsia="楷体" w:cs="楷体"/>
          <w:b w:val="0"/>
          <w:bCs w:val="0"/>
          <w:color w:val="000000"/>
          <w:kern w:val="0"/>
          <w:sz w:val="32"/>
          <w:szCs w:val="32"/>
          <w:lang w:bidi="ar"/>
        </w:rPr>
        <w:t>3.新文科通专融合课程体系和教材体系建设实践</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构建面向新文科教育，培养学生跨领域知识融通能力和实践能力的通专融合课程体系和教材体系。</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olor w:val="000000"/>
          <w:sz w:val="32"/>
          <w:szCs w:val="32"/>
        </w:rPr>
        <w:t>整体设计面向新文科的课程与教材体系，推动将中国改革开放伟大实践的最新成果、中国特色哲学社会科学理论创新的最新成果及时转化融入教育教学，提高教育教学的时代性、学术性和针对性</w:t>
      </w:r>
      <w:r>
        <w:rPr>
          <w:rFonts w:hint="eastAsia" w:ascii="仿宋" w:hAnsi="仿宋" w:eastAsia="仿宋" w:cs="仿宋"/>
          <w:color w:val="000000"/>
          <w:kern w:val="0"/>
          <w:sz w:val="32"/>
          <w:szCs w:val="32"/>
          <w:lang w:bidi="ar"/>
        </w:rPr>
        <w:t>；加强铸牢中华民族共同体意识教育，将民族团结进步教育融入通识与专业课程中，讲好广西故事，彰显历史、民族、地域特征，推动广西民族文化、红色文化、山水文化、海洋文化、边关文化、语言文化等资源创造性转化并有机融入新文科课程体系和教材体系；构建中国特色的通识教育课程体系，推动建设跨学科、多学科交叉融合的专业课程体系；联合开发中国特色哲学社会科学教材，推动数字化教材及配套资源建设，建设及共享一批中国特色的文科教学案例及案例库、文科专业课程思政建设案例及案例库。</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高校课程体系改革方案、高质量文科教材、课程教学案例。</w:t>
      </w:r>
    </w:p>
    <w:p>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ascii="楷体" w:hAnsi="楷体" w:eastAsia="楷体" w:cs="楷体"/>
          <w:b w:val="0"/>
          <w:bCs w:val="0"/>
          <w:color w:val="000000"/>
          <w:kern w:val="0"/>
          <w:sz w:val="32"/>
          <w:szCs w:val="32"/>
          <w:lang w:bidi="ar"/>
        </w:rPr>
      </w:pPr>
      <w:r>
        <w:rPr>
          <w:rFonts w:hint="eastAsia" w:ascii="楷体" w:hAnsi="楷体" w:eastAsia="楷体" w:cs="楷体"/>
          <w:b w:val="0"/>
          <w:bCs w:val="0"/>
          <w:color w:val="000000"/>
          <w:kern w:val="0"/>
          <w:sz w:val="32"/>
          <w:szCs w:val="32"/>
          <w:lang w:bidi="ar"/>
        </w:rPr>
        <w:t>4.基础学科拔尖创新人才培养创新与实践</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完善基础学科拔尖人才培养机制和绩效评价机制，培养文史哲基础学科拔尖人才。</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创新人才培养模式，从学生选拔、个性化培养、一体化管理等方面探索书院制、导师制、学分制等文科基础学科拔尖人才培养的实践经验。加强拔尖人才培养的质量管理和自我评估，建立毕业生跟踪调查机制和人才成长数据库，根据质量监测和反馈信息不断完善培养方案、培养过程、培养模式和培养机制，持续改进拔尖人才培养工作。围绕顶尖科学家成长规律、拔尖学生研究兴趣和研究能力培养、国际化培养、导师制、学生成长跟踪与评价机制、拔尖学生培养模式与体制机制改革、拔尖人才培养成效评价标准等方面开展专题研究。</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文科基础学科</w:t>
      </w:r>
      <w:r>
        <w:rPr>
          <w:rFonts w:hint="eastAsia" w:ascii="仿宋" w:hAnsi="仿宋" w:eastAsia="仿宋" w:cs="仿宋_GB2312"/>
          <w:color w:val="000000"/>
          <w:sz w:val="32"/>
          <w:szCs w:val="32"/>
        </w:rPr>
        <w:t>拔尖</w:t>
      </w:r>
      <w:r>
        <w:rPr>
          <w:rFonts w:hint="eastAsia" w:ascii="仿宋" w:hAnsi="仿宋" w:eastAsia="仿宋" w:cs="仿宋"/>
          <w:color w:val="000000"/>
          <w:kern w:val="0"/>
          <w:sz w:val="32"/>
          <w:szCs w:val="32"/>
          <w:lang w:bidi="ar"/>
        </w:rPr>
        <w:t>人才培养模式、培养方案、课程体系、管理机制及典型案例等。</w:t>
      </w:r>
    </w:p>
    <w:p>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ascii="楷体" w:hAnsi="楷体" w:eastAsia="楷体" w:cs="楷体"/>
          <w:b w:val="0"/>
          <w:bCs w:val="0"/>
          <w:color w:val="000000"/>
          <w:kern w:val="0"/>
          <w:sz w:val="32"/>
          <w:szCs w:val="32"/>
          <w:lang w:bidi="ar"/>
        </w:rPr>
      </w:pPr>
      <w:r>
        <w:rPr>
          <w:rFonts w:hint="eastAsia" w:ascii="楷体" w:hAnsi="楷体" w:eastAsia="楷体" w:cs="楷体"/>
          <w:b w:val="0"/>
          <w:bCs w:val="0"/>
          <w:color w:val="000000"/>
          <w:kern w:val="0"/>
          <w:sz w:val="32"/>
          <w:szCs w:val="32"/>
          <w:lang w:bidi="ar"/>
        </w:rPr>
        <w:t>5.文科复合型人才、政产学研协同育人培养创新与实践</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建立健全高校各学科、高校与有关部门、科研院所、行业企业协同培养新时代文科人才的新机制，推动育人要素与创新资源共享互动。</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围绕建设文化旅游强区、面向东盟的金融开放门户等，推进文科专业优化、课程提质、模式创新，根据新技术和新产业发展趋势，促进学科交叉融合和跨界整合，研究探索跨学科、跨专业的文科教育组织模式；调研高校主辅修学士学位、双学士学位、联合学士学位、微专业等培养项目的实施情况，深入研究书院制、学部制等复合型人才培养的模式，提出有利于复合型文科人才培养的工作机制、课程整合方案等；结合国家战略和相关行业发展新需求，以广西支柱产业、战略性新兴产业和优势特色产业需求为导向，推动育人要素与创新资源共享互动，建立健全高校与有关部门、科研院所、行业企业创新协同培养机制，强化科教融合、产教融合，培养支撑广西产业发展的新时代应用型、复合型文科人才。</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政产学研协同育人机制和模式；学科专业交叉的教学组织管理模式、典型案例等。</w:t>
      </w:r>
    </w:p>
    <w:p>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ascii="楷体" w:hAnsi="楷体" w:eastAsia="楷体" w:cs="楷体"/>
          <w:b w:val="0"/>
          <w:bCs w:val="0"/>
          <w:color w:val="000000"/>
          <w:kern w:val="0"/>
          <w:sz w:val="32"/>
          <w:szCs w:val="32"/>
          <w:lang w:bidi="ar"/>
        </w:rPr>
      </w:pPr>
      <w:r>
        <w:rPr>
          <w:rFonts w:hint="eastAsia" w:ascii="楷体" w:hAnsi="楷体" w:eastAsia="楷体" w:cs="楷体"/>
          <w:b w:val="0"/>
          <w:bCs w:val="0"/>
          <w:color w:val="000000"/>
          <w:kern w:val="0"/>
          <w:sz w:val="32"/>
          <w:szCs w:val="32"/>
          <w:lang w:bidi="ar"/>
        </w:rPr>
        <w:t>6.面向东盟的高素质涉外人才培养创新与实践</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全力服务国家总体外交和周边外交战略，探索面向东盟国家的文科教育开放合作人才培养新模式、机制和路径</w:t>
      </w:r>
      <w:r>
        <w:rPr>
          <w:rFonts w:hint="eastAsia" w:ascii="仿宋" w:hAnsi="仿宋" w:eastAsia="仿宋" w:cs="宋体"/>
          <w:color w:val="000000"/>
          <w:sz w:val="32"/>
          <w:szCs w:val="32"/>
        </w:rPr>
        <w:t>。</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立足广西沿边开放在国家对外开放格局中的独特战略地位，加快培养高层次复合型国际化人才，主动服务中华文化“走出去”战略、“一带一路”建设和人类命运共同体建设</w:t>
      </w:r>
      <w:r>
        <w:rPr>
          <w:rFonts w:hint="eastAsia" w:ascii="仿宋" w:hAnsi="仿宋" w:eastAsia="仿宋" w:cs="宋体"/>
          <w:color w:val="000000"/>
          <w:sz w:val="32"/>
          <w:szCs w:val="32"/>
        </w:rPr>
        <w:t>，讲好中国故事，传播广西声音</w:t>
      </w:r>
      <w:r>
        <w:rPr>
          <w:rFonts w:hint="eastAsia" w:ascii="仿宋" w:hAnsi="仿宋" w:eastAsia="仿宋" w:cs="仿宋"/>
          <w:color w:val="000000"/>
          <w:kern w:val="0"/>
          <w:sz w:val="32"/>
          <w:szCs w:val="32"/>
          <w:lang w:bidi="ar"/>
        </w:rPr>
        <w:t>。围绕提升人文素养、跨文化能力、复语能力等，加强课程体系整体设计，探索“专业+外语”等培养模式，</w:t>
      </w:r>
      <w:r>
        <w:rPr>
          <w:rFonts w:hint="eastAsia" w:ascii="仿宋" w:hAnsi="仿宋" w:eastAsia="仿宋" w:cs="宋体"/>
          <w:color w:val="000000"/>
          <w:sz w:val="32"/>
          <w:szCs w:val="32"/>
        </w:rPr>
        <w:t>提升涉外人才的国际意识和竞争力。面向服务建设中国-东盟命运共同体，培养“一精多会、一专多能”的高素质国际化复合型人才</w:t>
      </w:r>
      <w:r>
        <w:rPr>
          <w:rFonts w:hint="eastAsia" w:ascii="仿宋" w:hAnsi="仿宋" w:eastAsia="仿宋" w:cs="仿宋"/>
          <w:color w:val="000000"/>
          <w:kern w:val="0"/>
          <w:sz w:val="32"/>
          <w:szCs w:val="32"/>
          <w:lang w:bidi="ar"/>
        </w:rPr>
        <w:t>。</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专业人才培养方案，高质量课程及教材等。</w:t>
      </w:r>
    </w:p>
    <w:p>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ascii="楷体" w:hAnsi="楷体" w:eastAsia="楷体" w:cs="楷体"/>
          <w:b w:val="0"/>
          <w:bCs w:val="0"/>
          <w:color w:val="000000"/>
          <w:kern w:val="0"/>
          <w:sz w:val="32"/>
          <w:szCs w:val="32"/>
          <w:lang w:bidi="ar"/>
        </w:rPr>
      </w:pPr>
      <w:r>
        <w:rPr>
          <w:rFonts w:hint="eastAsia" w:ascii="楷体" w:hAnsi="楷体" w:eastAsia="楷体" w:cs="楷体"/>
          <w:b w:val="0"/>
          <w:bCs w:val="0"/>
          <w:color w:val="000000"/>
          <w:kern w:val="0"/>
          <w:sz w:val="32"/>
          <w:szCs w:val="32"/>
          <w:lang w:bidi="ar"/>
        </w:rPr>
        <w:t>7.跨学科交叉融合的新文科创新创业教育与实践</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构建以服务广西地方产业振兴为导向，政府、企业与社会组织共同参与，跨学科交叉融合的多元化文科创新创业教育体系。</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探索完善文科创新创业教育体系，推进创新创业教育与文科专业教育深度融合，推进分类培养和特色化培养模式改革；构建跨部门、跨学院、跨学科、跨专业的协同育人机制，强化文科创新创业教育与思想政治教育、专业教育紧密结合，开发文科特色创新创业教育课程及课程群；推动建设产教融合创新创业教育实践基地，搭建专创融合教育新场景，建设多学科交叉融合的创新创业实践平台和跨学科创新创业人才培养平台，搭建对接东盟的国际化创新创业教育实践平台，推动以“敢闯会创”为核心的人才培养范式改革，促进学生创新创业能力和综合素养提升。</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文科创新创业教育实践体系和典型案例、创新创业教育实践平台等。</w:t>
      </w:r>
    </w:p>
    <w:p>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ascii="楷体" w:hAnsi="楷体" w:eastAsia="楷体" w:cs="楷体"/>
          <w:b w:val="0"/>
          <w:bCs w:val="0"/>
          <w:color w:val="000000"/>
          <w:kern w:val="0"/>
          <w:sz w:val="32"/>
          <w:szCs w:val="32"/>
          <w:lang w:bidi="ar"/>
        </w:rPr>
      </w:pPr>
      <w:r>
        <w:rPr>
          <w:rFonts w:hint="eastAsia" w:ascii="楷体" w:hAnsi="楷体" w:eastAsia="楷体" w:cs="楷体"/>
          <w:b w:val="0"/>
          <w:bCs w:val="0"/>
          <w:color w:val="000000"/>
          <w:kern w:val="0"/>
          <w:sz w:val="32"/>
          <w:szCs w:val="32"/>
          <w:lang w:bidi="ar"/>
        </w:rPr>
        <w:t>8.新文科重点领域分类推进研究与实践</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加快培养文史哲、经管法、教育学、艺术学等重点领域的新文科拔尖人才。</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文史哲领域要</w:t>
      </w:r>
      <w:r>
        <w:rPr>
          <w:rFonts w:hint="eastAsia" w:ascii="仿宋" w:hAnsi="仿宋" w:eastAsia="仿宋" w:cs="仿宋_GB2312"/>
          <w:color w:val="000000"/>
          <w:sz w:val="32"/>
          <w:szCs w:val="32"/>
        </w:rPr>
        <w:t>推进文史哲之间、文史哲与其他学科的交叉融合，</w:t>
      </w:r>
      <w:r>
        <w:rPr>
          <w:rFonts w:hint="eastAsia" w:ascii="仿宋" w:hAnsi="仿宋" w:eastAsia="仿宋" w:cs="仿宋"/>
          <w:color w:val="000000"/>
          <w:kern w:val="0"/>
          <w:sz w:val="32"/>
          <w:szCs w:val="32"/>
          <w:lang w:bidi="ar"/>
        </w:rPr>
        <w:t>打破原有以固化学科专业培养人的“传统模式”，探索拔尖人才培养的“创新模式”。经管法领域要</w:t>
      </w:r>
      <w:r>
        <w:rPr>
          <w:rFonts w:hint="eastAsia" w:ascii="仿宋" w:hAnsi="仿宋" w:eastAsia="仿宋" w:cs="仿宋_GB2312"/>
          <w:color w:val="000000"/>
          <w:sz w:val="32"/>
          <w:szCs w:val="32"/>
        </w:rPr>
        <w:t>综合运用大数据、人工智能等信息技术对经管法专业在人才培养理念、模式、内容及手段进行升级改造，</w:t>
      </w:r>
      <w:r>
        <w:rPr>
          <w:rFonts w:hint="eastAsia" w:ascii="仿宋" w:hAnsi="仿宋" w:eastAsia="仿宋" w:cs="仿宋"/>
          <w:color w:val="000000"/>
          <w:kern w:val="0"/>
          <w:sz w:val="32"/>
          <w:szCs w:val="32"/>
          <w:lang w:bidi="ar"/>
        </w:rPr>
        <w:t>加大学科交叉融合和跨界整合的力度，培育新的学科专业增长点</w:t>
      </w:r>
      <w:r>
        <w:rPr>
          <w:rFonts w:hint="eastAsia" w:ascii="仿宋" w:hAnsi="仿宋" w:eastAsia="仿宋" w:cs="仿宋_GB2312"/>
          <w:color w:val="000000"/>
          <w:sz w:val="32"/>
          <w:szCs w:val="32"/>
        </w:rPr>
        <w:t>。挖掘中国改革开放和现代化建设的伟大实践，构建中国特色社会科学理论体系，</w:t>
      </w:r>
      <w:r>
        <w:rPr>
          <w:rFonts w:hint="eastAsia" w:ascii="仿宋" w:hAnsi="仿宋" w:eastAsia="仿宋" w:cs="仿宋"/>
          <w:color w:val="000000"/>
          <w:kern w:val="0"/>
          <w:sz w:val="32"/>
          <w:szCs w:val="32"/>
          <w:lang w:bidi="ar"/>
        </w:rPr>
        <w:t>提升学生解决实际问题的能力，加快培养具有强烈本土化意识和国际视野的经管法人才。教育学领域要</w:t>
      </w:r>
      <w:r>
        <w:rPr>
          <w:rFonts w:hint="eastAsia" w:ascii="仿宋" w:hAnsi="仿宋" w:eastAsia="仿宋" w:cs="仿宋_GB2312"/>
          <w:color w:val="000000"/>
          <w:sz w:val="32"/>
          <w:szCs w:val="32"/>
        </w:rPr>
        <w:t>从中国教育改革发展实践中挖掘新材料、发现新问题、提出新观点，加快构建中国特色社会主义教育理论体系，更好服务教育现代化和教育强国建设；</w:t>
      </w:r>
      <w:r>
        <w:rPr>
          <w:rFonts w:hint="eastAsia" w:ascii="仿宋" w:hAnsi="仿宋" w:eastAsia="仿宋" w:cs="仿宋"/>
          <w:color w:val="000000"/>
          <w:kern w:val="0"/>
          <w:sz w:val="32"/>
          <w:szCs w:val="32"/>
          <w:lang w:bidi="ar"/>
        </w:rPr>
        <w:t>积极应对新科技对高校教育教学带来的挑战，深入开展教学方法、教育技术手段等方面的教学改革探索，为其他学科专业教育教学提供教学理论和方法支撑；面向教育教学发展新趋势，研究教师必备的能力素质，构建课程体系、教材体系和教学体系。艺术学领域要积极应对技术革命和产业革命对艺术教育的挑战，关注文化科技融合、文化创业等产业新需求新变化，优化艺术门类专业结构和人才培养体系，开展多学科交叉融合的专业课程体系建设研究。</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研究报告、专业建设方案、人才培养方案、课程体系、新形态教材、典型案例等。</w:t>
      </w:r>
    </w:p>
    <w:p>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ascii="楷体" w:hAnsi="楷体" w:eastAsia="楷体" w:cs="楷体"/>
          <w:b w:val="0"/>
          <w:bCs w:val="0"/>
          <w:color w:val="000000"/>
          <w:kern w:val="0"/>
          <w:sz w:val="32"/>
          <w:szCs w:val="32"/>
          <w:lang w:bidi="ar"/>
        </w:rPr>
      </w:pPr>
      <w:r>
        <w:rPr>
          <w:rFonts w:hint="eastAsia" w:ascii="楷体" w:hAnsi="楷体" w:eastAsia="楷体" w:cs="楷体"/>
          <w:b w:val="0"/>
          <w:bCs w:val="0"/>
          <w:color w:val="000000"/>
          <w:kern w:val="0"/>
          <w:sz w:val="32"/>
          <w:szCs w:val="32"/>
          <w:lang w:bidi="ar"/>
        </w:rPr>
        <w:t>9.新文科师资队伍建设研究与实践</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目标：</w:t>
      </w:r>
      <w:r>
        <w:rPr>
          <w:rFonts w:hint="eastAsia" w:ascii="仿宋" w:hAnsi="仿宋" w:eastAsia="仿宋" w:cs="仿宋"/>
          <w:color w:val="000000"/>
          <w:kern w:val="0"/>
          <w:sz w:val="32"/>
          <w:szCs w:val="32"/>
          <w:lang w:bidi="ar"/>
        </w:rPr>
        <w:t>构建新文科师资能力标准体系，健全优化教师专业与教学发展机制，打造教师教学发展示范中心，示范引领新文科教师专业发展与教育教学水平提升。</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立足新文科人才培养目标，突出教师的行业产业实践背景和经历要求，探索构建新文科师资能力标准体系；围绕文科专业高水平师资队伍建设，研究设计教师培训项目，构建多层次教师培训体系，探索引导教师开展新文科教育教学改革研究的有效机制；探究智慧环境下新文科专业的课堂教学改革模式，推进新技术在文科教育教学中的深度应用；深入调研人文学科教师教学发展需求，分析教师教学发展中心建设现状与问题，完善文科教师教学发展机制，研究制定文科教师教学发展中心建设规范与评价机制，健全教师教学发展支持服务体系。</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各学科专业文科教师实践能力标准；教师参与跨学科研究和教学资源建设的机制；智慧环境下的教学模式、方法、考核方式、教学制度改革创新的新方案和典型案例；教师发展中心培训资源和案例等。</w:t>
      </w:r>
    </w:p>
    <w:p>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ascii="楷体" w:hAnsi="楷体" w:eastAsia="楷体" w:cs="楷体"/>
          <w:b w:val="0"/>
          <w:bCs w:val="0"/>
          <w:color w:val="000000"/>
          <w:kern w:val="0"/>
          <w:sz w:val="32"/>
          <w:szCs w:val="32"/>
          <w:lang w:bidi="ar"/>
        </w:rPr>
      </w:pPr>
      <w:r>
        <w:rPr>
          <w:rFonts w:hint="eastAsia" w:ascii="楷体" w:hAnsi="楷体" w:eastAsia="楷体" w:cs="楷体"/>
          <w:b w:val="0"/>
          <w:bCs w:val="0"/>
          <w:color w:val="000000"/>
          <w:kern w:val="0"/>
          <w:sz w:val="32"/>
          <w:szCs w:val="32"/>
          <w:lang w:bidi="ar"/>
        </w:rPr>
        <w:t>10.新文科特色质量文化建设研究与实践</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ascii="仿宋" w:hAnsi="仿宋" w:eastAsia="仿宋" w:cs="仿宋"/>
          <w:b/>
          <w:bCs/>
          <w:color w:val="000000"/>
          <w:kern w:val="0"/>
          <w:sz w:val="32"/>
          <w:szCs w:val="32"/>
          <w:lang w:bidi="ar"/>
        </w:rPr>
        <w:t>目标</w:t>
      </w:r>
      <w:r>
        <w:rPr>
          <w:rFonts w:hint="eastAsia" w:ascii="仿宋" w:hAnsi="仿宋" w:eastAsia="仿宋" w:cs="仿宋"/>
          <w:b/>
          <w:bCs/>
          <w:color w:val="000000"/>
          <w:kern w:val="0"/>
          <w:sz w:val="32"/>
          <w:szCs w:val="32"/>
          <w:lang w:bidi="ar"/>
        </w:rPr>
        <w:t>：</w:t>
      </w:r>
      <w:r>
        <w:rPr>
          <w:rFonts w:hint="eastAsia" w:ascii="仿宋" w:hAnsi="仿宋" w:eastAsia="仿宋" w:cs="仿宋"/>
          <w:color w:val="000000"/>
          <w:kern w:val="0"/>
          <w:sz w:val="32"/>
          <w:szCs w:val="32"/>
          <w:lang w:bidi="ar"/>
        </w:rPr>
        <w:t>建立健全以质量提升为核心的管理体制机制，构建内外部监测监控相结合的文科专业人才培养质量评价反馈改进机制，完善激励机制，提升新文科专业建设质量。</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内容：</w:t>
      </w:r>
      <w:r>
        <w:rPr>
          <w:rFonts w:hint="eastAsia" w:ascii="仿宋" w:hAnsi="仿宋" w:eastAsia="仿宋" w:cs="仿宋"/>
          <w:color w:val="000000"/>
          <w:kern w:val="0"/>
          <w:sz w:val="32"/>
          <w:szCs w:val="32"/>
          <w:lang w:bidi="ar"/>
        </w:rPr>
        <w:t>建立富有文科教育特色、以提升教育质量为核心、以激励教师投入人才培养为重点的管理制度体系，全面提高文科人才培养能力；研究面向培养目标达成的定量和定性评价方法，建立校院两级质量保障机制，完善教师教学-学生学业-质量检测“三位一体”的质量保障体系；以本科专业综合评估为抓手，健全内部评价与外部评价相结合的评价体系，调整优化专业结构布局，提升专业建设质量，构建评价-反馈-改进机制，形成自觉、自省、自律、自查、自纠的文科教育质量文化。</w:t>
      </w:r>
    </w:p>
    <w:p>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rFonts w:hint="eastAsia" w:ascii="仿宋" w:hAnsi="仿宋" w:eastAsia="仿宋" w:cs="仿宋"/>
          <w:color w:val="000000"/>
          <w:kern w:val="0"/>
          <w:sz w:val="32"/>
          <w:szCs w:val="32"/>
          <w:lang w:bidi="ar"/>
        </w:rPr>
      </w:pPr>
      <w:r>
        <w:rPr>
          <w:rFonts w:hint="eastAsia" w:ascii="仿宋" w:hAnsi="仿宋" w:eastAsia="仿宋" w:cs="仿宋"/>
          <w:b/>
          <w:bCs/>
          <w:color w:val="000000"/>
          <w:kern w:val="0"/>
          <w:sz w:val="32"/>
          <w:szCs w:val="32"/>
          <w:lang w:bidi="ar"/>
        </w:rPr>
        <w:t>预期成果：</w:t>
      </w:r>
      <w:r>
        <w:rPr>
          <w:rFonts w:hint="eastAsia" w:ascii="仿宋" w:hAnsi="仿宋" w:eastAsia="仿宋" w:cs="仿宋"/>
          <w:color w:val="000000"/>
          <w:kern w:val="0"/>
          <w:sz w:val="32"/>
          <w:szCs w:val="32"/>
          <w:lang w:bidi="ar"/>
        </w:rPr>
        <w:t>与新文科人才培养质量提升相适应的新制度新机制；高校管理体制机制改革方案、政策建议；高校内部全方位的教育质量保障、评估、反馈和改进机制；新文科人才培养质量评价办法、研究报告、制度文件、实践案例等。</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仿宋" w:hAnsi="仿宋" w:eastAsia="仿宋" w:cs="仿宋"/>
          <w:color w:val="000000"/>
          <w:kern w:val="0"/>
          <w:sz w:val="32"/>
          <w:szCs w:val="32"/>
          <w:lang w:bidi="ar"/>
        </w:rPr>
        <w:br w:type="page"/>
      </w: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各高校申报名额分配表</w:t>
      </w:r>
    </w:p>
    <w:tbl>
      <w:tblPr>
        <w:tblStyle w:val="6"/>
        <w:tblpPr w:leftFromText="180" w:rightFromText="180" w:vertAnchor="text" w:horzAnchor="page" w:tblpX="1575" w:tblpY="865"/>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9"/>
        <w:gridCol w:w="2615"/>
        <w:gridCol w:w="1095"/>
        <w:gridCol w:w="1020"/>
        <w:gridCol w:w="945"/>
        <w:gridCol w:w="945"/>
        <w:gridCol w:w="1004"/>
        <w:gridCol w:w="6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b/>
                <w:bCs w:val="0"/>
                <w:i w:val="0"/>
                <w:color w:val="000000"/>
                <w:sz w:val="24"/>
                <w:szCs w:val="24"/>
                <w:u w:val="none"/>
                <w:lang w:val="en" w:eastAsia="zh-CN"/>
              </w:rPr>
            </w:pPr>
            <w:r>
              <w:rPr>
                <w:rFonts w:hint="default" w:ascii="宋体" w:hAnsi="宋体" w:cs="宋体"/>
                <w:b/>
                <w:bCs w:val="0"/>
                <w:i w:val="0"/>
                <w:color w:val="000000"/>
                <w:sz w:val="24"/>
                <w:szCs w:val="24"/>
                <w:u w:val="none"/>
                <w:lang w:val="en" w:eastAsia="zh-CN"/>
              </w:rPr>
              <w:t>序号</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val="0"/>
                <w:i w:val="0"/>
                <w:color w:val="000000"/>
                <w:sz w:val="24"/>
                <w:szCs w:val="24"/>
                <w:u w:val="none"/>
                <w:lang w:eastAsia="zh-CN"/>
              </w:rPr>
            </w:pPr>
            <w:r>
              <w:rPr>
                <w:rFonts w:hint="eastAsia" w:ascii="宋体" w:hAnsi="宋体" w:eastAsia="宋体" w:cs="宋体"/>
                <w:b/>
                <w:bCs w:val="0"/>
                <w:i w:val="0"/>
                <w:color w:val="000000"/>
                <w:sz w:val="24"/>
                <w:szCs w:val="24"/>
                <w:u w:val="none"/>
                <w:lang w:eastAsia="zh-CN"/>
              </w:rPr>
              <w:t>学校名称</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val="0"/>
                <w:i w:val="0"/>
                <w:color w:val="000000"/>
                <w:sz w:val="24"/>
                <w:szCs w:val="24"/>
                <w:u w:val="none"/>
              </w:rPr>
            </w:pPr>
            <w:r>
              <w:rPr>
                <w:rFonts w:hint="eastAsia" w:ascii="宋体" w:hAnsi="宋体" w:eastAsia="宋体" w:cs="宋体"/>
                <w:b/>
                <w:bCs w:val="0"/>
                <w:i w:val="0"/>
                <w:color w:val="000000"/>
                <w:kern w:val="0"/>
                <w:sz w:val="24"/>
                <w:szCs w:val="24"/>
                <w:u w:val="none"/>
                <w:lang w:val="en-US" w:eastAsia="zh-CN" w:bidi="ar"/>
              </w:rPr>
              <w:t>新工科</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val="0"/>
                <w:i w:val="0"/>
                <w:color w:val="000000"/>
                <w:sz w:val="24"/>
                <w:szCs w:val="24"/>
                <w:u w:val="none"/>
              </w:rPr>
            </w:pPr>
            <w:r>
              <w:rPr>
                <w:rFonts w:hint="eastAsia" w:ascii="宋体" w:hAnsi="宋体" w:eastAsia="宋体" w:cs="宋体"/>
                <w:b/>
                <w:bCs w:val="0"/>
                <w:i w:val="0"/>
                <w:color w:val="000000"/>
                <w:kern w:val="0"/>
                <w:sz w:val="24"/>
                <w:szCs w:val="24"/>
                <w:u w:val="none"/>
                <w:lang w:val="en-US" w:eastAsia="zh-CN" w:bidi="ar"/>
              </w:rPr>
              <w:t>新医科</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val="0"/>
                <w:i w:val="0"/>
                <w:color w:val="000000"/>
                <w:sz w:val="24"/>
                <w:szCs w:val="24"/>
                <w:u w:val="none"/>
              </w:rPr>
            </w:pPr>
            <w:r>
              <w:rPr>
                <w:rFonts w:hint="eastAsia" w:ascii="宋体" w:hAnsi="宋体" w:eastAsia="宋体" w:cs="宋体"/>
                <w:b/>
                <w:bCs w:val="0"/>
                <w:i w:val="0"/>
                <w:color w:val="000000"/>
                <w:kern w:val="0"/>
                <w:sz w:val="24"/>
                <w:szCs w:val="24"/>
                <w:u w:val="none"/>
                <w:lang w:val="en-US" w:eastAsia="zh-CN" w:bidi="ar"/>
              </w:rPr>
              <w:t>新农科</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val="0"/>
                <w:i w:val="0"/>
                <w:color w:val="000000"/>
                <w:sz w:val="24"/>
                <w:szCs w:val="24"/>
                <w:u w:val="none"/>
              </w:rPr>
            </w:pPr>
            <w:r>
              <w:rPr>
                <w:rFonts w:hint="eastAsia" w:ascii="宋体" w:hAnsi="宋体" w:eastAsia="宋体" w:cs="宋体"/>
                <w:b/>
                <w:bCs w:val="0"/>
                <w:i w:val="0"/>
                <w:color w:val="000000"/>
                <w:kern w:val="0"/>
                <w:sz w:val="24"/>
                <w:szCs w:val="24"/>
                <w:u w:val="none"/>
                <w:lang w:val="en-US" w:eastAsia="zh-CN" w:bidi="ar"/>
              </w:rPr>
              <w:t>新文科</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b/>
                <w:bCs w:val="0"/>
                <w:i w:val="0"/>
                <w:color w:val="000000"/>
                <w:sz w:val="24"/>
                <w:szCs w:val="24"/>
                <w:u w:val="none"/>
                <w:lang w:eastAsia="zh-CN"/>
              </w:rPr>
            </w:pPr>
            <w:r>
              <w:rPr>
                <w:rFonts w:hint="eastAsia" w:ascii="宋体" w:hAnsi="宋体" w:cs="宋体"/>
                <w:b/>
                <w:bCs w:val="0"/>
                <w:i w:val="0"/>
                <w:color w:val="000000"/>
                <w:sz w:val="24"/>
                <w:szCs w:val="24"/>
                <w:u w:val="none"/>
                <w:lang w:eastAsia="zh-CN"/>
              </w:rPr>
              <w:t>不定</w:t>
            </w:r>
          </w:p>
          <w:p>
            <w:pPr>
              <w:keepNext w:val="0"/>
              <w:keepLines w:val="0"/>
              <w:widowControl/>
              <w:suppressLineNumbers w:val="0"/>
              <w:jc w:val="center"/>
              <w:textAlignment w:val="center"/>
              <w:rPr>
                <w:rFonts w:hint="eastAsia" w:ascii="宋体" w:hAnsi="宋体" w:eastAsia="宋体" w:cs="宋体"/>
                <w:b/>
                <w:bCs w:val="0"/>
                <w:i w:val="0"/>
                <w:color w:val="000000"/>
                <w:sz w:val="24"/>
                <w:szCs w:val="24"/>
                <w:u w:val="none"/>
                <w:lang w:eastAsia="zh-CN"/>
              </w:rPr>
            </w:pPr>
            <w:r>
              <w:rPr>
                <w:rFonts w:hint="eastAsia" w:ascii="宋体" w:hAnsi="宋体" w:cs="宋体"/>
                <w:b/>
                <w:bCs w:val="0"/>
                <w:i w:val="0"/>
                <w:color w:val="000000"/>
                <w:sz w:val="24"/>
                <w:szCs w:val="24"/>
                <w:u w:val="none"/>
                <w:lang w:eastAsia="zh-CN"/>
              </w:rPr>
              <w:t>类型</w:t>
            </w: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val="0"/>
                <w:i w:val="0"/>
                <w:color w:val="000000"/>
                <w:sz w:val="24"/>
                <w:szCs w:val="24"/>
                <w:u w:val="none"/>
              </w:rPr>
            </w:pPr>
            <w:r>
              <w:rPr>
                <w:rFonts w:hint="eastAsia" w:ascii="宋体" w:hAnsi="宋体" w:cs="宋体"/>
                <w:b/>
                <w:bCs w:val="0"/>
                <w:i w:val="0"/>
                <w:color w:val="000000"/>
                <w:kern w:val="0"/>
                <w:sz w:val="24"/>
                <w:szCs w:val="24"/>
                <w:u w:val="none"/>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广西大学</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广西师范大学</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4</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广西医科大学</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广西民族大学</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桂林电子科技大学</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桂林理工大学</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广西中医药大学</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8</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广西科技大学</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9</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南宁师范大学</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北部湾大学</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11</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广西艺术学院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12</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桂林医学院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13</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右江民族医学院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14</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玉林师范学院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河池学院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16</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广西财经学院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17</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百色学院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18</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梧州学院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19</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贺州学院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20</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广西民族师范学院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21</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桂林航天工业学院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22</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桂林旅游学院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23</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广西科技师范学院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24</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广西警察学院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25</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广西外国语学院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26</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南宁学院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27</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北海艺术设计学院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28</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桂林学院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29</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广西民族大学相思湖学院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30</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桂林信息科技学院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31</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南宁理工学院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32</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广西中医药大学赛恩斯新医药学院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33</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柳州工学院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34</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南宁师范大学师园学院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35</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广西职业师范学院</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i w:val="0"/>
                <w:color w:val="000000"/>
                <w:sz w:val="24"/>
                <w:szCs w:val="24"/>
                <w:u w:val="none"/>
              </w:rPr>
            </w:pPr>
          </w:p>
        </w:tc>
        <w:tc>
          <w:tcPr>
            <w:tcW w:w="6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方正小标宋简体"/>
          <w:sz w:val="32"/>
          <w:szCs w:val="32"/>
          <w:lang w:eastAsia="zh-CN"/>
        </w:rPr>
      </w:pPr>
      <w:r>
        <w:rPr>
          <w:rFonts w:hint="eastAsia" w:ascii="仿宋" w:hAnsi="仿宋" w:eastAsia="仿宋" w:cs="仿宋"/>
          <w:color w:val="000000"/>
          <w:kern w:val="0"/>
          <w:sz w:val="32"/>
          <w:szCs w:val="32"/>
          <w:lang w:bidi="ar"/>
        </w:rPr>
        <w:br w:type="page"/>
      </w:r>
      <w:r>
        <w:rPr>
          <w:rFonts w:hint="eastAsia" w:ascii="黑体" w:hAnsi="黑体" w:eastAsia="黑体" w:cs="方正小标宋简体"/>
          <w:sz w:val="32"/>
          <w:szCs w:val="32"/>
        </w:rPr>
        <w:t>附件</w:t>
      </w:r>
      <w:r>
        <w:rPr>
          <w:rFonts w:hint="eastAsia" w:ascii="黑体" w:hAnsi="黑体" w:eastAsia="黑体" w:cs="方正小标宋简体"/>
          <w:sz w:val="32"/>
          <w:szCs w:val="32"/>
          <w:lang w:val="en-US" w:eastAsia="zh-CN"/>
        </w:rPr>
        <w:t>6</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方正小标宋简体"/>
          <w:sz w:val="32"/>
          <w:szCs w:val="3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广西“四新”教育研究中心联系方式</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olor w:val="auto"/>
          <w:sz w:val="32"/>
          <w:szCs w:val="32"/>
        </w:rPr>
      </w:pPr>
      <w:r>
        <w:rPr>
          <w:rFonts w:hint="eastAsia" w:ascii="黑体" w:hAnsi="黑体" w:eastAsia="黑体" w:cs="黑体"/>
          <w:color w:val="auto"/>
          <w:sz w:val="32"/>
          <w:szCs w:val="32"/>
        </w:rPr>
        <w:t>一、广西新工科教育研究中心（桂林电子科技大学）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s="宋体"/>
          <w:color w:val="auto"/>
          <w:sz w:val="32"/>
          <w:szCs w:val="32"/>
          <w:shd w:val="clear" w:color="auto" w:fill="FFFFFF"/>
        </w:rPr>
      </w:pPr>
      <w:r>
        <w:rPr>
          <w:rFonts w:hint="eastAsia" w:ascii="仿宋" w:hAnsi="仿宋" w:eastAsia="仿宋"/>
          <w:color w:val="auto"/>
          <w:sz w:val="32"/>
          <w:szCs w:val="32"/>
        </w:rPr>
        <w:t>电子邮箱：</w:t>
      </w:r>
      <w:r>
        <w:rPr>
          <w:rFonts w:hint="eastAsia" w:ascii="仿宋" w:hAnsi="仿宋" w:eastAsia="仿宋"/>
          <w:color w:val="auto"/>
          <w:sz w:val="32"/>
          <w:szCs w:val="32"/>
          <w:lang w:val="en-US" w:eastAsia="zh-CN"/>
        </w:rPr>
        <w:t>951525981</w:t>
      </w:r>
      <w:r>
        <w:rPr>
          <w:rFonts w:hint="eastAsia" w:ascii="仿宋" w:hAnsi="仿宋" w:eastAsia="仿宋"/>
          <w:color w:val="auto"/>
          <w:sz w:val="32"/>
          <w:szCs w:val="32"/>
        </w:rPr>
        <w:t>@qq.com</w:t>
      </w:r>
      <w:r>
        <w:rPr>
          <w:rFonts w:hint="eastAsia" w:ascii="仿宋" w:hAnsi="仿宋" w:eastAsia="仿宋" w:cs="宋体"/>
          <w:color w:val="auto"/>
          <w:sz w:val="32"/>
          <w:szCs w:val="32"/>
          <w:shd w:val="clear" w:color="auto" w:fill="FFFFFF"/>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2"/>
          <w:szCs w:val="32"/>
        </w:rPr>
      </w:pPr>
      <w:r>
        <w:rPr>
          <w:rFonts w:ascii="仿宋" w:hAnsi="仿宋" w:eastAsia="仿宋"/>
          <w:color w:val="auto"/>
          <w:sz w:val="32"/>
          <w:szCs w:val="32"/>
        </w:rPr>
        <w:t>联系</w:t>
      </w:r>
      <w:r>
        <w:rPr>
          <w:rFonts w:hint="eastAsia" w:ascii="仿宋" w:hAnsi="仿宋" w:eastAsia="仿宋"/>
          <w:color w:val="auto"/>
          <w:sz w:val="32"/>
          <w:szCs w:val="32"/>
        </w:rPr>
        <w:t>人</w:t>
      </w:r>
      <w:r>
        <w:rPr>
          <w:rFonts w:ascii="仿宋" w:hAnsi="仿宋" w:eastAsia="仿宋"/>
          <w:color w:val="auto"/>
          <w:sz w:val="32"/>
          <w:szCs w:val="32"/>
        </w:rPr>
        <w:t>及电话：</w:t>
      </w:r>
      <w:r>
        <w:rPr>
          <w:rFonts w:hint="eastAsia" w:ascii="仿宋" w:hAnsi="仿宋" w:eastAsia="仿宋"/>
          <w:color w:val="auto"/>
          <w:sz w:val="32"/>
          <w:szCs w:val="32"/>
          <w:lang w:eastAsia="zh-CN"/>
        </w:rPr>
        <w:t>杨哲</w:t>
      </w:r>
      <w:r>
        <w:rPr>
          <w:rFonts w:hint="eastAsia" w:ascii="仿宋" w:hAnsi="仿宋" w:eastAsia="仿宋"/>
          <w:color w:val="auto"/>
          <w:sz w:val="32"/>
          <w:szCs w:val="32"/>
        </w:rPr>
        <w:t>，0773-2291393</w:t>
      </w:r>
      <w:r>
        <w:rPr>
          <w:rFonts w:hint="eastAsia" w:ascii="仿宋" w:hAnsi="仿宋" w:eastAsia="仿宋" w:cs="仿宋"/>
          <w:color w:val="auto"/>
          <w:sz w:val="32"/>
          <w:szCs w:val="32"/>
        </w:rPr>
        <w:t>/</w:t>
      </w:r>
      <w:r>
        <w:rPr>
          <w:rFonts w:hint="eastAsia" w:ascii="仿宋" w:hAnsi="仿宋" w:eastAsia="仿宋"/>
          <w:color w:val="auto"/>
          <w:sz w:val="32"/>
          <w:szCs w:val="32"/>
          <w:lang w:val="en-US" w:eastAsia="zh-CN"/>
        </w:rPr>
        <w:t>18378318586</w:t>
      </w:r>
      <w:r>
        <w:rPr>
          <w:rFonts w:hint="eastAsia" w:ascii="仿宋" w:hAnsi="仿宋" w:eastAsia="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二、广西新医科教育研究中心（广西医科大学）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s="宋体"/>
          <w:color w:val="auto"/>
          <w:sz w:val="32"/>
          <w:szCs w:val="32"/>
          <w:shd w:val="clear" w:color="auto" w:fill="FFFFFF"/>
        </w:rPr>
      </w:pPr>
      <w:r>
        <w:rPr>
          <w:rFonts w:hint="eastAsia" w:ascii="仿宋" w:hAnsi="仿宋" w:eastAsia="仿宋"/>
          <w:color w:val="auto"/>
          <w:sz w:val="32"/>
          <w:szCs w:val="32"/>
        </w:rPr>
        <w:t>电子邮箱：</w:t>
      </w:r>
      <w:r>
        <w:rPr>
          <w:rFonts w:hint="eastAsia" w:ascii="仿宋" w:hAnsi="仿宋" w:eastAsia="仿宋"/>
          <w:color w:val="auto"/>
          <w:sz w:val="32"/>
          <w:szCs w:val="32"/>
          <w:lang w:val="en-US" w:eastAsia="zh-CN"/>
        </w:rPr>
        <w:t>327167398</w:t>
      </w:r>
      <w:r>
        <w:rPr>
          <w:rFonts w:hint="eastAsia" w:ascii="仿宋" w:hAnsi="仿宋" w:eastAsia="仿宋"/>
          <w:color w:val="auto"/>
          <w:sz w:val="32"/>
          <w:szCs w:val="32"/>
          <w:lang w:eastAsia="zh-CN"/>
        </w:rPr>
        <w:t>@qq.com</w:t>
      </w:r>
      <w:r>
        <w:rPr>
          <w:rFonts w:hint="eastAsia" w:ascii="仿宋" w:hAnsi="仿宋" w:eastAsia="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2"/>
          <w:szCs w:val="32"/>
        </w:rPr>
      </w:pPr>
      <w:r>
        <w:rPr>
          <w:rFonts w:ascii="仿宋" w:hAnsi="仿宋" w:eastAsia="仿宋"/>
          <w:color w:val="auto"/>
          <w:sz w:val="32"/>
          <w:szCs w:val="32"/>
        </w:rPr>
        <w:t>联系</w:t>
      </w:r>
      <w:r>
        <w:rPr>
          <w:rFonts w:hint="eastAsia" w:ascii="仿宋" w:hAnsi="仿宋" w:eastAsia="仿宋"/>
          <w:color w:val="auto"/>
          <w:sz w:val="32"/>
          <w:szCs w:val="32"/>
        </w:rPr>
        <w:t>人</w:t>
      </w:r>
      <w:r>
        <w:rPr>
          <w:rFonts w:ascii="仿宋" w:hAnsi="仿宋" w:eastAsia="仿宋"/>
          <w:color w:val="auto"/>
          <w:sz w:val="32"/>
          <w:szCs w:val="32"/>
        </w:rPr>
        <w:t>及电话：</w:t>
      </w:r>
      <w:r>
        <w:rPr>
          <w:rFonts w:hint="eastAsia" w:ascii="仿宋" w:hAnsi="仿宋" w:eastAsia="仿宋"/>
          <w:color w:val="auto"/>
          <w:sz w:val="32"/>
          <w:szCs w:val="32"/>
          <w:lang w:eastAsia="zh-CN"/>
        </w:rPr>
        <w:t>张鑫、曾冬</w:t>
      </w:r>
      <w:r>
        <w:rPr>
          <w:rFonts w:hint="eastAsia" w:ascii="仿宋" w:hAnsi="仿宋" w:eastAsia="仿宋"/>
          <w:color w:val="auto"/>
          <w:sz w:val="32"/>
          <w:szCs w:val="32"/>
        </w:rPr>
        <w:t>，0771-5358814/18275770811。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三、广西新农科教育研究中心（广西大学）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s="宋体"/>
          <w:color w:val="000000"/>
          <w:sz w:val="32"/>
          <w:szCs w:val="32"/>
          <w:shd w:val="clear" w:color="auto" w:fill="FFFFFF"/>
        </w:rPr>
      </w:pPr>
      <w:r>
        <w:rPr>
          <w:rFonts w:hint="eastAsia" w:ascii="仿宋" w:hAnsi="仿宋" w:eastAsia="仿宋"/>
          <w:color w:val="000000"/>
          <w:sz w:val="32"/>
          <w:szCs w:val="32"/>
        </w:rPr>
        <w:t>电子邮箱：</w:t>
      </w:r>
      <w:r>
        <w:rPr>
          <w:rFonts w:hint="eastAsia" w:ascii="仿宋" w:hAnsi="仿宋" w:eastAsia="仿宋"/>
          <w:color w:val="000000"/>
          <w:sz w:val="32"/>
          <w:szCs w:val="32"/>
          <w:lang w:val="en-US" w:eastAsia="zh-CN"/>
        </w:rPr>
        <w:t>269592756</w:t>
      </w:r>
      <w:r>
        <w:rPr>
          <w:rFonts w:hint="eastAsia" w:ascii="仿宋" w:hAnsi="仿宋" w:eastAsia="仿宋"/>
          <w:color w:val="000000"/>
          <w:sz w:val="32"/>
          <w:szCs w:val="32"/>
        </w:rPr>
        <w:t>@qq.com</w:t>
      </w:r>
      <w:r>
        <w:rPr>
          <w:rFonts w:hint="eastAsia" w:ascii="仿宋" w:hAnsi="仿宋" w:eastAsia="仿宋" w:cs="宋体"/>
          <w:color w:val="000000"/>
          <w:sz w:val="32"/>
          <w:szCs w:val="32"/>
          <w:shd w:val="clear" w:color="auto" w:fill="FFFFFF"/>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000000"/>
          <w:sz w:val="32"/>
          <w:szCs w:val="32"/>
        </w:rPr>
      </w:pPr>
      <w:r>
        <w:rPr>
          <w:rFonts w:ascii="仿宋" w:hAnsi="仿宋" w:eastAsia="仿宋"/>
          <w:color w:val="000000"/>
          <w:sz w:val="32"/>
          <w:szCs w:val="32"/>
        </w:rPr>
        <w:t>联系</w:t>
      </w:r>
      <w:r>
        <w:rPr>
          <w:rFonts w:hint="eastAsia" w:ascii="仿宋" w:hAnsi="仿宋" w:eastAsia="仿宋"/>
          <w:color w:val="000000"/>
          <w:sz w:val="32"/>
          <w:szCs w:val="32"/>
        </w:rPr>
        <w:t>人</w:t>
      </w:r>
      <w:r>
        <w:rPr>
          <w:rFonts w:ascii="仿宋" w:hAnsi="仿宋" w:eastAsia="仿宋"/>
          <w:color w:val="000000"/>
          <w:sz w:val="32"/>
          <w:szCs w:val="32"/>
        </w:rPr>
        <w:t>及电话：</w:t>
      </w:r>
      <w:r>
        <w:rPr>
          <w:rFonts w:hint="eastAsia" w:ascii="仿宋" w:hAnsi="仿宋" w:eastAsia="仿宋"/>
          <w:color w:val="000000"/>
          <w:sz w:val="32"/>
          <w:szCs w:val="32"/>
          <w:lang w:eastAsia="zh-CN"/>
        </w:rPr>
        <w:t>程亚玲</w:t>
      </w:r>
      <w:r>
        <w:rPr>
          <w:rFonts w:hint="eastAsia" w:ascii="仿宋" w:hAnsi="仿宋" w:eastAsia="仿宋" w:cs="仿宋"/>
          <w:sz w:val="32"/>
          <w:szCs w:val="32"/>
        </w:rPr>
        <w:t>，0771-3272562/</w:t>
      </w:r>
      <w:r>
        <w:rPr>
          <w:rFonts w:hint="eastAsia" w:ascii="仿宋" w:hAnsi="仿宋" w:eastAsia="仿宋" w:cs="仿宋"/>
          <w:sz w:val="32"/>
          <w:szCs w:val="32"/>
          <w:lang w:val="en-US" w:eastAsia="zh-CN"/>
        </w:rPr>
        <w:t>18775391896</w:t>
      </w:r>
      <w:r>
        <w:rPr>
          <w:rFonts w:hint="eastAsia" w:ascii="仿宋" w:hAnsi="仿宋" w:eastAsia="仿宋"/>
          <w:color w:val="00000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四、广西新文科教育研究中心（广西师范大学）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s="宋体"/>
          <w:color w:val="auto"/>
          <w:sz w:val="32"/>
          <w:szCs w:val="32"/>
          <w:shd w:val="clear" w:color="auto" w:fill="FFFFFF"/>
        </w:rPr>
      </w:pPr>
      <w:r>
        <w:rPr>
          <w:rFonts w:hint="eastAsia" w:ascii="仿宋" w:hAnsi="仿宋" w:eastAsia="仿宋"/>
          <w:color w:val="auto"/>
          <w:sz w:val="32"/>
          <w:szCs w:val="32"/>
        </w:rPr>
        <w:t>电子邮箱：</w:t>
      </w:r>
      <w:r>
        <w:rPr>
          <w:rFonts w:hint="eastAsia" w:ascii="仿宋" w:hAnsi="仿宋" w:eastAsia="仿宋"/>
          <w:color w:val="auto"/>
          <w:sz w:val="32"/>
          <w:szCs w:val="32"/>
          <w:lang w:eastAsia="zh-CN"/>
        </w:rPr>
        <w:t>195767829@qq.com</w:t>
      </w:r>
      <w:r>
        <w:rPr>
          <w:rFonts w:hint="eastAsia" w:ascii="仿宋" w:hAnsi="仿宋" w:eastAsia="仿宋" w:cs="宋体"/>
          <w:color w:val="auto"/>
          <w:sz w:val="32"/>
          <w:szCs w:val="32"/>
          <w:shd w:val="clear" w:color="auto" w:fill="FFFFFF"/>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olor w:val="auto"/>
          <w:sz w:val="32"/>
          <w:szCs w:val="32"/>
        </w:rPr>
      </w:pPr>
      <w:r>
        <w:rPr>
          <w:rFonts w:ascii="仿宋" w:hAnsi="仿宋" w:eastAsia="仿宋"/>
          <w:color w:val="auto"/>
          <w:sz w:val="32"/>
          <w:szCs w:val="32"/>
        </w:rPr>
        <w:t>联系</w:t>
      </w:r>
      <w:r>
        <w:rPr>
          <w:rFonts w:hint="eastAsia" w:ascii="仿宋" w:hAnsi="仿宋" w:eastAsia="仿宋"/>
          <w:color w:val="auto"/>
          <w:sz w:val="32"/>
          <w:szCs w:val="32"/>
        </w:rPr>
        <w:t>人</w:t>
      </w:r>
      <w:r>
        <w:rPr>
          <w:rFonts w:ascii="仿宋" w:hAnsi="仿宋" w:eastAsia="仿宋"/>
          <w:color w:val="auto"/>
          <w:sz w:val="32"/>
          <w:szCs w:val="32"/>
        </w:rPr>
        <w:t>及电话：</w:t>
      </w:r>
      <w:r>
        <w:rPr>
          <w:rFonts w:hint="eastAsia" w:ascii="仿宋" w:hAnsi="仿宋" w:eastAsia="仿宋"/>
          <w:color w:val="auto"/>
          <w:sz w:val="32"/>
          <w:szCs w:val="32"/>
          <w:lang w:eastAsia="zh-CN"/>
        </w:rPr>
        <w:t>林芳芳</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0773-5846480/</w:t>
      </w:r>
      <w:r>
        <w:rPr>
          <w:rFonts w:hint="eastAsia" w:ascii="仿宋" w:hAnsi="仿宋" w:eastAsia="仿宋"/>
          <w:color w:val="auto"/>
          <w:sz w:val="32"/>
          <w:szCs w:val="32"/>
          <w:lang w:eastAsia="zh-CN"/>
        </w:rPr>
        <w:t>18978322699</w:t>
      </w:r>
      <w:r>
        <w:rPr>
          <w:rFonts w:hint="eastAsia" w:ascii="仿宋" w:hAnsi="仿宋" w:eastAsia="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54" w:lineRule="exact"/>
        <w:textAlignment w:val="auto"/>
        <w:rPr>
          <w:rFonts w:hint="eastAsia" w:ascii="仿宋" w:hAnsi="仿宋" w:eastAsia="仿宋" w:cs="仿宋"/>
          <w:color w:val="000000"/>
          <w:kern w:val="0"/>
          <w:sz w:val="32"/>
          <w:szCs w:val="32"/>
          <w:lang w:bidi="ar"/>
        </w:rPr>
        <w:sectPr>
          <w:footerReference r:id="rId3" w:type="default"/>
          <w:pgSz w:w="11906" w:h="16838"/>
          <w:pgMar w:top="2098" w:right="1474" w:bottom="1984" w:left="1587" w:header="851" w:footer="1559" w:gutter="0"/>
          <w:paperSrc/>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bCs/>
          <w:sz w:val="32"/>
          <w:szCs w:val="32"/>
          <w:lang w:val="en-US"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7</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黑体" w:hAnsi="黑体" w:eastAsia="黑体"/>
          <w:bCs/>
          <w:sz w:val="30"/>
          <w:szCs w:val="30"/>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eastAsia="方正小标宋简体"/>
          <w:bCs/>
          <w:sz w:val="44"/>
          <w:szCs w:val="44"/>
        </w:rPr>
      </w:pPr>
      <w:r>
        <w:rPr>
          <w:rFonts w:hint="eastAsia" w:ascii="方正小标宋简体" w:hAnsi="仿宋" w:eastAsia="方正小标宋简体"/>
          <w:kern w:val="0"/>
          <w:sz w:val="44"/>
          <w:szCs w:val="44"/>
        </w:rPr>
        <w:t>广西</w:t>
      </w:r>
      <w:r>
        <w:rPr>
          <w:rFonts w:hint="eastAsia" w:ascii="方正小标宋简体" w:hAnsi="仿宋" w:eastAsia="方正小标宋简体"/>
          <w:kern w:val="0"/>
          <w:sz w:val="44"/>
          <w:szCs w:val="44"/>
          <w:u w:val="none"/>
          <w:lang w:val="en-US" w:eastAsia="zh-CN"/>
        </w:rPr>
        <w:t>新</w:t>
      </w:r>
      <w:r>
        <w:rPr>
          <w:rFonts w:hint="eastAsia" w:ascii="方正小标宋简体" w:hAnsi="仿宋" w:eastAsia="方正小标宋简体"/>
          <w:kern w:val="0"/>
          <w:sz w:val="44"/>
          <w:szCs w:val="44"/>
          <w:u w:val="single"/>
          <w:lang w:val="en-US" w:eastAsia="zh-CN"/>
        </w:rPr>
        <w:t xml:space="preserve">   </w:t>
      </w:r>
      <w:r>
        <w:rPr>
          <w:rFonts w:hint="eastAsia" w:ascii="方正小标宋简体" w:hAnsi="仿宋" w:eastAsia="方正小标宋简体"/>
          <w:kern w:val="0"/>
          <w:sz w:val="44"/>
          <w:szCs w:val="44"/>
          <w:u w:val="none"/>
          <w:lang w:val="en-US" w:eastAsia="zh-CN"/>
        </w:rPr>
        <w:t>科</w:t>
      </w:r>
      <w:r>
        <w:rPr>
          <w:rFonts w:hint="eastAsia" w:ascii="方正小标宋简体" w:hAnsi="仿宋" w:eastAsia="方正小标宋简体"/>
          <w:kern w:val="0"/>
          <w:sz w:val="44"/>
          <w:szCs w:val="44"/>
        </w:rPr>
        <w:t>研究与实践项目申报汇总表</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bCs/>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bCs/>
          <w:sz w:val="32"/>
          <w:szCs w:val="32"/>
        </w:rPr>
      </w:pPr>
      <w:r>
        <w:rPr>
          <w:rFonts w:hint="eastAsia" w:ascii="仿宋" w:hAnsi="仿宋" w:eastAsia="仿宋"/>
          <w:bCs/>
          <w:sz w:val="32"/>
          <w:szCs w:val="32"/>
          <w:lang w:eastAsia="zh-CN"/>
        </w:rPr>
        <w:t>申报高校：</w:t>
      </w:r>
      <w:r>
        <w:rPr>
          <w:rFonts w:hint="eastAsia" w:ascii="仿宋" w:hAnsi="仿宋" w:eastAsia="仿宋"/>
          <w:bCs/>
          <w:sz w:val="32"/>
          <w:szCs w:val="32"/>
          <w:lang w:val="en-US" w:eastAsia="zh-CN"/>
        </w:rPr>
        <w:t xml:space="preserve">                                  </w:t>
      </w:r>
      <w:r>
        <w:rPr>
          <w:rFonts w:hint="eastAsia" w:ascii="仿宋" w:hAnsi="仿宋" w:eastAsia="仿宋"/>
          <w:bCs/>
          <w:sz w:val="32"/>
          <w:szCs w:val="32"/>
        </w:rPr>
        <w:t>填报</w:t>
      </w:r>
      <w:r>
        <w:rPr>
          <w:rFonts w:ascii="仿宋" w:hAnsi="仿宋" w:eastAsia="仿宋"/>
          <w:bCs/>
          <w:sz w:val="32"/>
          <w:szCs w:val="32"/>
        </w:rPr>
        <w:t>联系人及手机号：</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2527"/>
        <w:gridCol w:w="4014"/>
        <w:gridCol w:w="2385"/>
        <w:gridCol w:w="1847"/>
        <w:gridCol w:w="2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15"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
                <w:bCs/>
                <w:sz w:val="28"/>
                <w:szCs w:val="28"/>
                <w:lang w:eastAsia="zh-CN"/>
              </w:rPr>
            </w:pPr>
            <w:r>
              <w:rPr>
                <w:rFonts w:hint="eastAsia" w:ascii="宋体" w:hAnsi="宋体" w:eastAsia="宋体"/>
                <w:b/>
                <w:bCs/>
                <w:sz w:val="28"/>
                <w:szCs w:val="28"/>
                <w:lang w:eastAsia="zh-CN"/>
              </w:rPr>
              <w:t>序号</w:t>
            </w:r>
          </w:p>
        </w:tc>
        <w:tc>
          <w:tcPr>
            <w:tcW w:w="90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
                <w:bCs/>
                <w:sz w:val="28"/>
                <w:szCs w:val="28"/>
              </w:rPr>
            </w:pPr>
            <w:r>
              <w:rPr>
                <w:rFonts w:hint="eastAsia" w:ascii="宋体" w:hAnsi="宋体" w:eastAsia="宋体"/>
                <w:b/>
                <w:bCs/>
                <w:sz w:val="28"/>
                <w:szCs w:val="28"/>
              </w:rPr>
              <w:t>项目</w:t>
            </w:r>
            <w:r>
              <w:rPr>
                <w:rFonts w:ascii="宋体" w:hAnsi="宋体" w:eastAsia="宋体"/>
                <w:b/>
                <w:bCs/>
                <w:sz w:val="28"/>
                <w:szCs w:val="28"/>
              </w:rPr>
              <w:t>名称</w:t>
            </w:r>
          </w:p>
        </w:tc>
        <w:tc>
          <w:tcPr>
            <w:tcW w:w="143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
                <w:bCs/>
                <w:sz w:val="28"/>
                <w:szCs w:val="28"/>
              </w:rPr>
            </w:pPr>
            <w:r>
              <w:rPr>
                <w:rFonts w:hint="eastAsia" w:ascii="宋体" w:hAnsi="宋体" w:eastAsia="宋体"/>
                <w:b/>
                <w:bCs/>
                <w:sz w:val="28"/>
                <w:szCs w:val="28"/>
              </w:rPr>
              <w:t>对应项目指南编号及</w:t>
            </w:r>
            <w:r>
              <w:rPr>
                <w:rFonts w:ascii="宋体" w:hAnsi="宋体" w:eastAsia="宋体"/>
                <w:b/>
                <w:bCs/>
                <w:sz w:val="28"/>
                <w:szCs w:val="28"/>
              </w:rPr>
              <w:t>类别</w:t>
            </w:r>
          </w:p>
        </w:tc>
        <w:tc>
          <w:tcPr>
            <w:tcW w:w="85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b/>
                <w:bCs/>
                <w:sz w:val="28"/>
                <w:szCs w:val="28"/>
                <w:lang w:eastAsia="zh-CN"/>
              </w:rPr>
            </w:pPr>
            <w:r>
              <w:rPr>
                <w:rFonts w:hint="eastAsia" w:ascii="宋体" w:hAnsi="宋体" w:eastAsia="宋体"/>
                <w:b/>
                <w:bCs/>
                <w:sz w:val="28"/>
                <w:szCs w:val="28"/>
              </w:rPr>
              <w:t>项目</w:t>
            </w:r>
            <w:r>
              <w:rPr>
                <w:rFonts w:ascii="宋体" w:hAnsi="宋体" w:eastAsia="宋体"/>
                <w:b/>
                <w:bCs/>
                <w:sz w:val="28"/>
                <w:szCs w:val="28"/>
              </w:rPr>
              <w:t>负责人</w:t>
            </w:r>
            <w:r>
              <w:rPr>
                <w:rFonts w:hint="eastAsia" w:ascii="宋体" w:hAnsi="宋体" w:eastAsia="宋体"/>
                <w:b/>
                <w:bCs/>
                <w:sz w:val="28"/>
                <w:szCs w:val="28"/>
                <w:lang w:eastAsia="zh-CN"/>
              </w:rPr>
              <w:t>姓名</w:t>
            </w:r>
          </w:p>
        </w:tc>
        <w:tc>
          <w:tcPr>
            <w:tcW w:w="66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b/>
                <w:bCs/>
                <w:sz w:val="28"/>
                <w:szCs w:val="28"/>
                <w:lang w:eastAsia="zh-CN"/>
              </w:rPr>
            </w:pPr>
            <w:r>
              <w:rPr>
                <w:rFonts w:hint="eastAsia" w:ascii="宋体" w:hAnsi="宋体" w:eastAsia="宋体"/>
                <w:b/>
                <w:bCs/>
                <w:sz w:val="28"/>
                <w:szCs w:val="28"/>
                <w:lang w:eastAsia="zh-CN"/>
              </w:rPr>
              <w:t>邮箱</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
                <w:bCs/>
                <w:sz w:val="28"/>
                <w:szCs w:val="28"/>
              </w:rPr>
            </w:pPr>
            <w:r>
              <w:rPr>
                <w:rFonts w:hint="eastAsia" w:ascii="宋体" w:hAnsi="宋体" w:eastAsia="宋体"/>
                <w:b/>
                <w:bCs/>
                <w:sz w:val="28"/>
                <w:szCs w:val="28"/>
              </w:rPr>
              <w:t>手机号码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90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143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bCs/>
                <w:sz w:val="28"/>
                <w:szCs w:val="28"/>
              </w:rPr>
            </w:pPr>
            <w:r>
              <w:rPr>
                <w:rFonts w:hint="eastAsia" w:ascii="宋体" w:hAnsi="宋体" w:eastAsia="宋体"/>
                <w:bCs/>
                <w:sz w:val="28"/>
                <w:szCs w:val="28"/>
              </w:rPr>
              <w:t>例如</w:t>
            </w:r>
            <w:r>
              <w:rPr>
                <w:rFonts w:ascii="宋体" w:hAnsi="宋体" w:eastAsia="宋体"/>
                <w:bCs/>
                <w:sz w:val="28"/>
                <w:szCs w:val="28"/>
              </w:rPr>
              <w:t>：</w:t>
            </w:r>
            <w:r>
              <w:rPr>
                <w:rFonts w:hint="eastAsia" w:ascii="宋体" w:hAnsi="宋体" w:eastAsia="宋体"/>
                <w:bCs/>
                <w:sz w:val="28"/>
                <w:szCs w:val="28"/>
              </w:rPr>
              <w:t>4.新时代医学学科专业结构布局优化研究与实践</w:t>
            </w:r>
          </w:p>
        </w:tc>
        <w:tc>
          <w:tcPr>
            <w:tcW w:w="85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66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15"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90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143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85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66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15"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90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143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85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66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15"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90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143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85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66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8"/>
                <w:szCs w:val="28"/>
              </w:rPr>
            </w:pPr>
          </w:p>
        </w:tc>
      </w:tr>
    </w:tbl>
    <w:p>
      <w:pPr>
        <w:spacing w:line="560" w:lineRule="exact"/>
        <w:jc w:val="left"/>
        <w:rPr>
          <w:rFonts w:hint="eastAsia" w:ascii="仿宋_GB2312"/>
          <w:bCs/>
          <w:szCs w:val="32"/>
        </w:rPr>
      </w:pPr>
    </w:p>
    <w:p>
      <w:pPr>
        <w:keepNext w:val="0"/>
        <w:keepLines w:val="0"/>
        <w:pageBreakBefore w:val="0"/>
        <w:widowControl w:val="0"/>
        <w:kinsoku/>
        <w:wordWrap/>
        <w:overflowPunct/>
        <w:topLinePunct w:val="0"/>
        <w:autoSpaceDE/>
        <w:autoSpaceDN/>
        <w:bidi w:val="0"/>
        <w:adjustRightInd/>
        <w:snapToGrid/>
        <w:spacing w:line="554" w:lineRule="exact"/>
        <w:textAlignment w:val="auto"/>
        <w:rPr>
          <w:rFonts w:hint="eastAsia" w:ascii="仿宋" w:hAnsi="仿宋" w:eastAsia="仿宋" w:cs="仿宋"/>
          <w:color w:val="000000"/>
          <w:kern w:val="0"/>
          <w:sz w:val="32"/>
          <w:szCs w:val="32"/>
          <w:lang w:bidi="ar"/>
        </w:rPr>
        <w:sectPr>
          <w:pgSz w:w="16838" w:h="11906" w:orient="landscape"/>
          <w:pgMar w:top="2098" w:right="1474" w:bottom="1984" w:left="1587" w:header="851" w:footer="1559" w:gutter="0"/>
          <w:paperSrc/>
          <w:cols w:space="720" w:num="1"/>
          <w:rtlGutter w:val="0"/>
          <w:docGrid w:type="lines" w:linePitch="312" w:charSpace="0"/>
        </w:sectPr>
      </w:pPr>
    </w:p>
    <w:p>
      <w:pPr>
        <w:spacing w:before="0" w:line="560" w:lineRule="exact"/>
        <w:ind w:firstLine="162" w:firstLineChars="50"/>
        <w:jc w:val="left"/>
        <w:rPr>
          <w:rFonts w:hint="eastAsia" w:ascii="黑体" w:hAnsi="黑体" w:eastAsia="黑体" w:cs="仿宋_GB2312"/>
          <w:kern w:val="0"/>
          <w:sz w:val="32"/>
          <w:szCs w:val="32"/>
          <w:lang w:val="en-US" w:eastAsia="zh-CN"/>
        </w:rPr>
      </w:pPr>
      <w:r>
        <w:rPr>
          <w:rFonts w:ascii="黑体" w:hAnsi="黑体" w:eastAsia="黑体"/>
          <w:spacing w:val="2"/>
          <w:kern w:val="0"/>
          <w:sz w:val="32"/>
          <w:szCs w:val="32"/>
        </w:rPr>
        <w:t>附</w:t>
      </w:r>
      <w:r>
        <w:rPr>
          <w:rFonts w:ascii="黑体" w:hAnsi="黑体" w:eastAsia="黑体"/>
          <w:kern w:val="0"/>
          <w:sz w:val="32"/>
          <w:szCs w:val="32"/>
        </w:rPr>
        <w:t>件</w:t>
      </w:r>
      <w:r>
        <w:rPr>
          <w:rFonts w:hint="eastAsia" w:ascii="黑体" w:hAnsi="黑体" w:eastAsia="黑体"/>
          <w:kern w:val="0"/>
          <w:sz w:val="32"/>
          <w:szCs w:val="32"/>
          <w:lang w:val="en-US" w:eastAsia="zh-CN"/>
        </w:rPr>
        <w:t>8</w:t>
      </w:r>
    </w:p>
    <w:p>
      <w:pPr>
        <w:spacing w:before="0" w:line="560" w:lineRule="exact"/>
        <w:jc w:val="left"/>
        <w:rPr>
          <w:rFonts w:ascii="Calibri" w:hAnsi="Calibri"/>
          <w:sz w:val="32"/>
          <w:szCs w:val="32"/>
        </w:rPr>
      </w:pPr>
    </w:p>
    <w:p>
      <w:pPr>
        <w:spacing w:line="200" w:lineRule="exact"/>
        <w:rPr>
          <w:rFonts w:ascii="Calibri" w:hAnsi="Calibri"/>
          <w:sz w:val="20"/>
          <w:szCs w:val="20"/>
        </w:rPr>
      </w:pPr>
    </w:p>
    <w:p>
      <w:pPr>
        <w:spacing w:line="200" w:lineRule="exact"/>
        <w:rPr>
          <w:rFonts w:ascii="Calibri" w:hAnsi="Calibri"/>
          <w:sz w:val="20"/>
          <w:szCs w:val="20"/>
        </w:rPr>
      </w:pPr>
    </w:p>
    <w:p>
      <w:pPr>
        <w:spacing w:line="200" w:lineRule="exact"/>
        <w:rPr>
          <w:rFonts w:ascii="Calibri" w:hAnsi="Calibri"/>
          <w:sz w:val="20"/>
          <w:szCs w:val="20"/>
        </w:rPr>
      </w:pPr>
    </w:p>
    <w:p>
      <w:pPr>
        <w:spacing w:line="200" w:lineRule="exact"/>
        <w:rPr>
          <w:rFonts w:ascii="Calibri" w:hAnsi="Calibri"/>
          <w:sz w:val="20"/>
          <w:szCs w:val="20"/>
        </w:rPr>
      </w:pPr>
    </w:p>
    <w:p>
      <w:pPr>
        <w:spacing w:line="200" w:lineRule="exact"/>
        <w:rPr>
          <w:rFonts w:ascii="Calibri" w:hAnsi="Calibri"/>
          <w:sz w:val="20"/>
          <w:szCs w:val="20"/>
        </w:rPr>
      </w:pPr>
    </w:p>
    <w:p>
      <w:pPr>
        <w:spacing w:line="200" w:lineRule="exact"/>
        <w:rPr>
          <w:rFonts w:ascii="Calibri" w:hAnsi="Calibri"/>
          <w:sz w:val="20"/>
          <w:szCs w:val="20"/>
        </w:rPr>
      </w:pPr>
    </w:p>
    <w:p>
      <w:pPr>
        <w:spacing w:line="200" w:lineRule="exact"/>
        <w:rPr>
          <w:rFonts w:ascii="Calibri" w:hAnsi="Calibri"/>
          <w:sz w:val="20"/>
          <w:szCs w:val="20"/>
        </w:rPr>
      </w:pPr>
    </w:p>
    <w:p>
      <w:pPr>
        <w:spacing w:before="13" w:line="220" w:lineRule="exact"/>
        <w:rPr>
          <w:rFonts w:ascii="Calibri" w:hAnsi="Calibri"/>
        </w:rPr>
      </w:pPr>
    </w:p>
    <w:p>
      <w:pPr>
        <w:ind w:right="599"/>
        <w:jc w:val="center"/>
        <w:rPr>
          <w:rFonts w:ascii="方正小标宋简体" w:hAnsi="黑体" w:eastAsia="方正小标宋简体" w:cs="黑体"/>
          <w:sz w:val="44"/>
          <w:szCs w:val="44"/>
        </w:rPr>
      </w:pPr>
      <w:r>
        <w:rPr>
          <w:rFonts w:hint="eastAsia" w:ascii="方正小标宋简体" w:hAnsi="黑体" w:eastAsia="方正小标宋简体" w:cs="黑体"/>
          <w:spacing w:val="1"/>
          <w:sz w:val="44"/>
          <w:szCs w:val="44"/>
        </w:rPr>
        <w:t>广西</w:t>
      </w:r>
      <w:r>
        <w:rPr>
          <w:rFonts w:hint="default" w:ascii="方正小标宋简体" w:hAnsi="黑体" w:eastAsia="方正小标宋简体" w:cs="黑体"/>
          <w:spacing w:val="1"/>
          <w:sz w:val="44"/>
          <w:szCs w:val="44"/>
          <w:u w:val="none"/>
          <w:lang w:val="en"/>
        </w:rPr>
        <w:t>新</w:t>
      </w:r>
      <w:r>
        <w:rPr>
          <w:rFonts w:hint="default" w:ascii="方正小标宋简体" w:hAnsi="黑体" w:eastAsia="方正小标宋简体" w:cs="黑体"/>
          <w:spacing w:val="1"/>
          <w:sz w:val="44"/>
          <w:szCs w:val="44"/>
          <w:u w:val="single"/>
          <w:lang w:val="en"/>
        </w:rPr>
        <w:t xml:space="preserve">   </w:t>
      </w:r>
      <w:r>
        <w:rPr>
          <w:rFonts w:hint="default" w:ascii="方正小标宋简体" w:hAnsi="黑体" w:eastAsia="方正小标宋简体" w:cs="黑体"/>
          <w:spacing w:val="1"/>
          <w:sz w:val="44"/>
          <w:szCs w:val="44"/>
          <w:u w:val="none"/>
          <w:lang w:val="en"/>
        </w:rPr>
        <w:t>科</w:t>
      </w:r>
      <w:r>
        <w:rPr>
          <w:rFonts w:hint="eastAsia" w:ascii="方正小标宋简体" w:hAnsi="黑体" w:eastAsia="方正小标宋简体" w:cs="黑体"/>
          <w:spacing w:val="1"/>
          <w:sz w:val="44"/>
          <w:szCs w:val="44"/>
        </w:rPr>
        <w:t>研究与实践项目</w:t>
      </w:r>
      <w:r>
        <w:rPr>
          <w:rFonts w:hint="eastAsia" w:ascii="方正小标宋简体" w:hAnsi="黑体" w:eastAsia="方正小标宋简体" w:cs="黑体"/>
          <w:spacing w:val="1"/>
          <w:sz w:val="44"/>
          <w:szCs w:val="44"/>
          <w:lang w:eastAsia="zh-CN"/>
        </w:rPr>
        <w:t>申请</w:t>
      </w:r>
      <w:r>
        <w:rPr>
          <w:rFonts w:hint="eastAsia" w:ascii="方正小标宋简体" w:hAnsi="黑体" w:eastAsia="方正小标宋简体" w:cs="黑体"/>
          <w:spacing w:val="1"/>
          <w:sz w:val="44"/>
          <w:szCs w:val="44"/>
        </w:rPr>
        <w:t>表</w:t>
      </w:r>
    </w:p>
    <w:p>
      <w:pPr>
        <w:spacing w:before="9" w:line="150" w:lineRule="exact"/>
        <w:rPr>
          <w:rFonts w:ascii="方正小标宋简体" w:hAnsi="Calibri" w:eastAsia="方正小标宋简体"/>
          <w:sz w:val="15"/>
          <w:szCs w:val="15"/>
        </w:rPr>
      </w:pPr>
    </w:p>
    <w:p>
      <w:pPr>
        <w:spacing w:line="200" w:lineRule="exact"/>
        <w:rPr>
          <w:rFonts w:ascii="Calibri" w:hAnsi="Calibri"/>
          <w:sz w:val="20"/>
          <w:szCs w:val="20"/>
        </w:rPr>
      </w:pPr>
    </w:p>
    <w:p>
      <w:pPr>
        <w:spacing w:line="200" w:lineRule="exact"/>
        <w:rPr>
          <w:rFonts w:ascii="Calibri" w:hAnsi="Calibri"/>
          <w:sz w:val="20"/>
          <w:szCs w:val="20"/>
        </w:rPr>
      </w:pPr>
    </w:p>
    <w:p>
      <w:pPr>
        <w:spacing w:line="200" w:lineRule="exact"/>
        <w:rPr>
          <w:rFonts w:ascii="Calibri" w:hAnsi="Calibri"/>
          <w:sz w:val="20"/>
          <w:szCs w:val="20"/>
        </w:rPr>
      </w:pPr>
    </w:p>
    <w:p>
      <w:pPr>
        <w:spacing w:line="200" w:lineRule="exact"/>
        <w:rPr>
          <w:rFonts w:ascii="Calibri" w:hAnsi="Calibri"/>
          <w:sz w:val="20"/>
          <w:szCs w:val="20"/>
        </w:rPr>
      </w:pPr>
    </w:p>
    <w:p>
      <w:pPr>
        <w:spacing w:line="200" w:lineRule="exact"/>
        <w:rPr>
          <w:rFonts w:ascii="Calibri" w:hAnsi="Calibri"/>
          <w:sz w:val="20"/>
          <w:szCs w:val="20"/>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Calibri" w:hAnsi="Calibri"/>
          <w:sz w:val="20"/>
          <w:szCs w:val="20"/>
        </w:rPr>
      </w:pPr>
    </w:p>
    <w:p>
      <w:pPr>
        <w:keepNext w:val="0"/>
        <w:keepLines w:val="0"/>
        <w:pageBreakBefore w:val="0"/>
        <w:widowControl w:val="0"/>
        <w:tabs>
          <w:tab w:val="left" w:pos="7773"/>
        </w:tabs>
        <w:kinsoku/>
        <w:wordWrap/>
        <w:overflowPunct/>
        <w:topLinePunct w:val="0"/>
        <w:autoSpaceDE/>
        <w:autoSpaceDN/>
        <w:bidi w:val="0"/>
        <w:adjustRightInd/>
        <w:snapToGrid/>
        <w:spacing w:line="360" w:lineRule="exact"/>
        <w:ind w:left="1020"/>
        <w:textAlignment w:val="auto"/>
        <w:rPr>
          <w:rFonts w:hint="eastAsia" w:ascii="仿宋" w:hAnsi="仿宋" w:eastAsia="仿宋" w:cs="仿宋"/>
          <w:sz w:val="30"/>
          <w:szCs w:val="30"/>
        </w:rPr>
      </w:pPr>
      <w:r>
        <w:rPr>
          <w:rFonts w:hint="eastAsia" w:ascii="仿宋" w:hAnsi="仿宋" w:eastAsia="仿宋" w:cs="仿宋"/>
          <w:sz w:val="30"/>
          <w:szCs w:val="30"/>
        </w:rPr>
        <w:t>项目名称</w:t>
      </w:r>
      <w:r>
        <w:rPr>
          <w:rFonts w:hint="eastAsia" w:ascii="仿宋" w:hAnsi="仿宋" w:eastAsia="仿宋" w:cs="仿宋"/>
          <w:spacing w:val="3"/>
          <w:sz w:val="30"/>
          <w:szCs w:val="30"/>
        </w:rPr>
        <w:t>：</w:t>
      </w:r>
      <w:r>
        <w:rPr>
          <w:rFonts w:hint="eastAsia" w:ascii="仿宋" w:hAnsi="仿宋" w:eastAsia="仿宋" w:cs="仿宋"/>
          <w:sz w:val="30"/>
          <w:szCs w:val="30"/>
          <w:u w:val="single" w:color="000000"/>
        </w:rPr>
        <w:tab/>
      </w:r>
    </w:p>
    <w:p>
      <w:pPr>
        <w:keepNext w:val="0"/>
        <w:keepLines w:val="0"/>
        <w:pageBreakBefore w:val="0"/>
        <w:widowControl w:val="0"/>
        <w:kinsoku/>
        <w:wordWrap/>
        <w:overflowPunct/>
        <w:topLinePunct w:val="0"/>
        <w:autoSpaceDE/>
        <w:autoSpaceDN/>
        <w:bidi w:val="0"/>
        <w:adjustRightInd/>
        <w:snapToGrid/>
        <w:spacing w:before="4" w:line="360" w:lineRule="exact"/>
        <w:textAlignment w:val="auto"/>
        <w:rPr>
          <w:rFonts w:hint="eastAsia" w:ascii="仿宋" w:hAnsi="仿宋" w:eastAsia="仿宋" w:cs="仿宋"/>
        </w:rPr>
      </w:pPr>
    </w:p>
    <w:p>
      <w:pPr>
        <w:keepNext w:val="0"/>
        <w:keepLines w:val="0"/>
        <w:pageBreakBefore w:val="0"/>
        <w:widowControl w:val="0"/>
        <w:tabs>
          <w:tab w:val="left" w:pos="7773"/>
        </w:tabs>
        <w:kinsoku/>
        <w:wordWrap/>
        <w:overflowPunct/>
        <w:topLinePunct w:val="0"/>
        <w:autoSpaceDE/>
        <w:autoSpaceDN/>
        <w:bidi w:val="0"/>
        <w:adjustRightInd/>
        <w:snapToGrid/>
        <w:spacing w:line="360" w:lineRule="exact"/>
        <w:ind w:left="1020"/>
        <w:textAlignment w:val="auto"/>
        <w:rPr>
          <w:rFonts w:hint="eastAsia" w:ascii="仿宋" w:hAnsi="仿宋" w:eastAsia="仿宋" w:cs="仿宋"/>
          <w:sz w:val="30"/>
          <w:szCs w:val="30"/>
        </w:rPr>
      </w:pPr>
      <w:r>
        <w:rPr>
          <w:rFonts w:hint="eastAsia" w:ascii="仿宋" w:hAnsi="仿宋" w:eastAsia="仿宋" w:cs="仿宋"/>
          <w:sz w:val="30"/>
          <w:szCs w:val="30"/>
        </w:rPr>
        <w:t>实施单位</w:t>
      </w:r>
      <w:r>
        <w:rPr>
          <w:rFonts w:hint="eastAsia" w:ascii="仿宋" w:hAnsi="仿宋" w:eastAsia="仿宋" w:cs="仿宋"/>
          <w:spacing w:val="2"/>
          <w:sz w:val="30"/>
          <w:szCs w:val="30"/>
        </w:rPr>
        <w:t>：</w:t>
      </w:r>
      <w:r>
        <w:rPr>
          <w:rFonts w:hint="eastAsia" w:ascii="仿宋" w:hAnsi="仿宋" w:eastAsia="仿宋" w:cs="仿宋"/>
          <w:sz w:val="30"/>
          <w:szCs w:val="30"/>
          <w:u w:val="single" w:color="000000"/>
        </w:rPr>
        <w:tab/>
      </w:r>
    </w:p>
    <w:p>
      <w:pPr>
        <w:keepNext w:val="0"/>
        <w:keepLines w:val="0"/>
        <w:pageBreakBefore w:val="0"/>
        <w:widowControl w:val="0"/>
        <w:kinsoku/>
        <w:wordWrap/>
        <w:overflowPunct/>
        <w:topLinePunct w:val="0"/>
        <w:autoSpaceDE/>
        <w:autoSpaceDN/>
        <w:bidi w:val="0"/>
        <w:adjustRightInd/>
        <w:snapToGrid/>
        <w:spacing w:before="4" w:line="360" w:lineRule="exact"/>
        <w:textAlignment w:val="auto"/>
        <w:rPr>
          <w:rFonts w:hint="eastAsia" w:ascii="仿宋" w:hAnsi="仿宋" w:eastAsia="仿宋" w:cs="仿宋"/>
        </w:rPr>
      </w:pPr>
    </w:p>
    <w:p>
      <w:pPr>
        <w:keepNext w:val="0"/>
        <w:keepLines w:val="0"/>
        <w:pageBreakBefore w:val="0"/>
        <w:widowControl w:val="0"/>
        <w:tabs>
          <w:tab w:val="left" w:pos="7773"/>
        </w:tabs>
        <w:kinsoku/>
        <w:wordWrap/>
        <w:overflowPunct/>
        <w:topLinePunct w:val="0"/>
        <w:autoSpaceDE/>
        <w:autoSpaceDN/>
        <w:bidi w:val="0"/>
        <w:adjustRightInd/>
        <w:snapToGrid/>
        <w:spacing w:line="360" w:lineRule="exact"/>
        <w:ind w:left="1020"/>
        <w:textAlignment w:val="auto"/>
        <w:rPr>
          <w:rFonts w:hint="eastAsia" w:ascii="仿宋" w:hAnsi="仿宋" w:eastAsia="仿宋" w:cs="仿宋"/>
          <w:sz w:val="30"/>
          <w:szCs w:val="30"/>
        </w:rPr>
      </w:pPr>
      <w:r>
        <w:rPr>
          <w:rFonts w:hint="eastAsia" w:ascii="仿宋" w:hAnsi="仿宋" w:eastAsia="仿宋" w:cs="仿宋"/>
          <w:sz w:val="30"/>
          <w:szCs w:val="30"/>
        </w:rPr>
        <w:t>项目负责人</w:t>
      </w:r>
      <w:r>
        <w:rPr>
          <w:rFonts w:hint="eastAsia" w:ascii="仿宋" w:hAnsi="仿宋" w:eastAsia="仿宋" w:cs="仿宋"/>
          <w:spacing w:val="2"/>
          <w:sz w:val="30"/>
          <w:szCs w:val="30"/>
        </w:rPr>
        <w:t>：</w:t>
      </w:r>
      <w:r>
        <w:rPr>
          <w:rFonts w:hint="eastAsia" w:ascii="仿宋" w:hAnsi="仿宋" w:eastAsia="仿宋" w:cs="仿宋"/>
          <w:sz w:val="30"/>
          <w:szCs w:val="30"/>
          <w:u w:val="single" w:color="000000"/>
        </w:rPr>
        <w:tab/>
      </w:r>
    </w:p>
    <w:p>
      <w:pPr>
        <w:keepNext w:val="0"/>
        <w:keepLines w:val="0"/>
        <w:pageBreakBefore w:val="0"/>
        <w:widowControl w:val="0"/>
        <w:kinsoku/>
        <w:wordWrap/>
        <w:overflowPunct/>
        <w:topLinePunct w:val="0"/>
        <w:autoSpaceDE/>
        <w:autoSpaceDN/>
        <w:bidi w:val="0"/>
        <w:adjustRightInd/>
        <w:snapToGrid/>
        <w:spacing w:before="4" w:line="360" w:lineRule="exact"/>
        <w:textAlignment w:val="auto"/>
        <w:rPr>
          <w:rFonts w:hint="eastAsia" w:ascii="仿宋" w:hAnsi="仿宋" w:eastAsia="仿宋" w:cs="仿宋"/>
        </w:rPr>
      </w:pPr>
    </w:p>
    <w:p>
      <w:pPr>
        <w:keepNext w:val="0"/>
        <w:keepLines w:val="0"/>
        <w:pageBreakBefore w:val="0"/>
        <w:widowControl w:val="0"/>
        <w:tabs>
          <w:tab w:val="left" w:pos="7773"/>
        </w:tabs>
        <w:kinsoku/>
        <w:wordWrap/>
        <w:overflowPunct/>
        <w:topLinePunct w:val="0"/>
        <w:autoSpaceDE/>
        <w:autoSpaceDN/>
        <w:bidi w:val="0"/>
        <w:adjustRightInd/>
        <w:snapToGrid/>
        <w:spacing w:line="360" w:lineRule="exact"/>
        <w:ind w:left="1020"/>
        <w:textAlignment w:val="auto"/>
        <w:rPr>
          <w:rFonts w:hint="eastAsia" w:ascii="仿宋" w:hAnsi="仿宋" w:eastAsia="仿宋" w:cs="仿宋"/>
          <w:sz w:val="30"/>
          <w:szCs w:val="30"/>
        </w:rPr>
      </w:pPr>
      <w:r>
        <w:rPr>
          <w:rFonts w:hint="eastAsia" w:ascii="仿宋" w:hAnsi="仿宋" w:eastAsia="仿宋" w:cs="仿宋"/>
          <w:sz w:val="30"/>
          <w:szCs w:val="30"/>
        </w:rPr>
        <w:t>通讯地址</w:t>
      </w:r>
      <w:r>
        <w:rPr>
          <w:rFonts w:hint="eastAsia" w:ascii="仿宋" w:hAnsi="仿宋" w:eastAsia="仿宋" w:cs="仿宋"/>
          <w:spacing w:val="3"/>
          <w:sz w:val="30"/>
          <w:szCs w:val="30"/>
        </w:rPr>
        <w:t>：</w:t>
      </w:r>
      <w:r>
        <w:rPr>
          <w:rFonts w:hint="eastAsia" w:ascii="仿宋" w:hAnsi="仿宋" w:eastAsia="仿宋" w:cs="仿宋"/>
          <w:sz w:val="30"/>
          <w:szCs w:val="30"/>
          <w:u w:val="single" w:color="000000"/>
        </w:rPr>
        <w:tab/>
      </w:r>
    </w:p>
    <w:p>
      <w:pPr>
        <w:keepNext w:val="0"/>
        <w:keepLines w:val="0"/>
        <w:pageBreakBefore w:val="0"/>
        <w:widowControl w:val="0"/>
        <w:kinsoku/>
        <w:wordWrap/>
        <w:overflowPunct/>
        <w:topLinePunct w:val="0"/>
        <w:autoSpaceDE/>
        <w:autoSpaceDN/>
        <w:bidi w:val="0"/>
        <w:adjustRightInd/>
        <w:snapToGrid/>
        <w:spacing w:before="4" w:line="360" w:lineRule="exact"/>
        <w:textAlignment w:val="auto"/>
        <w:rPr>
          <w:rFonts w:hint="eastAsia" w:ascii="仿宋" w:hAnsi="仿宋" w:eastAsia="仿宋" w:cs="仿宋"/>
        </w:rPr>
      </w:pPr>
    </w:p>
    <w:p>
      <w:pPr>
        <w:keepNext w:val="0"/>
        <w:keepLines w:val="0"/>
        <w:pageBreakBefore w:val="0"/>
        <w:widowControl w:val="0"/>
        <w:tabs>
          <w:tab w:val="left" w:pos="7773"/>
        </w:tabs>
        <w:kinsoku/>
        <w:wordWrap/>
        <w:overflowPunct/>
        <w:topLinePunct w:val="0"/>
        <w:autoSpaceDE/>
        <w:autoSpaceDN/>
        <w:bidi w:val="0"/>
        <w:adjustRightInd/>
        <w:snapToGrid/>
        <w:spacing w:line="360" w:lineRule="exact"/>
        <w:ind w:left="1020"/>
        <w:textAlignment w:val="auto"/>
        <w:rPr>
          <w:rFonts w:hint="eastAsia" w:ascii="仿宋" w:hAnsi="仿宋" w:eastAsia="仿宋" w:cs="仿宋"/>
          <w:sz w:val="30"/>
          <w:szCs w:val="30"/>
        </w:rPr>
      </w:pPr>
      <w:r>
        <w:rPr>
          <w:rFonts w:hint="eastAsia" w:ascii="仿宋" w:hAnsi="仿宋" w:eastAsia="仿宋" w:cs="仿宋"/>
          <w:sz w:val="30"/>
          <w:szCs w:val="30"/>
        </w:rPr>
        <w:t>邮政编码</w:t>
      </w:r>
      <w:r>
        <w:rPr>
          <w:rFonts w:hint="eastAsia" w:ascii="仿宋" w:hAnsi="仿宋" w:eastAsia="仿宋" w:cs="仿宋"/>
          <w:spacing w:val="3"/>
          <w:sz w:val="30"/>
          <w:szCs w:val="30"/>
        </w:rPr>
        <w:t>：</w:t>
      </w:r>
      <w:r>
        <w:rPr>
          <w:rFonts w:hint="eastAsia" w:ascii="仿宋" w:hAnsi="仿宋" w:eastAsia="仿宋" w:cs="仿宋"/>
          <w:sz w:val="30"/>
          <w:szCs w:val="30"/>
          <w:u w:val="single" w:color="000000"/>
        </w:rPr>
        <w:tab/>
      </w:r>
    </w:p>
    <w:p>
      <w:pPr>
        <w:keepNext w:val="0"/>
        <w:keepLines w:val="0"/>
        <w:pageBreakBefore w:val="0"/>
        <w:widowControl w:val="0"/>
        <w:kinsoku/>
        <w:wordWrap/>
        <w:overflowPunct/>
        <w:topLinePunct w:val="0"/>
        <w:autoSpaceDE/>
        <w:autoSpaceDN/>
        <w:bidi w:val="0"/>
        <w:adjustRightInd/>
        <w:snapToGrid/>
        <w:spacing w:before="4" w:line="360" w:lineRule="exact"/>
        <w:textAlignment w:val="auto"/>
        <w:rPr>
          <w:rFonts w:hint="eastAsia" w:ascii="仿宋" w:hAnsi="仿宋" w:eastAsia="仿宋" w:cs="仿宋"/>
        </w:rPr>
      </w:pPr>
    </w:p>
    <w:p>
      <w:pPr>
        <w:keepNext w:val="0"/>
        <w:keepLines w:val="0"/>
        <w:pageBreakBefore w:val="0"/>
        <w:widowControl w:val="0"/>
        <w:tabs>
          <w:tab w:val="left" w:pos="7773"/>
        </w:tabs>
        <w:kinsoku/>
        <w:wordWrap/>
        <w:overflowPunct/>
        <w:topLinePunct w:val="0"/>
        <w:autoSpaceDE/>
        <w:autoSpaceDN/>
        <w:bidi w:val="0"/>
        <w:adjustRightInd/>
        <w:snapToGrid/>
        <w:spacing w:line="360" w:lineRule="exact"/>
        <w:ind w:left="1020"/>
        <w:textAlignment w:val="auto"/>
        <w:rPr>
          <w:rFonts w:hint="eastAsia" w:ascii="仿宋" w:hAnsi="仿宋" w:eastAsia="仿宋" w:cs="仿宋"/>
          <w:sz w:val="30"/>
          <w:szCs w:val="30"/>
        </w:rPr>
      </w:pPr>
      <w:r>
        <w:rPr>
          <w:rFonts w:hint="eastAsia" w:ascii="仿宋" w:hAnsi="仿宋" w:eastAsia="仿宋" w:cs="仿宋"/>
          <w:sz w:val="30"/>
          <w:szCs w:val="30"/>
        </w:rPr>
        <w:t>联系电话</w:t>
      </w:r>
      <w:r>
        <w:rPr>
          <w:rFonts w:hint="eastAsia" w:ascii="仿宋" w:hAnsi="仿宋" w:eastAsia="仿宋" w:cs="仿宋"/>
          <w:spacing w:val="3"/>
          <w:sz w:val="30"/>
          <w:szCs w:val="30"/>
        </w:rPr>
        <w:t>：</w:t>
      </w:r>
      <w:r>
        <w:rPr>
          <w:rFonts w:hint="eastAsia" w:ascii="仿宋" w:hAnsi="仿宋" w:eastAsia="仿宋" w:cs="仿宋"/>
          <w:sz w:val="30"/>
          <w:szCs w:val="30"/>
          <w:u w:val="single" w:color="000000"/>
        </w:rPr>
        <w:tab/>
      </w:r>
    </w:p>
    <w:p>
      <w:pPr>
        <w:keepNext w:val="0"/>
        <w:keepLines w:val="0"/>
        <w:pageBreakBefore w:val="0"/>
        <w:widowControl w:val="0"/>
        <w:kinsoku/>
        <w:wordWrap/>
        <w:overflowPunct/>
        <w:topLinePunct w:val="0"/>
        <w:autoSpaceDE/>
        <w:autoSpaceDN/>
        <w:bidi w:val="0"/>
        <w:adjustRightInd/>
        <w:snapToGrid/>
        <w:spacing w:before="4" w:line="360" w:lineRule="exact"/>
        <w:textAlignment w:val="auto"/>
        <w:rPr>
          <w:rFonts w:hint="eastAsia" w:ascii="仿宋" w:hAnsi="仿宋" w:eastAsia="仿宋" w:cs="仿宋"/>
        </w:rPr>
      </w:pPr>
    </w:p>
    <w:p>
      <w:pPr>
        <w:keepNext w:val="0"/>
        <w:keepLines w:val="0"/>
        <w:pageBreakBefore w:val="0"/>
        <w:widowControl w:val="0"/>
        <w:tabs>
          <w:tab w:val="left" w:pos="7773"/>
        </w:tabs>
        <w:kinsoku/>
        <w:wordWrap/>
        <w:overflowPunct/>
        <w:topLinePunct w:val="0"/>
        <w:autoSpaceDE/>
        <w:autoSpaceDN/>
        <w:bidi w:val="0"/>
        <w:adjustRightInd/>
        <w:snapToGrid/>
        <w:spacing w:line="360" w:lineRule="exact"/>
        <w:ind w:left="1020"/>
        <w:textAlignment w:val="auto"/>
        <w:rPr>
          <w:rFonts w:hint="eastAsia" w:ascii="仿宋" w:hAnsi="仿宋" w:eastAsia="仿宋" w:cs="仿宋"/>
          <w:sz w:val="30"/>
          <w:szCs w:val="30"/>
        </w:rPr>
      </w:pPr>
      <w:r>
        <w:rPr>
          <w:rFonts w:hint="eastAsia" w:ascii="仿宋" w:hAnsi="仿宋" w:eastAsia="仿宋" w:cs="仿宋"/>
          <w:spacing w:val="1"/>
          <w:sz w:val="30"/>
          <w:szCs w:val="30"/>
        </w:rPr>
        <w:t>E—</w:t>
      </w:r>
      <w:r>
        <w:rPr>
          <w:rFonts w:hint="eastAsia" w:ascii="仿宋" w:hAnsi="仿宋" w:eastAsia="仿宋" w:cs="仿宋"/>
          <w:spacing w:val="-2"/>
          <w:sz w:val="30"/>
          <w:szCs w:val="30"/>
        </w:rPr>
        <w:t>m</w:t>
      </w:r>
      <w:r>
        <w:rPr>
          <w:rFonts w:hint="eastAsia" w:ascii="仿宋" w:hAnsi="仿宋" w:eastAsia="仿宋" w:cs="仿宋"/>
          <w:sz w:val="30"/>
          <w:szCs w:val="30"/>
        </w:rPr>
        <w:t>a</w:t>
      </w:r>
      <w:r>
        <w:rPr>
          <w:rFonts w:hint="eastAsia" w:ascii="仿宋" w:hAnsi="仿宋" w:eastAsia="仿宋" w:cs="仿宋"/>
          <w:spacing w:val="-2"/>
          <w:sz w:val="30"/>
          <w:szCs w:val="30"/>
        </w:rPr>
        <w:t>i</w:t>
      </w:r>
      <w:r>
        <w:rPr>
          <w:rFonts w:hint="eastAsia" w:ascii="仿宋" w:hAnsi="仿宋" w:eastAsia="仿宋" w:cs="仿宋"/>
          <w:sz w:val="30"/>
          <w:szCs w:val="30"/>
        </w:rPr>
        <w:t>l:</w:t>
      </w:r>
      <w:r>
        <w:rPr>
          <w:rFonts w:hint="eastAsia" w:ascii="仿宋" w:hAnsi="仿宋" w:eastAsia="仿宋" w:cs="仿宋"/>
          <w:sz w:val="30"/>
          <w:szCs w:val="30"/>
          <w:u w:val="single" w:color="000000"/>
        </w:rPr>
        <w:tab/>
      </w:r>
    </w:p>
    <w:p>
      <w:pPr>
        <w:keepNext w:val="0"/>
        <w:keepLines w:val="0"/>
        <w:pageBreakBefore w:val="0"/>
        <w:widowControl w:val="0"/>
        <w:kinsoku/>
        <w:wordWrap/>
        <w:overflowPunct/>
        <w:topLinePunct w:val="0"/>
        <w:autoSpaceDE/>
        <w:autoSpaceDN/>
        <w:bidi w:val="0"/>
        <w:adjustRightInd/>
        <w:snapToGrid/>
        <w:spacing w:before="5" w:line="360" w:lineRule="exact"/>
        <w:textAlignment w:val="auto"/>
        <w:rPr>
          <w:rFonts w:hint="eastAsia" w:ascii="仿宋" w:hAnsi="仿宋" w:eastAsia="仿宋" w:cs="仿宋"/>
        </w:rPr>
      </w:pPr>
    </w:p>
    <w:p>
      <w:pPr>
        <w:keepNext w:val="0"/>
        <w:keepLines w:val="0"/>
        <w:pageBreakBefore w:val="0"/>
        <w:widowControl w:val="0"/>
        <w:tabs>
          <w:tab w:val="left" w:pos="7773"/>
        </w:tabs>
        <w:kinsoku/>
        <w:wordWrap/>
        <w:overflowPunct/>
        <w:topLinePunct w:val="0"/>
        <w:autoSpaceDE/>
        <w:autoSpaceDN/>
        <w:bidi w:val="0"/>
        <w:adjustRightInd/>
        <w:snapToGrid/>
        <w:spacing w:line="360" w:lineRule="exact"/>
        <w:ind w:left="1020"/>
        <w:textAlignment w:val="auto"/>
        <w:rPr>
          <w:rFonts w:hint="eastAsia" w:ascii="仿宋" w:hAnsi="仿宋" w:eastAsia="仿宋" w:cs="仿宋"/>
          <w:sz w:val="30"/>
          <w:szCs w:val="30"/>
        </w:rPr>
      </w:pPr>
      <w:r>
        <w:rPr>
          <w:rFonts w:hint="eastAsia" w:ascii="仿宋" w:hAnsi="仿宋" w:eastAsia="仿宋" w:cs="仿宋"/>
          <w:sz w:val="30"/>
          <w:szCs w:val="30"/>
        </w:rPr>
        <w:t>填表日期</w:t>
      </w:r>
      <w:r>
        <w:rPr>
          <w:rFonts w:hint="eastAsia" w:ascii="仿宋" w:hAnsi="仿宋" w:eastAsia="仿宋" w:cs="仿宋"/>
          <w:spacing w:val="3"/>
          <w:sz w:val="30"/>
          <w:szCs w:val="30"/>
        </w:rPr>
        <w:t>：</w:t>
      </w:r>
      <w:r>
        <w:rPr>
          <w:rFonts w:hint="eastAsia" w:ascii="仿宋" w:hAnsi="仿宋" w:eastAsia="仿宋" w:cs="仿宋"/>
          <w:sz w:val="30"/>
          <w:szCs w:val="30"/>
          <w:u w:val="single" w:color="000000"/>
        </w:rPr>
        <w:tab/>
      </w:r>
    </w:p>
    <w:p>
      <w:pPr>
        <w:keepNext w:val="0"/>
        <w:keepLines w:val="0"/>
        <w:pageBreakBefore w:val="0"/>
        <w:widowControl w:val="0"/>
        <w:kinsoku/>
        <w:wordWrap/>
        <w:overflowPunct/>
        <w:topLinePunct w:val="0"/>
        <w:autoSpaceDE/>
        <w:autoSpaceDN/>
        <w:bidi w:val="0"/>
        <w:adjustRightInd/>
        <w:snapToGrid/>
        <w:spacing w:before="4" w:line="360" w:lineRule="exact"/>
        <w:textAlignment w:val="auto"/>
        <w:rPr>
          <w:rFonts w:hint="eastAsia" w:ascii="仿宋" w:hAnsi="仿宋" w:eastAsia="仿宋" w:cs="仿宋"/>
        </w:rPr>
      </w:pPr>
    </w:p>
    <w:p>
      <w:pPr>
        <w:keepNext w:val="0"/>
        <w:keepLines w:val="0"/>
        <w:pageBreakBefore w:val="0"/>
        <w:widowControl w:val="0"/>
        <w:tabs>
          <w:tab w:val="left" w:pos="7020"/>
        </w:tabs>
        <w:kinsoku/>
        <w:wordWrap/>
        <w:overflowPunct/>
        <w:topLinePunct w:val="0"/>
        <w:autoSpaceDE/>
        <w:autoSpaceDN/>
        <w:bidi w:val="0"/>
        <w:adjustRightInd/>
        <w:snapToGrid/>
        <w:spacing w:line="360" w:lineRule="exact"/>
        <w:textAlignment w:val="auto"/>
        <w:rPr>
          <w:rFonts w:hint="eastAsia" w:ascii="仿宋" w:hAnsi="仿宋" w:eastAsia="仿宋" w:cs="仿宋"/>
          <w:sz w:val="30"/>
          <w:szCs w:val="30"/>
        </w:rPr>
        <w:sectPr>
          <w:footerReference r:id="rId4" w:type="default"/>
          <w:pgSz w:w="11907" w:h="16840"/>
          <w:pgMar w:top="2098" w:right="1474" w:bottom="1985" w:left="1588" w:header="851" w:footer="1559" w:gutter="0"/>
          <w:cols w:space="720" w:num="1"/>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spacing w:val="2"/>
          <w:kern w:val="0"/>
          <w:sz w:val="44"/>
          <w:szCs w:val="44"/>
        </w:rPr>
        <w:t>填</w:t>
      </w:r>
      <w:r>
        <w:rPr>
          <w:rFonts w:hint="eastAsia" w:ascii="方正小标宋简体" w:hAnsi="方正小标宋简体" w:eastAsia="方正小标宋简体" w:cs="方正小标宋简体"/>
          <w:kern w:val="0"/>
          <w:sz w:val="44"/>
          <w:szCs w:val="44"/>
        </w:rPr>
        <w:t>表说明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 w:hAnsi="仿宋" w:eastAsia="仿宋" w:cs="仿宋_GB2312"/>
          <w:sz w:val="32"/>
          <w:szCs w:val="32"/>
        </w:rPr>
      </w:pPr>
      <w:r>
        <w:rPr>
          <w:rFonts w:hint="eastAsia" w:ascii="仿宋" w:hAnsi="仿宋" w:eastAsia="仿宋" w:cs="仿宋_GB2312"/>
          <w:sz w:val="32"/>
          <w:szCs w:val="32"/>
        </w:rPr>
        <w:t>一</w:t>
      </w:r>
      <w:r>
        <w:rPr>
          <w:rFonts w:hint="eastAsia" w:ascii="仿宋" w:hAnsi="仿宋" w:eastAsia="仿宋" w:cs="仿宋_GB2312"/>
          <w:spacing w:val="-65"/>
          <w:sz w:val="32"/>
          <w:szCs w:val="32"/>
        </w:rPr>
        <w:t>、</w:t>
      </w:r>
      <w:r>
        <w:rPr>
          <w:rFonts w:hint="eastAsia" w:ascii="仿宋" w:hAnsi="仿宋" w:eastAsia="仿宋" w:cs="仿宋_GB2312"/>
          <w:sz w:val="32"/>
          <w:szCs w:val="32"/>
        </w:rPr>
        <w:t>请按表格填写各项内容</w:t>
      </w:r>
      <w:r>
        <w:rPr>
          <w:rFonts w:hint="eastAsia" w:ascii="仿宋" w:hAnsi="仿宋" w:eastAsia="仿宋" w:cs="仿宋_GB2312"/>
          <w:spacing w:val="-65"/>
          <w:sz w:val="32"/>
          <w:szCs w:val="32"/>
        </w:rPr>
        <w:t>，</w:t>
      </w:r>
      <w:r>
        <w:rPr>
          <w:rFonts w:hint="eastAsia" w:ascii="仿宋" w:hAnsi="仿宋" w:eastAsia="仿宋" w:cs="仿宋_GB2312"/>
          <w:sz w:val="32"/>
          <w:szCs w:val="32"/>
        </w:rPr>
        <w:t>要实事求是</w:t>
      </w:r>
      <w:r>
        <w:rPr>
          <w:rFonts w:hint="eastAsia" w:ascii="仿宋" w:hAnsi="仿宋" w:eastAsia="仿宋" w:cs="仿宋_GB2312"/>
          <w:spacing w:val="-65"/>
          <w:sz w:val="32"/>
          <w:szCs w:val="32"/>
        </w:rPr>
        <w:t>，</w:t>
      </w:r>
      <w:r>
        <w:rPr>
          <w:rFonts w:hint="eastAsia" w:ascii="仿宋" w:hAnsi="仿宋" w:eastAsia="仿宋" w:cs="仿宋_GB2312"/>
          <w:sz w:val="32"/>
          <w:szCs w:val="32"/>
        </w:rPr>
        <w:t>逐条认真填写，表达要明确、严谨。</w:t>
      </w:r>
    </w:p>
    <w:p>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ascii="Calibri" w:hAnsi="Calibri"/>
        </w:rPr>
      </w:pPr>
      <w:r>
        <w:rPr>
          <w:rFonts w:hint="eastAsia" w:ascii="仿宋" w:hAnsi="仿宋" w:eastAsia="仿宋" w:cs="仿宋_GB2312"/>
          <w:sz w:val="32"/>
          <w:szCs w:val="32"/>
        </w:rPr>
        <w:t>二</w:t>
      </w:r>
      <w:r>
        <w:rPr>
          <w:rFonts w:hint="eastAsia" w:ascii="仿宋" w:hAnsi="仿宋" w:eastAsia="仿宋" w:cs="仿宋_GB2312"/>
          <w:spacing w:val="-48"/>
          <w:sz w:val="32"/>
          <w:szCs w:val="32"/>
        </w:rPr>
        <w:t>、</w:t>
      </w:r>
      <w:r>
        <w:rPr>
          <w:rFonts w:hint="eastAsia" w:ascii="仿宋" w:hAnsi="仿宋" w:eastAsia="仿宋" w:cs="仿宋_GB2312"/>
          <w:sz w:val="32"/>
          <w:szCs w:val="32"/>
        </w:rPr>
        <w:t>推荐表应明确所在单位在人员</w:t>
      </w:r>
      <w:r>
        <w:rPr>
          <w:rFonts w:hint="eastAsia" w:ascii="仿宋" w:hAnsi="仿宋" w:eastAsia="仿宋" w:cs="仿宋_GB2312"/>
          <w:spacing w:val="-48"/>
          <w:sz w:val="32"/>
          <w:szCs w:val="32"/>
        </w:rPr>
        <w:t>、</w:t>
      </w:r>
      <w:r>
        <w:rPr>
          <w:rFonts w:hint="eastAsia" w:ascii="仿宋" w:hAnsi="仿宋" w:eastAsia="仿宋" w:cs="仿宋_GB2312"/>
          <w:sz w:val="32"/>
          <w:szCs w:val="32"/>
        </w:rPr>
        <w:t>条件</w:t>
      </w:r>
      <w:r>
        <w:rPr>
          <w:rFonts w:hint="eastAsia" w:ascii="仿宋" w:hAnsi="仿宋" w:eastAsia="仿宋" w:cs="仿宋_GB2312"/>
          <w:spacing w:val="-48"/>
          <w:sz w:val="32"/>
          <w:szCs w:val="32"/>
        </w:rPr>
        <w:t>、</w:t>
      </w:r>
      <w:r>
        <w:rPr>
          <w:rFonts w:hint="eastAsia" w:ascii="仿宋" w:hAnsi="仿宋" w:eastAsia="仿宋" w:cs="仿宋_GB2312"/>
          <w:sz w:val="32"/>
          <w:szCs w:val="32"/>
        </w:rPr>
        <w:t>经费</w:t>
      </w:r>
      <w:r>
        <w:rPr>
          <w:rFonts w:hint="eastAsia" w:ascii="仿宋" w:hAnsi="仿宋" w:eastAsia="仿宋" w:cs="仿宋_GB2312"/>
          <w:spacing w:val="-48"/>
          <w:sz w:val="32"/>
          <w:szCs w:val="32"/>
        </w:rPr>
        <w:t>、</w:t>
      </w:r>
      <w:r>
        <w:rPr>
          <w:rFonts w:hint="eastAsia" w:ascii="仿宋" w:hAnsi="仿宋" w:eastAsia="仿宋" w:cs="仿宋_GB2312"/>
          <w:sz w:val="32"/>
          <w:szCs w:val="32"/>
        </w:rPr>
        <w:t>政策等方面的保证措施。</w:t>
      </w:r>
      <w:r>
        <w:rPr>
          <w:rFonts w:ascii="Calibri" w:hAnsi="Calibri"/>
        </w:rPr>
        <w:br w:type="page"/>
      </w:r>
    </w:p>
    <w:tbl>
      <w:tblPr>
        <w:tblStyle w:val="6"/>
        <w:tblW w:w="8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888"/>
        <w:gridCol w:w="411"/>
        <w:gridCol w:w="581"/>
        <w:gridCol w:w="1134"/>
        <w:gridCol w:w="709"/>
        <w:gridCol w:w="709"/>
        <w:gridCol w:w="708"/>
        <w:gridCol w:w="709"/>
        <w:gridCol w:w="709"/>
        <w:gridCol w:w="1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2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项目简况</w:t>
            </w:r>
          </w:p>
        </w:tc>
        <w:tc>
          <w:tcPr>
            <w:tcW w:w="12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项目名称</w:t>
            </w:r>
          </w:p>
        </w:tc>
        <w:tc>
          <w:tcPr>
            <w:tcW w:w="6733"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12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对应项目指南编号</w:t>
            </w:r>
          </w:p>
        </w:tc>
        <w:tc>
          <w:tcPr>
            <w:tcW w:w="313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708"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起止年月</w:t>
            </w:r>
          </w:p>
        </w:tc>
        <w:tc>
          <w:tcPr>
            <w:tcW w:w="2892" w:type="dxa"/>
            <w:gridSpan w:val="3"/>
            <w:noWrap w:val="0"/>
            <w:vAlign w:val="center"/>
          </w:tcPr>
          <w:p>
            <w:pPr>
              <w:keepNext w:val="0"/>
              <w:keepLines w:val="0"/>
              <w:pageBreakBefore w:val="0"/>
              <w:widowControl w:val="0"/>
              <w:tabs>
                <w:tab w:val="left" w:pos="1818"/>
              </w:tabs>
              <w:kinsoku/>
              <w:wordWrap/>
              <w:overflowPunct/>
              <w:topLinePunct w:val="0"/>
              <w:autoSpaceDE/>
              <w:autoSpaceDN/>
              <w:bidi w:val="0"/>
              <w:adjustRightInd/>
              <w:snapToGrid/>
              <w:spacing w:line="400" w:lineRule="exact"/>
              <w:ind w:firstLine="720" w:firstLineChars="300"/>
              <w:jc w:val="center"/>
              <w:textAlignment w:val="auto"/>
              <w:rPr>
                <w:rFonts w:hint="eastAsia" w:ascii="宋体" w:hAnsi="宋体" w:eastAsia="宋体" w:cs="仿宋_GB2312"/>
                <w:sz w:val="24"/>
                <w:lang w:eastAsia="en-US"/>
              </w:rPr>
            </w:pPr>
            <w:r>
              <w:rPr>
                <w:rFonts w:hint="eastAsia" w:ascii="宋体" w:hAnsi="宋体" w:eastAsia="宋体" w:cs="仿宋_GB2312"/>
                <w:sz w:val="24"/>
                <w:lang w:eastAsia="en-US"/>
              </w:rPr>
              <w:t>年</w:t>
            </w:r>
            <w:r>
              <w:rPr>
                <w:rFonts w:hint="eastAsia" w:ascii="宋体" w:hAnsi="宋体" w:eastAsia="宋体" w:cs="仿宋_GB2312"/>
                <w:sz w:val="24"/>
                <w:lang w:val="en-US" w:eastAsia="zh-CN"/>
              </w:rPr>
              <w:t xml:space="preserve"> </w:t>
            </w:r>
            <w:r>
              <w:rPr>
                <w:rFonts w:hint="eastAsia" w:ascii="宋体" w:hAnsi="宋体" w:eastAsia="宋体" w:cs="仿宋_GB2312"/>
                <w:spacing w:val="-5"/>
                <w:sz w:val="24"/>
                <w:lang w:eastAsia="en-US"/>
              </w:rPr>
              <w:t>月至</w:t>
            </w:r>
          </w:p>
          <w:p>
            <w:pPr>
              <w:keepNext w:val="0"/>
              <w:keepLines w:val="0"/>
              <w:pageBreakBefore w:val="0"/>
              <w:widowControl w:val="0"/>
              <w:kinsoku/>
              <w:wordWrap/>
              <w:overflowPunct/>
              <w:topLinePunct w:val="0"/>
              <w:autoSpaceDE/>
              <w:autoSpaceDN/>
              <w:bidi w:val="0"/>
              <w:adjustRightInd/>
              <w:snapToGrid/>
              <w:spacing w:line="400" w:lineRule="exact"/>
              <w:ind w:firstLine="720" w:firstLineChars="300"/>
              <w:jc w:val="center"/>
              <w:textAlignment w:val="auto"/>
              <w:rPr>
                <w:rFonts w:hint="eastAsia" w:ascii="宋体" w:hAnsi="宋体" w:eastAsia="宋体"/>
                <w:sz w:val="24"/>
              </w:rPr>
            </w:pPr>
            <w:r>
              <w:rPr>
                <w:rFonts w:hint="eastAsia" w:ascii="宋体" w:hAnsi="宋体" w:eastAsia="宋体" w:cs="仿宋_GB2312"/>
                <w:sz w:val="24"/>
              </w:rPr>
              <w:t>年</w:t>
            </w:r>
            <w:r>
              <w:rPr>
                <w:rFonts w:hint="eastAsia" w:ascii="宋体" w:hAnsi="宋体" w:eastAsia="宋体" w:cs="仿宋_GB2312"/>
                <w:sz w:val="24"/>
                <w:lang w:val="en-US" w:eastAsia="zh-CN"/>
              </w:rPr>
              <w:t xml:space="preserve"> </w:t>
            </w:r>
            <w:r>
              <w:rPr>
                <w:rFonts w:hint="eastAsia" w:ascii="宋体" w:hAnsi="宋体" w:eastAsia="宋体" w:cs="仿宋_GB2312"/>
                <w:sz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52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项目负责人</w:t>
            </w:r>
          </w:p>
        </w:tc>
        <w:tc>
          <w:tcPr>
            <w:tcW w:w="12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姓名</w:t>
            </w:r>
          </w:p>
        </w:tc>
        <w:tc>
          <w:tcPr>
            <w:tcW w:w="17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70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性别</w:t>
            </w:r>
          </w:p>
        </w:tc>
        <w:tc>
          <w:tcPr>
            <w:tcW w:w="70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708"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民族</w:t>
            </w:r>
          </w:p>
        </w:tc>
        <w:tc>
          <w:tcPr>
            <w:tcW w:w="70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70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出生年月</w:t>
            </w:r>
          </w:p>
        </w:tc>
        <w:tc>
          <w:tcPr>
            <w:tcW w:w="147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12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cs="仿宋_GB2312"/>
                <w:sz w:val="24"/>
              </w:rPr>
              <w:t>专业技术职务/行政职务</w:t>
            </w:r>
          </w:p>
        </w:tc>
        <w:tc>
          <w:tcPr>
            <w:tcW w:w="313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708"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cs="仿宋_GB2312"/>
                <w:spacing w:val="-5"/>
                <w:sz w:val="24"/>
              </w:rPr>
              <w:t>研究</w:t>
            </w:r>
            <w:r>
              <w:rPr>
                <w:rFonts w:hint="eastAsia" w:ascii="宋体" w:hAnsi="宋体" w:eastAsia="宋体" w:cs="仿宋_GB2312"/>
                <w:spacing w:val="-8"/>
                <w:sz w:val="24"/>
              </w:rPr>
              <w:t>领</w:t>
            </w:r>
            <w:r>
              <w:rPr>
                <w:rFonts w:hint="eastAsia" w:ascii="宋体" w:hAnsi="宋体" w:eastAsia="宋体" w:cs="仿宋_GB2312"/>
                <w:sz w:val="24"/>
              </w:rPr>
              <w:t>域</w:t>
            </w:r>
          </w:p>
        </w:tc>
        <w:tc>
          <w:tcPr>
            <w:tcW w:w="289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8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cs="仿宋_GB2312"/>
                <w:spacing w:val="-5"/>
                <w:sz w:val="24"/>
              </w:rPr>
              <w:t>联系</w:t>
            </w:r>
            <w:r>
              <w:rPr>
                <w:rFonts w:hint="eastAsia" w:ascii="宋体" w:hAnsi="宋体" w:eastAsia="宋体" w:cs="仿宋_GB2312"/>
                <w:spacing w:val="-8"/>
                <w:sz w:val="24"/>
              </w:rPr>
              <w:t>方</w:t>
            </w:r>
            <w:r>
              <w:rPr>
                <w:rFonts w:hint="eastAsia" w:ascii="宋体" w:hAnsi="宋体" w:eastAsia="宋体" w:cs="仿宋_GB2312"/>
                <w:sz w:val="24"/>
              </w:rPr>
              <w:t>式</w:t>
            </w:r>
          </w:p>
        </w:tc>
        <w:tc>
          <w:tcPr>
            <w:tcW w:w="99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单位</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名称</w:t>
            </w:r>
          </w:p>
        </w:tc>
        <w:tc>
          <w:tcPr>
            <w:tcW w:w="326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70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邮编</w:t>
            </w:r>
          </w:p>
        </w:tc>
        <w:tc>
          <w:tcPr>
            <w:tcW w:w="21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pacing w:val="-5"/>
                <w:sz w:val="24"/>
              </w:rPr>
            </w:pPr>
          </w:p>
        </w:tc>
        <w:tc>
          <w:tcPr>
            <w:tcW w:w="99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pacing w:val="-5"/>
                <w:sz w:val="24"/>
              </w:rPr>
            </w:pPr>
            <w:r>
              <w:rPr>
                <w:rFonts w:hint="eastAsia" w:ascii="宋体" w:hAnsi="宋体" w:eastAsia="宋体" w:cs="仿宋_GB2312"/>
                <w:spacing w:val="-5"/>
                <w:sz w:val="24"/>
              </w:rPr>
              <w:t>通讯</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pacing w:val="-5"/>
                <w:sz w:val="24"/>
              </w:rPr>
            </w:pPr>
            <w:r>
              <w:rPr>
                <w:rFonts w:hint="eastAsia" w:ascii="宋体" w:hAnsi="宋体" w:eastAsia="宋体" w:cs="仿宋_GB2312"/>
                <w:spacing w:val="-5"/>
                <w:sz w:val="24"/>
              </w:rPr>
              <w:t>地址</w:t>
            </w:r>
          </w:p>
        </w:tc>
        <w:tc>
          <w:tcPr>
            <w:tcW w:w="326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70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电话</w:t>
            </w:r>
          </w:p>
        </w:tc>
        <w:tc>
          <w:tcPr>
            <w:tcW w:w="21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8"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sz w:val="24"/>
              </w:rPr>
            </w:pPr>
          </w:p>
        </w:tc>
        <w:tc>
          <w:tcPr>
            <w:tcW w:w="8032" w:type="dxa"/>
            <w:gridSpan w:val="10"/>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z w:val="24"/>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z w:val="24"/>
              </w:rPr>
            </w:pPr>
            <w:r>
              <w:rPr>
                <w:rFonts w:hint="eastAsia" w:ascii="宋体" w:hAnsi="宋体" w:eastAsia="宋体"/>
                <w:sz w:val="24"/>
              </w:rPr>
              <w:t>主要教学改革和科研工作简历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z w:val="24"/>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z w:val="24"/>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z w:val="24"/>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z w:val="24"/>
              </w:rPr>
            </w:pP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sz w:val="24"/>
        </w:rPr>
      </w:pPr>
      <w:r>
        <w:rPr>
          <w:rFonts w:hint="eastAsia" w:ascii="宋体" w:hAnsi="宋体" w:eastAsia="宋体"/>
          <w:sz w:val="24"/>
        </w:rPr>
        <w:br w:type="page"/>
      </w:r>
    </w:p>
    <w:tbl>
      <w:tblPr>
        <w:tblStyle w:val="6"/>
        <w:tblpPr w:leftFromText="180" w:rightFromText="180" w:vertAnchor="text" w:horzAnchor="page" w:tblpXSpec="center" w:tblpY="1"/>
        <w:tblOverlap w:val="never"/>
        <w:tblW w:w="8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619"/>
        <w:gridCol w:w="342"/>
        <w:gridCol w:w="494"/>
        <w:gridCol w:w="320"/>
        <w:gridCol w:w="530"/>
        <w:gridCol w:w="284"/>
        <w:gridCol w:w="850"/>
        <w:gridCol w:w="142"/>
        <w:gridCol w:w="851"/>
        <w:gridCol w:w="708"/>
        <w:gridCol w:w="853"/>
        <w:gridCol w:w="425"/>
        <w:gridCol w:w="1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52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sz w:val="24"/>
              </w:rPr>
            </w:pPr>
            <w:r>
              <w:rPr>
                <w:rFonts w:hint="eastAsia" w:ascii="宋体" w:hAnsi="宋体" w:eastAsia="宋体"/>
                <w:sz w:val="24"/>
              </w:rPr>
              <w:t>项目组</w:t>
            </w:r>
          </w:p>
        </w:tc>
        <w:tc>
          <w:tcPr>
            <w:tcW w:w="96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总人数</w:t>
            </w:r>
          </w:p>
        </w:tc>
        <w:tc>
          <w:tcPr>
            <w:tcW w:w="81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高级</w:t>
            </w:r>
          </w:p>
        </w:tc>
        <w:tc>
          <w:tcPr>
            <w:tcW w:w="81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中级</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初级</w:t>
            </w:r>
          </w:p>
        </w:tc>
        <w:tc>
          <w:tcPr>
            <w:tcW w:w="99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博士后</w:t>
            </w:r>
          </w:p>
        </w:tc>
        <w:tc>
          <w:tcPr>
            <w:tcW w:w="708"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博士</w:t>
            </w:r>
          </w:p>
        </w:tc>
        <w:tc>
          <w:tcPr>
            <w:tcW w:w="85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硕士</w:t>
            </w:r>
          </w:p>
        </w:tc>
        <w:tc>
          <w:tcPr>
            <w:tcW w:w="203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参加单位数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sz w:val="24"/>
              </w:rPr>
            </w:pPr>
          </w:p>
        </w:tc>
        <w:tc>
          <w:tcPr>
            <w:tcW w:w="96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1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1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99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708"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5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203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sz w:val="24"/>
              </w:rPr>
            </w:pPr>
          </w:p>
        </w:tc>
        <w:tc>
          <w:tcPr>
            <w:tcW w:w="61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主要成员(不含负责人)</w:t>
            </w:r>
          </w:p>
        </w:tc>
        <w:tc>
          <w:tcPr>
            <w:tcW w:w="83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姓名</w:t>
            </w:r>
          </w:p>
        </w:tc>
        <w:tc>
          <w:tcPr>
            <w:tcW w:w="8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性别</w:t>
            </w:r>
          </w:p>
        </w:tc>
        <w:tc>
          <w:tcPr>
            <w:tcW w:w="127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sz w:val="24"/>
              </w:rPr>
              <w:t>职称/</w:t>
            </w:r>
            <w:r>
              <w:rPr>
                <w:rFonts w:hint="eastAsia" w:ascii="宋体" w:hAnsi="宋体" w:eastAsia="宋体" w:cs="仿宋_GB2312"/>
                <w:spacing w:val="-5"/>
                <w:sz w:val="24"/>
              </w:rPr>
              <w:t>职务</w:t>
            </w:r>
          </w:p>
        </w:tc>
        <w:tc>
          <w:tcPr>
            <w:tcW w:w="15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cs="仿宋_GB2312"/>
                <w:sz w:val="24"/>
              </w:rPr>
              <w:t>工作单位</w:t>
            </w:r>
          </w:p>
        </w:tc>
        <w:tc>
          <w:tcPr>
            <w:tcW w:w="12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z w:val="24"/>
              </w:rPr>
            </w:pPr>
            <w:r>
              <w:rPr>
                <w:rFonts w:hint="eastAsia" w:ascii="宋体" w:hAnsi="宋体" w:eastAsia="宋体" w:cs="仿宋_GB2312"/>
                <w:spacing w:val="-5"/>
                <w:sz w:val="24"/>
              </w:rPr>
              <w:t>项目分工</w:t>
            </w:r>
          </w:p>
        </w:tc>
        <w:tc>
          <w:tcPr>
            <w:tcW w:w="1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r>
              <w:rPr>
                <w:rFonts w:hint="eastAsia" w:ascii="宋体" w:hAnsi="宋体" w:eastAsia="宋体" w:cs="仿宋_GB2312"/>
                <w:spacing w:val="-5"/>
                <w:sz w:val="24"/>
              </w:rPr>
              <w:t>签</w:t>
            </w:r>
            <w:r>
              <w:rPr>
                <w:rFonts w:hint="eastAsia" w:ascii="宋体" w:hAnsi="宋体" w:eastAsia="宋体" w:cs="仿宋_GB2312"/>
                <w:sz w:val="24"/>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sz w:val="24"/>
              </w:rPr>
            </w:pPr>
          </w:p>
        </w:tc>
        <w:tc>
          <w:tcPr>
            <w:tcW w:w="61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3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127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15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z w:val="24"/>
              </w:rPr>
            </w:pPr>
          </w:p>
        </w:tc>
        <w:tc>
          <w:tcPr>
            <w:tcW w:w="12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pacing w:val="-5"/>
                <w:sz w:val="24"/>
              </w:rPr>
            </w:pPr>
          </w:p>
        </w:tc>
        <w:tc>
          <w:tcPr>
            <w:tcW w:w="1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pacing w:val="-5"/>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sz w:val="24"/>
              </w:rPr>
            </w:pPr>
          </w:p>
        </w:tc>
        <w:tc>
          <w:tcPr>
            <w:tcW w:w="61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3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127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15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z w:val="24"/>
              </w:rPr>
            </w:pPr>
          </w:p>
        </w:tc>
        <w:tc>
          <w:tcPr>
            <w:tcW w:w="12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pacing w:val="-5"/>
                <w:sz w:val="24"/>
              </w:rPr>
            </w:pPr>
          </w:p>
        </w:tc>
        <w:tc>
          <w:tcPr>
            <w:tcW w:w="1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pacing w:val="-5"/>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sz w:val="24"/>
              </w:rPr>
            </w:pPr>
          </w:p>
        </w:tc>
        <w:tc>
          <w:tcPr>
            <w:tcW w:w="61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3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8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127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sz w:val="24"/>
              </w:rPr>
            </w:pPr>
          </w:p>
        </w:tc>
        <w:tc>
          <w:tcPr>
            <w:tcW w:w="15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z w:val="24"/>
              </w:rPr>
            </w:pPr>
          </w:p>
        </w:tc>
        <w:tc>
          <w:tcPr>
            <w:tcW w:w="12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pacing w:val="-5"/>
                <w:sz w:val="24"/>
              </w:rPr>
            </w:pPr>
          </w:p>
        </w:tc>
        <w:tc>
          <w:tcPr>
            <w:tcW w:w="1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仿宋_GB2312"/>
                <w:spacing w:val="-5"/>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sz w:val="24"/>
              </w:rPr>
            </w:pPr>
          </w:p>
        </w:tc>
        <w:tc>
          <w:tcPr>
            <w:tcW w:w="61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sz w:val="24"/>
              </w:rPr>
            </w:pPr>
          </w:p>
        </w:tc>
        <w:tc>
          <w:tcPr>
            <w:tcW w:w="83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8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5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sz w:val="24"/>
              </w:rPr>
            </w:pPr>
          </w:p>
        </w:tc>
        <w:tc>
          <w:tcPr>
            <w:tcW w:w="61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sz w:val="24"/>
              </w:rPr>
            </w:pPr>
          </w:p>
        </w:tc>
        <w:tc>
          <w:tcPr>
            <w:tcW w:w="83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8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5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sz w:val="24"/>
              </w:rPr>
            </w:pPr>
          </w:p>
        </w:tc>
        <w:tc>
          <w:tcPr>
            <w:tcW w:w="61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sz w:val="24"/>
              </w:rPr>
            </w:pPr>
          </w:p>
        </w:tc>
        <w:tc>
          <w:tcPr>
            <w:tcW w:w="83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8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5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sz w:val="24"/>
              </w:rPr>
            </w:pPr>
          </w:p>
        </w:tc>
        <w:tc>
          <w:tcPr>
            <w:tcW w:w="61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sz w:val="24"/>
              </w:rPr>
            </w:pPr>
          </w:p>
        </w:tc>
        <w:tc>
          <w:tcPr>
            <w:tcW w:w="83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8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5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sz w:val="24"/>
              </w:rPr>
            </w:pPr>
          </w:p>
        </w:tc>
        <w:tc>
          <w:tcPr>
            <w:tcW w:w="61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sz w:val="24"/>
              </w:rPr>
            </w:pPr>
          </w:p>
        </w:tc>
        <w:tc>
          <w:tcPr>
            <w:tcW w:w="83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8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5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sz w:val="24"/>
              </w:rPr>
            </w:pPr>
          </w:p>
        </w:tc>
        <w:tc>
          <w:tcPr>
            <w:tcW w:w="61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sz w:val="24"/>
              </w:rPr>
            </w:pPr>
          </w:p>
        </w:tc>
        <w:tc>
          <w:tcPr>
            <w:tcW w:w="83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8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5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2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c>
          <w:tcPr>
            <w:tcW w:w="1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3" w:hRule="atLeast"/>
          <w:jc w:val="center"/>
        </w:trPr>
        <w:tc>
          <w:tcPr>
            <w:tcW w:w="8555" w:type="dxa"/>
            <w:gridSpan w:val="14"/>
            <w:noWrap w:val="0"/>
            <w:vAlign w:val="top"/>
          </w:tcPr>
          <w:p>
            <w:pPr>
              <w:spacing w:line="345" w:lineRule="exact"/>
              <w:jc w:val="left"/>
              <w:rPr>
                <w:rFonts w:hint="eastAsia" w:ascii="宋体" w:hAnsi="宋体" w:eastAsia="宋体" w:cs="仿宋_GB2312"/>
                <w:spacing w:val="2"/>
                <w:sz w:val="24"/>
                <w:lang w:val="en-US" w:eastAsia="zh-CN"/>
              </w:rPr>
            </w:pPr>
          </w:p>
          <w:p>
            <w:pPr>
              <w:spacing w:line="345" w:lineRule="exact"/>
              <w:jc w:val="left"/>
              <w:rPr>
                <w:rFonts w:hint="eastAsia" w:ascii="宋体" w:hAnsi="宋体" w:eastAsia="宋体" w:cs="仿宋_GB2312"/>
                <w:sz w:val="24"/>
              </w:rPr>
            </w:pPr>
            <w:r>
              <w:rPr>
                <w:rFonts w:hint="eastAsia" w:ascii="宋体" w:hAnsi="宋体" w:eastAsia="宋体" w:cs="仿宋_GB2312"/>
                <w:spacing w:val="2"/>
                <w:sz w:val="24"/>
                <w:lang w:val="en-US" w:eastAsia="zh-CN"/>
              </w:rPr>
              <w:t xml:space="preserve">    </w:t>
            </w:r>
            <w:r>
              <w:rPr>
                <w:rFonts w:hint="eastAsia" w:ascii="宋体" w:hAnsi="宋体" w:eastAsia="宋体" w:cs="仿宋_GB2312"/>
                <w:spacing w:val="2"/>
                <w:sz w:val="24"/>
              </w:rPr>
              <w:t>一、项</w:t>
            </w:r>
            <w:r>
              <w:rPr>
                <w:rFonts w:hint="eastAsia" w:ascii="宋体" w:hAnsi="宋体" w:eastAsia="宋体" w:cs="仿宋_GB2312"/>
                <w:sz w:val="24"/>
              </w:rPr>
              <w:t>目拟</w:t>
            </w:r>
            <w:r>
              <w:rPr>
                <w:rFonts w:hint="eastAsia" w:ascii="宋体" w:hAnsi="宋体" w:eastAsia="宋体" w:cs="仿宋_GB2312"/>
                <w:spacing w:val="2"/>
                <w:sz w:val="24"/>
              </w:rPr>
              <w:t>解</w:t>
            </w:r>
            <w:r>
              <w:rPr>
                <w:rFonts w:hint="eastAsia" w:ascii="宋体" w:hAnsi="宋体" w:eastAsia="宋体" w:cs="仿宋_GB2312"/>
                <w:sz w:val="24"/>
              </w:rPr>
              <w:t>决</w:t>
            </w:r>
            <w:r>
              <w:rPr>
                <w:rFonts w:hint="eastAsia" w:ascii="宋体" w:hAnsi="宋体" w:eastAsia="宋体" w:cs="仿宋_GB2312"/>
                <w:spacing w:val="3"/>
                <w:sz w:val="24"/>
              </w:rPr>
              <w:t>的</w:t>
            </w:r>
            <w:r>
              <w:rPr>
                <w:rFonts w:hint="eastAsia" w:ascii="宋体" w:hAnsi="宋体" w:eastAsia="宋体" w:cs="仿宋_GB2312"/>
                <w:sz w:val="24"/>
              </w:rPr>
              <w:t>问题</w:t>
            </w:r>
            <w:r>
              <w:rPr>
                <w:rFonts w:hint="eastAsia" w:ascii="宋体" w:hAnsi="宋体" w:eastAsia="宋体" w:cs="仿宋_GB2312"/>
                <w:spacing w:val="2"/>
                <w:sz w:val="24"/>
              </w:rPr>
              <w:t>和</w:t>
            </w:r>
            <w:r>
              <w:rPr>
                <w:rFonts w:hint="eastAsia" w:ascii="宋体" w:hAnsi="宋体" w:eastAsia="宋体" w:cs="仿宋_GB2312"/>
                <w:sz w:val="24"/>
              </w:rPr>
              <w:t>工</w:t>
            </w:r>
            <w:r>
              <w:rPr>
                <w:rFonts w:hint="eastAsia" w:ascii="宋体" w:hAnsi="宋体" w:eastAsia="宋体" w:cs="仿宋_GB2312"/>
                <w:spacing w:val="2"/>
                <w:sz w:val="24"/>
              </w:rPr>
              <w:t>作</w:t>
            </w:r>
            <w:r>
              <w:rPr>
                <w:rFonts w:hint="eastAsia" w:ascii="宋体" w:hAnsi="宋体" w:eastAsia="宋体" w:cs="仿宋_GB2312"/>
                <w:sz w:val="24"/>
              </w:rPr>
              <w:t>目标</w:t>
            </w:r>
            <w:r>
              <w:rPr>
                <w:rFonts w:hint="eastAsia" w:ascii="宋体" w:hAnsi="宋体" w:eastAsia="宋体" w:cs="仿宋_GB2312"/>
                <w:spacing w:val="2"/>
                <w:sz w:val="24"/>
              </w:rPr>
              <w:t>（</w:t>
            </w:r>
            <w:r>
              <w:rPr>
                <w:rFonts w:hint="eastAsia" w:ascii="宋体" w:hAnsi="宋体" w:eastAsia="宋体" w:cs="仿宋_GB2312"/>
                <w:sz w:val="24"/>
              </w:rPr>
              <w:t>不</w:t>
            </w:r>
            <w:r>
              <w:rPr>
                <w:rFonts w:hint="eastAsia" w:ascii="宋体" w:hAnsi="宋体" w:eastAsia="宋体" w:cs="仿宋_GB2312"/>
                <w:spacing w:val="2"/>
                <w:sz w:val="24"/>
              </w:rPr>
              <w:t>超</w:t>
            </w:r>
            <w:r>
              <w:rPr>
                <w:rFonts w:hint="eastAsia" w:ascii="宋体" w:hAnsi="宋体" w:eastAsia="宋体" w:cs="仿宋_GB2312"/>
                <w:sz w:val="24"/>
              </w:rPr>
              <w:t>过1</w:t>
            </w:r>
            <w:r>
              <w:rPr>
                <w:rFonts w:hint="eastAsia" w:ascii="宋体" w:hAnsi="宋体" w:eastAsia="宋体" w:cs="仿宋_GB2312"/>
                <w:spacing w:val="2"/>
                <w:sz w:val="24"/>
              </w:rPr>
              <w:t>0</w:t>
            </w:r>
            <w:r>
              <w:rPr>
                <w:rFonts w:hint="eastAsia" w:ascii="宋体" w:hAnsi="宋体" w:eastAsia="宋体" w:cs="仿宋_GB2312"/>
                <w:sz w:val="24"/>
              </w:rPr>
              <w:t>00字）</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仿宋_GB2312"/>
                <w:spacing w:val="-5"/>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3" w:hRule="atLeast"/>
          <w:jc w:val="center"/>
        </w:trPr>
        <w:tc>
          <w:tcPr>
            <w:tcW w:w="8555" w:type="dxa"/>
            <w:gridSpan w:val="14"/>
            <w:noWrap w:val="0"/>
            <w:vAlign w:val="top"/>
          </w:tcPr>
          <w:p>
            <w:pPr>
              <w:keepNext w:val="0"/>
              <w:keepLines w:val="0"/>
              <w:pageBreakBefore w:val="0"/>
              <w:widowControl w:val="0"/>
              <w:kinsoku/>
              <w:wordWrap/>
              <w:overflowPunct/>
              <w:topLinePunct w:val="0"/>
              <w:autoSpaceDE/>
              <w:autoSpaceDN/>
              <w:bidi w:val="0"/>
              <w:adjustRightInd/>
              <w:snapToGrid/>
              <w:spacing w:before="62" w:line="400" w:lineRule="exact"/>
              <w:ind w:right="310"/>
              <w:jc w:val="left"/>
              <w:textAlignment w:val="auto"/>
              <w:rPr>
                <w:rFonts w:hint="eastAsia" w:ascii="宋体" w:hAnsi="宋体" w:eastAsia="宋体" w:cs="仿宋_GB2312"/>
                <w:spacing w:val="2"/>
                <w:sz w:val="24"/>
                <w:lang w:val="en-US" w:eastAsia="zh-CN"/>
              </w:rPr>
            </w:pPr>
          </w:p>
          <w:p>
            <w:pPr>
              <w:keepNext w:val="0"/>
              <w:keepLines w:val="0"/>
              <w:pageBreakBefore w:val="0"/>
              <w:widowControl w:val="0"/>
              <w:kinsoku/>
              <w:wordWrap/>
              <w:overflowPunct/>
              <w:topLinePunct w:val="0"/>
              <w:autoSpaceDE/>
              <w:autoSpaceDN/>
              <w:bidi w:val="0"/>
              <w:adjustRightInd/>
              <w:snapToGrid/>
              <w:spacing w:before="62" w:line="400" w:lineRule="exact"/>
              <w:ind w:right="310"/>
              <w:jc w:val="left"/>
              <w:textAlignment w:val="auto"/>
              <w:rPr>
                <w:rFonts w:hint="eastAsia" w:ascii="宋体" w:hAnsi="宋体" w:eastAsia="宋体" w:cs="仿宋_GB2312"/>
                <w:spacing w:val="-5"/>
                <w:sz w:val="24"/>
              </w:rPr>
            </w:pPr>
            <w:r>
              <w:rPr>
                <w:rFonts w:hint="eastAsia" w:ascii="宋体" w:hAnsi="宋体" w:eastAsia="宋体" w:cs="仿宋_GB2312"/>
                <w:spacing w:val="2"/>
                <w:sz w:val="24"/>
                <w:lang w:val="en-US" w:eastAsia="zh-CN"/>
              </w:rPr>
              <w:t xml:space="preserve">    </w:t>
            </w:r>
            <w:r>
              <w:rPr>
                <w:rFonts w:hint="eastAsia" w:ascii="宋体" w:hAnsi="宋体" w:eastAsia="宋体" w:cs="仿宋_GB2312"/>
                <w:spacing w:val="2"/>
                <w:sz w:val="24"/>
              </w:rPr>
              <w:t>二</w:t>
            </w:r>
            <w:r>
              <w:rPr>
                <w:rFonts w:hint="eastAsia" w:ascii="宋体" w:hAnsi="宋体" w:eastAsia="宋体" w:cs="仿宋_GB2312"/>
                <w:sz w:val="24"/>
              </w:rPr>
              <w:t>、</w:t>
            </w:r>
            <w:r>
              <w:rPr>
                <w:rFonts w:hint="eastAsia" w:ascii="宋体" w:hAnsi="宋体" w:eastAsia="宋体" w:cs="仿宋_GB2312"/>
                <w:spacing w:val="2"/>
                <w:sz w:val="24"/>
              </w:rPr>
              <w:t>项</w:t>
            </w:r>
            <w:r>
              <w:rPr>
                <w:rFonts w:hint="eastAsia" w:ascii="宋体" w:hAnsi="宋体" w:eastAsia="宋体" w:cs="仿宋_GB2312"/>
                <w:sz w:val="24"/>
              </w:rPr>
              <w:t>目工</w:t>
            </w:r>
            <w:r>
              <w:rPr>
                <w:rFonts w:hint="eastAsia" w:ascii="宋体" w:hAnsi="宋体" w:eastAsia="宋体" w:cs="仿宋_GB2312"/>
                <w:spacing w:val="2"/>
                <w:sz w:val="24"/>
              </w:rPr>
              <w:t>作</w:t>
            </w:r>
            <w:r>
              <w:rPr>
                <w:rFonts w:hint="eastAsia" w:ascii="宋体" w:hAnsi="宋体" w:eastAsia="宋体" w:cs="仿宋_GB2312"/>
                <w:sz w:val="24"/>
              </w:rPr>
              <w:t>基</w:t>
            </w:r>
            <w:r>
              <w:rPr>
                <w:rFonts w:hint="eastAsia" w:ascii="宋体" w:hAnsi="宋体" w:eastAsia="宋体" w:cs="仿宋_GB2312"/>
                <w:spacing w:val="2"/>
                <w:sz w:val="24"/>
              </w:rPr>
              <w:t>础</w:t>
            </w:r>
            <w:r>
              <w:rPr>
                <w:rFonts w:hint="eastAsia" w:ascii="宋体" w:hAnsi="宋体" w:eastAsia="宋体" w:cs="仿宋_GB2312"/>
                <w:spacing w:val="3"/>
                <w:sz w:val="24"/>
              </w:rPr>
              <w:t>（</w:t>
            </w:r>
            <w:r>
              <w:rPr>
                <w:rFonts w:hint="eastAsia" w:ascii="宋体" w:hAnsi="宋体" w:eastAsia="宋体" w:cs="仿宋_GB2312"/>
                <w:spacing w:val="-3"/>
                <w:sz w:val="24"/>
              </w:rPr>
              <w:t>与</w:t>
            </w:r>
            <w:r>
              <w:rPr>
                <w:rFonts w:hint="eastAsia" w:ascii="宋体" w:hAnsi="宋体" w:eastAsia="宋体" w:cs="仿宋_GB2312"/>
                <w:sz w:val="24"/>
              </w:rPr>
              <w:t>本项目研究与实践相关的前期工作基础，不超过2000</w:t>
            </w:r>
            <w:r>
              <w:rPr>
                <w:rFonts w:hint="eastAsia" w:ascii="宋体" w:hAnsi="宋体" w:eastAsia="宋体" w:cs="仿宋_GB2312"/>
                <w:spacing w:val="-1"/>
                <w:sz w:val="24"/>
              </w:rPr>
              <w:t>字</w:t>
            </w:r>
            <w:r>
              <w:rPr>
                <w:rFonts w:ascii="宋体" w:hAnsi="宋体" w:eastAsia="宋体"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3" w:hRule="atLeast"/>
          <w:jc w:val="center"/>
        </w:trPr>
        <w:tc>
          <w:tcPr>
            <w:tcW w:w="8555" w:type="dxa"/>
            <w:gridSpan w:val="14"/>
            <w:noWrap w:val="0"/>
            <w:vAlign w:val="top"/>
          </w:tcPr>
          <w:p>
            <w:pPr>
              <w:spacing w:before="62" w:line="312" w:lineRule="exact"/>
              <w:jc w:val="left"/>
              <w:rPr>
                <w:rFonts w:hint="eastAsia" w:ascii="宋体" w:hAnsi="宋体" w:eastAsia="宋体" w:cs="仿宋_GB2312"/>
                <w:spacing w:val="2"/>
                <w:sz w:val="24"/>
                <w:lang w:val="en-US" w:eastAsia="zh-CN"/>
              </w:rPr>
            </w:pPr>
          </w:p>
          <w:p>
            <w:pPr>
              <w:spacing w:before="62" w:line="312" w:lineRule="exact"/>
              <w:jc w:val="left"/>
              <w:rPr>
                <w:rFonts w:hint="eastAsia" w:ascii="宋体" w:hAnsi="宋体" w:eastAsia="宋体" w:cs="仿宋_GB2312"/>
                <w:sz w:val="24"/>
              </w:rPr>
            </w:pPr>
            <w:r>
              <w:rPr>
                <w:rFonts w:hint="eastAsia" w:ascii="宋体" w:hAnsi="宋体" w:eastAsia="宋体" w:cs="仿宋_GB2312"/>
                <w:spacing w:val="2"/>
                <w:sz w:val="24"/>
                <w:lang w:val="en-US" w:eastAsia="zh-CN"/>
              </w:rPr>
              <w:t xml:space="preserve">    </w:t>
            </w:r>
            <w:r>
              <w:rPr>
                <w:rFonts w:hint="eastAsia" w:ascii="宋体" w:hAnsi="宋体" w:eastAsia="宋体" w:cs="仿宋_GB2312"/>
                <w:spacing w:val="2"/>
                <w:sz w:val="24"/>
              </w:rPr>
              <w:t>三</w:t>
            </w:r>
            <w:r>
              <w:rPr>
                <w:rFonts w:hint="eastAsia" w:ascii="宋体" w:hAnsi="宋体" w:eastAsia="宋体" w:cs="仿宋_GB2312"/>
                <w:spacing w:val="-44"/>
                <w:sz w:val="24"/>
              </w:rPr>
              <w:t>、</w:t>
            </w:r>
            <w:r>
              <w:rPr>
                <w:rFonts w:hint="eastAsia" w:ascii="宋体" w:hAnsi="宋体" w:eastAsia="宋体" w:cs="仿宋_GB2312"/>
                <w:spacing w:val="2"/>
                <w:sz w:val="24"/>
              </w:rPr>
              <w:t>项</w:t>
            </w:r>
            <w:r>
              <w:rPr>
                <w:rFonts w:hint="eastAsia" w:ascii="宋体" w:hAnsi="宋体" w:eastAsia="宋体" w:cs="仿宋_GB2312"/>
                <w:sz w:val="24"/>
              </w:rPr>
              <w:t>目</w:t>
            </w:r>
            <w:r>
              <w:rPr>
                <w:rFonts w:hint="eastAsia" w:ascii="宋体" w:hAnsi="宋体" w:eastAsia="宋体" w:cs="仿宋_GB2312"/>
                <w:spacing w:val="2"/>
                <w:sz w:val="24"/>
              </w:rPr>
              <w:t>的</w:t>
            </w:r>
            <w:r>
              <w:rPr>
                <w:rFonts w:hint="eastAsia" w:ascii="宋体" w:hAnsi="宋体" w:eastAsia="宋体" w:cs="仿宋_GB2312"/>
                <w:sz w:val="24"/>
              </w:rPr>
              <w:t>改革</w:t>
            </w:r>
            <w:r>
              <w:rPr>
                <w:rFonts w:hint="eastAsia" w:ascii="宋体" w:hAnsi="宋体" w:eastAsia="宋体" w:cs="仿宋_GB2312"/>
                <w:spacing w:val="2"/>
                <w:sz w:val="24"/>
              </w:rPr>
              <w:t>思</w:t>
            </w:r>
            <w:r>
              <w:rPr>
                <w:rFonts w:hint="eastAsia" w:ascii="宋体" w:hAnsi="宋体" w:eastAsia="宋体" w:cs="仿宋_GB2312"/>
                <w:sz w:val="24"/>
              </w:rPr>
              <w:t>路和</w:t>
            </w:r>
            <w:r>
              <w:rPr>
                <w:rFonts w:hint="eastAsia" w:ascii="宋体" w:hAnsi="宋体" w:eastAsia="宋体" w:cs="仿宋_GB2312"/>
                <w:spacing w:val="2"/>
                <w:sz w:val="24"/>
              </w:rPr>
              <w:t>举</w:t>
            </w:r>
            <w:r>
              <w:rPr>
                <w:rFonts w:hint="eastAsia" w:ascii="宋体" w:hAnsi="宋体" w:eastAsia="宋体" w:cs="仿宋_GB2312"/>
                <w:spacing w:val="-40"/>
                <w:sz w:val="24"/>
              </w:rPr>
              <w:t>措</w:t>
            </w:r>
            <w:r>
              <w:rPr>
                <w:rFonts w:hint="eastAsia" w:ascii="宋体" w:hAnsi="宋体" w:eastAsia="宋体" w:cs="仿宋_GB2312"/>
                <w:sz w:val="24"/>
              </w:rPr>
              <w:t>（列明项目研究</w:t>
            </w:r>
            <w:r>
              <w:rPr>
                <w:rFonts w:hint="eastAsia" w:ascii="宋体" w:hAnsi="宋体" w:eastAsia="宋体" w:cs="仿宋_GB2312"/>
                <w:spacing w:val="-3"/>
                <w:sz w:val="24"/>
              </w:rPr>
              <w:t>与</w:t>
            </w:r>
            <w:r>
              <w:rPr>
                <w:rFonts w:hint="eastAsia" w:ascii="宋体" w:hAnsi="宋体" w:eastAsia="宋体" w:cs="仿宋_GB2312"/>
                <w:sz w:val="24"/>
              </w:rPr>
              <w:t>实践的主要思路</w:t>
            </w:r>
            <w:r>
              <w:rPr>
                <w:rFonts w:hint="eastAsia" w:ascii="宋体" w:hAnsi="宋体" w:eastAsia="宋体" w:cs="仿宋_GB2312"/>
                <w:spacing w:val="-43"/>
                <w:sz w:val="24"/>
              </w:rPr>
              <w:t>、</w:t>
            </w:r>
            <w:r>
              <w:rPr>
                <w:rFonts w:hint="eastAsia" w:ascii="宋体" w:hAnsi="宋体" w:eastAsia="宋体" w:cs="仿宋_GB2312"/>
                <w:sz w:val="24"/>
              </w:rPr>
              <w:t>具体措施</w:t>
            </w:r>
            <w:r>
              <w:rPr>
                <w:rFonts w:hint="eastAsia" w:ascii="宋体" w:hAnsi="宋体" w:eastAsia="宋体" w:cs="仿宋_GB2312"/>
                <w:spacing w:val="-43"/>
                <w:sz w:val="24"/>
              </w:rPr>
              <w:t>、</w:t>
            </w:r>
            <w:r>
              <w:rPr>
                <w:rFonts w:hint="eastAsia" w:ascii="宋体" w:hAnsi="宋体" w:eastAsia="宋体" w:cs="仿宋_GB2312"/>
                <w:sz w:val="24"/>
              </w:rPr>
              <w:t>创新点等，建议列出清晰的图表，不超过3000字）</w:t>
            </w:r>
          </w:p>
          <w:p>
            <w:pPr>
              <w:keepNext w:val="0"/>
              <w:keepLines w:val="0"/>
              <w:pageBreakBefore w:val="0"/>
              <w:widowControl w:val="0"/>
              <w:kinsoku/>
              <w:wordWrap/>
              <w:overflowPunct/>
              <w:topLinePunct w:val="0"/>
              <w:autoSpaceDE/>
              <w:autoSpaceDN/>
              <w:bidi w:val="0"/>
              <w:adjustRightInd/>
              <w:snapToGrid/>
              <w:spacing w:before="62" w:line="400" w:lineRule="exact"/>
              <w:ind w:left="233" w:right="310" w:firstLine="366" w:firstLineChars="150"/>
              <w:jc w:val="left"/>
              <w:textAlignment w:val="auto"/>
              <w:rPr>
                <w:rFonts w:hint="eastAsia" w:ascii="宋体" w:hAnsi="宋体" w:eastAsia="宋体" w:cs="仿宋_GB2312"/>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3" w:hRule="atLeast"/>
          <w:jc w:val="center"/>
        </w:trPr>
        <w:tc>
          <w:tcPr>
            <w:tcW w:w="8555" w:type="dxa"/>
            <w:gridSpan w:val="14"/>
            <w:noWrap w:val="0"/>
            <w:vAlign w:val="top"/>
          </w:tcPr>
          <w:p>
            <w:pPr>
              <w:spacing w:before="62" w:line="312" w:lineRule="exact"/>
              <w:jc w:val="left"/>
              <w:rPr>
                <w:rFonts w:hint="eastAsia" w:ascii="宋体" w:hAnsi="宋体" w:eastAsia="宋体" w:cs="仿宋_GB2312"/>
                <w:spacing w:val="2"/>
                <w:sz w:val="24"/>
                <w:lang w:val="en-US" w:eastAsia="zh-CN"/>
              </w:rPr>
            </w:pPr>
          </w:p>
          <w:p>
            <w:pPr>
              <w:spacing w:before="62" w:line="312" w:lineRule="exact"/>
              <w:jc w:val="left"/>
              <w:rPr>
                <w:rFonts w:hint="eastAsia" w:ascii="仿宋_GB2312" w:hAnsi="仿宋_GB2312" w:eastAsia="仿宋_GB2312" w:cs="仿宋_GB2312"/>
                <w:sz w:val="24"/>
              </w:rPr>
            </w:pPr>
            <w:r>
              <w:rPr>
                <w:rFonts w:hint="eastAsia" w:ascii="宋体" w:hAnsi="宋体" w:eastAsia="宋体" w:cs="仿宋_GB2312"/>
                <w:spacing w:val="2"/>
                <w:sz w:val="24"/>
                <w:lang w:val="en-US" w:eastAsia="zh-CN"/>
              </w:rPr>
              <w:t xml:space="preserve">    </w:t>
            </w:r>
            <w:r>
              <w:rPr>
                <w:rFonts w:hint="eastAsia" w:ascii="宋体" w:hAnsi="宋体" w:eastAsia="宋体" w:cs="仿宋_GB2312"/>
                <w:spacing w:val="2"/>
                <w:sz w:val="24"/>
              </w:rPr>
              <w:t>四</w:t>
            </w:r>
            <w:r>
              <w:rPr>
                <w:rFonts w:hint="eastAsia" w:ascii="宋体" w:hAnsi="宋体" w:eastAsia="宋体" w:cs="仿宋_GB2312"/>
                <w:spacing w:val="-41"/>
                <w:sz w:val="24"/>
              </w:rPr>
              <w:t>、</w:t>
            </w:r>
            <w:r>
              <w:rPr>
                <w:rFonts w:hint="eastAsia" w:ascii="宋体" w:hAnsi="宋体" w:eastAsia="宋体" w:cs="仿宋_GB2312"/>
                <w:sz w:val="24"/>
              </w:rPr>
              <w:t>项目</w:t>
            </w:r>
            <w:r>
              <w:rPr>
                <w:rFonts w:hint="eastAsia" w:ascii="宋体" w:hAnsi="宋体" w:eastAsia="宋体" w:cs="仿宋_GB2312"/>
                <w:spacing w:val="2"/>
                <w:sz w:val="24"/>
              </w:rPr>
              <w:t>计</w:t>
            </w:r>
            <w:r>
              <w:rPr>
                <w:rFonts w:hint="eastAsia" w:ascii="宋体" w:hAnsi="宋体" w:eastAsia="宋体" w:cs="仿宋_GB2312"/>
                <w:sz w:val="24"/>
              </w:rPr>
              <w:t>划及</w:t>
            </w:r>
            <w:r>
              <w:rPr>
                <w:rFonts w:hint="eastAsia" w:ascii="宋体" w:hAnsi="宋体" w:eastAsia="宋体" w:cs="仿宋_GB2312"/>
                <w:spacing w:val="2"/>
                <w:sz w:val="24"/>
              </w:rPr>
              <w:t>预</w:t>
            </w:r>
            <w:r>
              <w:rPr>
                <w:rFonts w:hint="eastAsia" w:ascii="宋体" w:hAnsi="宋体" w:eastAsia="宋体" w:cs="仿宋_GB2312"/>
                <w:sz w:val="24"/>
              </w:rPr>
              <w:t>期成</w:t>
            </w:r>
            <w:r>
              <w:rPr>
                <w:rFonts w:hint="eastAsia" w:ascii="宋体" w:hAnsi="宋体" w:eastAsia="宋体" w:cs="仿宋_GB2312"/>
                <w:spacing w:val="-40"/>
                <w:sz w:val="24"/>
              </w:rPr>
              <w:t>果</w:t>
            </w:r>
            <w:r>
              <w:rPr>
                <w:rFonts w:hint="eastAsia" w:ascii="宋体" w:hAnsi="宋体" w:eastAsia="宋体" w:cs="仿宋_GB2312"/>
                <w:sz w:val="24"/>
              </w:rPr>
              <w:t>（项目执行的时间表</w:t>
            </w:r>
            <w:r>
              <w:rPr>
                <w:rFonts w:hint="eastAsia" w:ascii="宋体" w:hAnsi="宋体" w:eastAsia="宋体" w:cs="仿宋_GB2312"/>
                <w:spacing w:val="-44"/>
                <w:sz w:val="24"/>
              </w:rPr>
              <w:t>，</w:t>
            </w:r>
            <w:r>
              <w:rPr>
                <w:rFonts w:hint="eastAsia" w:ascii="宋体" w:hAnsi="宋体" w:eastAsia="宋体" w:cs="仿宋_GB2312"/>
                <w:sz w:val="24"/>
              </w:rPr>
              <w:t>可考核的项目完成结果</w:t>
            </w:r>
            <w:r>
              <w:rPr>
                <w:rFonts w:hint="eastAsia" w:ascii="宋体" w:hAnsi="宋体" w:eastAsia="宋体" w:cs="仿宋_GB2312"/>
                <w:spacing w:val="-44"/>
                <w:sz w:val="24"/>
              </w:rPr>
              <w:t>，</w:t>
            </w:r>
            <w:r>
              <w:rPr>
                <w:rFonts w:hint="eastAsia" w:ascii="宋体" w:hAnsi="宋体" w:eastAsia="宋体" w:cs="仿宋_GB2312"/>
                <w:sz w:val="24"/>
              </w:rPr>
              <w:t>可示范推广的经验等，不超过2000字</w:t>
            </w:r>
            <w:r>
              <w:rPr>
                <w:rFonts w:hint="eastAsia" w:ascii="仿宋_GB2312" w:hAnsi="仿宋_GB2312" w:eastAsia="仿宋_GB2312" w:cs="仿宋_GB2312"/>
                <w:sz w:val="24"/>
              </w:rPr>
              <w:t>）</w:t>
            </w:r>
          </w:p>
          <w:p>
            <w:pPr>
              <w:keepNext w:val="0"/>
              <w:keepLines w:val="0"/>
              <w:pageBreakBefore w:val="0"/>
              <w:widowControl w:val="0"/>
              <w:kinsoku/>
              <w:wordWrap/>
              <w:overflowPunct/>
              <w:topLinePunct w:val="0"/>
              <w:autoSpaceDE/>
              <w:autoSpaceDN/>
              <w:bidi w:val="0"/>
              <w:adjustRightInd/>
              <w:snapToGrid/>
              <w:spacing w:before="62" w:line="400" w:lineRule="exact"/>
              <w:ind w:left="233" w:right="310" w:firstLine="366" w:firstLineChars="150"/>
              <w:jc w:val="left"/>
              <w:textAlignment w:val="auto"/>
              <w:rPr>
                <w:rFonts w:hint="eastAsia" w:ascii="宋体" w:hAnsi="宋体" w:eastAsia="宋体" w:cs="仿宋_GB2312"/>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8" w:hRule="atLeast"/>
          <w:jc w:val="center"/>
        </w:trPr>
        <w:tc>
          <w:tcPr>
            <w:tcW w:w="8555" w:type="dxa"/>
            <w:gridSpan w:val="14"/>
            <w:noWrap w:val="0"/>
            <w:vAlign w:val="top"/>
          </w:tcPr>
          <w:p>
            <w:pPr>
              <w:spacing w:line="273" w:lineRule="exact"/>
              <w:jc w:val="left"/>
              <w:rPr>
                <w:rFonts w:hint="eastAsia" w:ascii="宋体" w:hAnsi="宋体" w:eastAsia="宋体" w:cs="仿宋_GB2312"/>
                <w:spacing w:val="2"/>
                <w:sz w:val="24"/>
                <w:lang w:val="en-US" w:eastAsia="zh-CN"/>
              </w:rPr>
            </w:pPr>
          </w:p>
          <w:p>
            <w:pPr>
              <w:keepNext w:val="0"/>
              <w:keepLines w:val="0"/>
              <w:pageBreakBefore w:val="0"/>
              <w:widowControl w:val="0"/>
              <w:kinsoku/>
              <w:wordWrap/>
              <w:overflowPunct/>
              <w:topLinePunct w:val="0"/>
              <w:autoSpaceDE/>
              <w:autoSpaceDN/>
              <w:bidi w:val="0"/>
              <w:adjustRightInd/>
              <w:snapToGrid/>
              <w:spacing w:before="62" w:line="400" w:lineRule="exact"/>
              <w:ind w:right="310"/>
              <w:jc w:val="left"/>
              <w:textAlignment w:val="auto"/>
              <w:rPr>
                <w:rFonts w:hint="eastAsia" w:ascii="宋体" w:hAnsi="宋体" w:eastAsia="宋体" w:cs="仿宋_GB2312"/>
                <w:spacing w:val="2"/>
                <w:sz w:val="24"/>
              </w:rPr>
            </w:pPr>
            <w:r>
              <w:rPr>
                <w:rFonts w:hint="eastAsia" w:ascii="宋体" w:hAnsi="宋体" w:eastAsia="宋体" w:cs="仿宋_GB2312"/>
                <w:spacing w:val="2"/>
                <w:sz w:val="24"/>
                <w:lang w:val="en-US" w:eastAsia="zh-CN"/>
              </w:rPr>
              <w:t xml:space="preserve">    </w:t>
            </w:r>
            <w:r>
              <w:rPr>
                <w:rFonts w:hint="eastAsia" w:ascii="宋体" w:hAnsi="宋体" w:eastAsia="宋体" w:cs="仿宋_GB2312"/>
                <w:spacing w:val="2"/>
                <w:sz w:val="24"/>
              </w:rPr>
              <w:t>五</w:t>
            </w:r>
            <w:r>
              <w:rPr>
                <w:rFonts w:hint="eastAsia" w:ascii="宋体" w:hAnsi="宋体" w:eastAsia="宋体" w:cs="仿宋_GB2312"/>
                <w:sz w:val="24"/>
              </w:rPr>
              <w:t>、</w:t>
            </w:r>
            <w:r>
              <w:rPr>
                <w:rFonts w:hint="eastAsia" w:ascii="宋体" w:hAnsi="宋体" w:eastAsia="宋体" w:cs="仿宋_GB2312"/>
                <w:spacing w:val="2"/>
                <w:sz w:val="24"/>
                <w:lang w:eastAsia="zh-CN"/>
              </w:rPr>
              <w:t>参与单位情况</w:t>
            </w:r>
            <w:r>
              <w:rPr>
                <w:rFonts w:hint="eastAsia" w:ascii="宋体" w:hAnsi="宋体" w:eastAsia="宋体" w:cs="仿宋_GB2312"/>
                <w:spacing w:val="2"/>
                <w:sz w:val="24"/>
              </w:rPr>
              <w:t>（</w:t>
            </w:r>
            <w:r>
              <w:rPr>
                <w:rFonts w:hint="eastAsia" w:ascii="宋体" w:hAnsi="宋体" w:eastAsia="宋体" w:cs="仿宋_GB2312"/>
                <w:sz w:val="24"/>
              </w:rPr>
              <w:t>包</w:t>
            </w:r>
            <w:r>
              <w:rPr>
                <w:rFonts w:hint="eastAsia" w:ascii="宋体" w:hAnsi="宋体" w:eastAsia="宋体" w:cs="仿宋_GB2312"/>
                <w:spacing w:val="2"/>
                <w:sz w:val="24"/>
              </w:rPr>
              <w:t>括</w:t>
            </w:r>
            <w:r>
              <w:rPr>
                <w:rFonts w:hint="eastAsia" w:ascii="宋体" w:hAnsi="宋体" w:eastAsia="宋体" w:cs="仿宋_GB2312"/>
                <w:spacing w:val="2"/>
                <w:sz w:val="24"/>
                <w:lang w:eastAsia="zh-CN"/>
              </w:rPr>
              <w:t>参与单位名称、性质、参与原因及其优势等，不超过</w:t>
            </w:r>
            <w:r>
              <w:rPr>
                <w:rFonts w:hint="eastAsia" w:ascii="宋体" w:hAnsi="宋体" w:eastAsia="宋体" w:cs="仿宋_GB2312"/>
                <w:spacing w:val="2"/>
                <w:sz w:val="24"/>
                <w:lang w:val="en-US" w:eastAsia="zh-CN"/>
              </w:rPr>
              <w:t>500字，无参与单位则不填写</w:t>
            </w:r>
            <w:r>
              <w:rPr>
                <w:rFonts w:hint="eastAsia" w:ascii="宋体" w:hAnsi="宋体" w:eastAsia="宋体"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8" w:hRule="atLeast"/>
          <w:jc w:val="center"/>
        </w:trPr>
        <w:tc>
          <w:tcPr>
            <w:tcW w:w="8555" w:type="dxa"/>
            <w:gridSpan w:val="14"/>
            <w:noWrap w:val="0"/>
            <w:vAlign w:val="top"/>
          </w:tcPr>
          <w:p>
            <w:pPr>
              <w:keepNext w:val="0"/>
              <w:keepLines w:val="0"/>
              <w:pageBreakBefore w:val="0"/>
              <w:widowControl w:val="0"/>
              <w:kinsoku/>
              <w:wordWrap/>
              <w:overflowPunct/>
              <w:topLinePunct w:val="0"/>
              <w:autoSpaceDE/>
              <w:autoSpaceDN/>
              <w:bidi w:val="0"/>
              <w:adjustRightInd/>
              <w:snapToGrid/>
              <w:spacing w:before="62" w:line="400" w:lineRule="exact"/>
              <w:ind w:right="310"/>
              <w:jc w:val="left"/>
              <w:textAlignment w:val="auto"/>
              <w:rPr>
                <w:rFonts w:hint="eastAsia" w:ascii="宋体" w:hAnsi="宋体" w:eastAsia="宋体" w:cs="仿宋_GB2312"/>
                <w:spacing w:val="2"/>
                <w:sz w:val="24"/>
                <w:lang w:val="en-US" w:eastAsia="zh-CN"/>
              </w:rPr>
            </w:pPr>
            <w:r>
              <w:rPr>
                <w:rFonts w:hint="eastAsia" w:ascii="宋体" w:hAnsi="宋体" w:eastAsia="宋体" w:cs="仿宋_GB2312"/>
                <w:spacing w:val="2"/>
                <w:sz w:val="24"/>
                <w:lang w:val="en-US" w:eastAsia="zh-CN"/>
              </w:rPr>
              <w:t xml:space="preserve">    </w:t>
            </w:r>
            <w:r>
              <w:rPr>
                <w:rFonts w:hint="eastAsia" w:ascii="宋体" w:hAnsi="宋体" w:eastAsia="宋体" w:cs="仿宋_GB2312"/>
                <w:spacing w:val="2"/>
                <w:sz w:val="24"/>
                <w:lang w:eastAsia="zh-CN"/>
              </w:rPr>
              <w:t>六</w:t>
            </w:r>
            <w:r>
              <w:rPr>
                <w:rFonts w:hint="eastAsia" w:ascii="宋体" w:hAnsi="宋体" w:eastAsia="宋体" w:cs="仿宋_GB2312"/>
                <w:sz w:val="24"/>
              </w:rPr>
              <w:t>、</w:t>
            </w:r>
            <w:r>
              <w:rPr>
                <w:rFonts w:hint="eastAsia" w:ascii="宋体" w:hAnsi="宋体" w:eastAsia="宋体" w:cs="仿宋_GB2312"/>
                <w:spacing w:val="2"/>
                <w:sz w:val="24"/>
              </w:rPr>
              <w:t>所</w:t>
            </w:r>
            <w:r>
              <w:rPr>
                <w:rFonts w:hint="eastAsia" w:ascii="宋体" w:hAnsi="宋体" w:eastAsia="宋体" w:cs="仿宋_GB2312"/>
                <w:sz w:val="24"/>
              </w:rPr>
              <w:t>在单</w:t>
            </w:r>
            <w:r>
              <w:rPr>
                <w:rFonts w:hint="eastAsia" w:ascii="宋体" w:hAnsi="宋体" w:eastAsia="宋体" w:cs="仿宋_GB2312"/>
                <w:spacing w:val="2"/>
                <w:sz w:val="24"/>
              </w:rPr>
              <w:t>位</w:t>
            </w:r>
            <w:r>
              <w:rPr>
                <w:rFonts w:hint="eastAsia" w:ascii="宋体" w:hAnsi="宋体" w:eastAsia="宋体" w:cs="仿宋_GB2312"/>
                <w:sz w:val="24"/>
              </w:rPr>
              <w:t>支</w:t>
            </w:r>
            <w:r>
              <w:rPr>
                <w:rFonts w:hint="eastAsia" w:ascii="宋体" w:hAnsi="宋体" w:eastAsia="宋体" w:cs="仿宋_GB2312"/>
                <w:spacing w:val="2"/>
                <w:sz w:val="24"/>
              </w:rPr>
              <w:t>持</w:t>
            </w:r>
            <w:r>
              <w:rPr>
                <w:rFonts w:hint="eastAsia" w:ascii="宋体" w:hAnsi="宋体" w:eastAsia="宋体" w:cs="仿宋_GB2312"/>
                <w:sz w:val="24"/>
              </w:rPr>
              <w:t>措</w:t>
            </w:r>
            <w:r>
              <w:rPr>
                <w:rFonts w:hint="eastAsia" w:ascii="宋体" w:hAnsi="宋体" w:eastAsia="宋体" w:cs="仿宋_GB2312"/>
                <w:spacing w:val="1"/>
                <w:sz w:val="24"/>
              </w:rPr>
              <w:t>施</w:t>
            </w:r>
            <w:r>
              <w:rPr>
                <w:rFonts w:hint="eastAsia" w:ascii="宋体" w:hAnsi="宋体" w:eastAsia="宋体" w:cs="仿宋_GB2312"/>
                <w:spacing w:val="2"/>
                <w:sz w:val="24"/>
              </w:rPr>
              <w:t>（</w:t>
            </w:r>
            <w:r>
              <w:rPr>
                <w:rFonts w:hint="eastAsia" w:ascii="宋体" w:hAnsi="宋体" w:eastAsia="宋体" w:cs="仿宋_GB2312"/>
                <w:sz w:val="24"/>
              </w:rPr>
              <w:t>包</w:t>
            </w:r>
            <w:r>
              <w:rPr>
                <w:rFonts w:hint="eastAsia" w:ascii="宋体" w:hAnsi="宋体" w:eastAsia="宋体" w:cs="仿宋_GB2312"/>
                <w:spacing w:val="2"/>
                <w:sz w:val="24"/>
              </w:rPr>
              <w:t>括</w:t>
            </w:r>
            <w:r>
              <w:rPr>
                <w:rFonts w:hint="eastAsia" w:ascii="宋体" w:hAnsi="宋体" w:eastAsia="宋体" w:cs="仿宋_GB2312"/>
                <w:sz w:val="24"/>
              </w:rPr>
              <w:t>条件</w:t>
            </w:r>
            <w:r>
              <w:rPr>
                <w:rFonts w:hint="eastAsia" w:ascii="宋体" w:hAnsi="宋体" w:eastAsia="宋体" w:cs="仿宋_GB2312"/>
                <w:spacing w:val="2"/>
                <w:sz w:val="24"/>
              </w:rPr>
              <w:t>、</w:t>
            </w:r>
            <w:r>
              <w:rPr>
                <w:rFonts w:hint="eastAsia" w:ascii="宋体" w:hAnsi="宋体" w:eastAsia="宋体" w:cs="仿宋_GB2312"/>
                <w:sz w:val="24"/>
              </w:rPr>
              <w:t>经</w:t>
            </w:r>
            <w:r>
              <w:rPr>
                <w:rFonts w:hint="eastAsia" w:ascii="宋体" w:hAnsi="宋体" w:eastAsia="宋体" w:cs="仿宋_GB2312"/>
                <w:spacing w:val="2"/>
                <w:sz w:val="24"/>
              </w:rPr>
              <w:t>费</w:t>
            </w:r>
            <w:r>
              <w:rPr>
                <w:rFonts w:hint="eastAsia" w:ascii="宋体" w:hAnsi="宋体" w:eastAsia="宋体" w:cs="仿宋_GB2312"/>
                <w:sz w:val="24"/>
              </w:rPr>
              <w:t>、人</w:t>
            </w:r>
            <w:r>
              <w:rPr>
                <w:rFonts w:hint="eastAsia" w:ascii="宋体" w:hAnsi="宋体" w:eastAsia="宋体" w:cs="仿宋_GB2312"/>
                <w:spacing w:val="2"/>
                <w:sz w:val="24"/>
              </w:rPr>
              <w:t>员</w:t>
            </w:r>
            <w:r>
              <w:rPr>
                <w:rFonts w:hint="eastAsia" w:ascii="宋体" w:hAnsi="宋体" w:eastAsia="宋体" w:cs="仿宋_GB2312"/>
                <w:sz w:val="24"/>
              </w:rPr>
              <w:t>等</w:t>
            </w:r>
            <w:r>
              <w:rPr>
                <w:rFonts w:hint="eastAsia" w:ascii="宋体" w:hAnsi="宋体" w:eastAsia="宋体" w:cs="仿宋_GB2312"/>
                <w:spacing w:val="2"/>
                <w:sz w:val="24"/>
              </w:rPr>
              <w:t>方</w:t>
            </w:r>
            <w:r>
              <w:rPr>
                <w:rFonts w:hint="eastAsia" w:ascii="宋体" w:hAnsi="宋体" w:eastAsia="宋体" w:cs="仿宋_GB2312"/>
                <w:sz w:val="24"/>
              </w:rPr>
              <w:t>面相</w:t>
            </w:r>
            <w:r>
              <w:rPr>
                <w:rFonts w:hint="eastAsia" w:ascii="宋体" w:hAnsi="宋体" w:eastAsia="宋体" w:cs="仿宋_GB2312"/>
                <w:spacing w:val="2"/>
                <w:sz w:val="24"/>
              </w:rPr>
              <w:t>关</w:t>
            </w:r>
            <w:r>
              <w:rPr>
                <w:rFonts w:hint="eastAsia" w:ascii="宋体" w:hAnsi="宋体" w:eastAsia="宋体" w:cs="仿宋_GB2312"/>
                <w:sz w:val="24"/>
              </w:rPr>
              <w:t>政</w:t>
            </w:r>
            <w:r>
              <w:rPr>
                <w:rFonts w:hint="eastAsia" w:ascii="宋体" w:hAnsi="宋体" w:eastAsia="宋体" w:cs="仿宋_GB2312"/>
                <w:spacing w:val="2"/>
                <w:sz w:val="24"/>
              </w:rPr>
              <w:t>策</w:t>
            </w:r>
            <w:r>
              <w:rPr>
                <w:rFonts w:hint="eastAsia" w:ascii="宋体" w:hAnsi="宋体" w:eastAsia="宋体" w:cs="仿宋_GB2312"/>
                <w:sz w:val="24"/>
              </w:rPr>
              <w:t>和措</w:t>
            </w:r>
            <w:r>
              <w:rPr>
                <w:rFonts w:hint="eastAsia" w:ascii="宋体" w:hAnsi="宋体" w:eastAsia="宋体" w:cs="仿宋_GB2312"/>
                <w:spacing w:val="2"/>
                <w:sz w:val="24"/>
              </w:rPr>
              <w:t>施</w:t>
            </w:r>
            <w:r>
              <w:rPr>
                <w:rFonts w:hint="eastAsia" w:ascii="宋体" w:hAnsi="宋体" w:eastAsia="宋体"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8" w:hRule="atLeast"/>
          <w:jc w:val="center"/>
        </w:trPr>
        <w:tc>
          <w:tcPr>
            <w:tcW w:w="8555" w:type="dxa"/>
            <w:gridSpan w:val="14"/>
            <w:noWrap w:val="0"/>
            <w:vAlign w:val="top"/>
          </w:tcPr>
          <w:p>
            <w:pPr>
              <w:spacing w:line="600" w:lineRule="exact"/>
              <w:rPr>
                <w:rFonts w:hint="eastAsia" w:ascii="宋体" w:hAnsi="宋体" w:eastAsia="宋体" w:cs="仿宋_GB2312"/>
                <w:sz w:val="24"/>
              </w:rPr>
            </w:pPr>
            <w:r>
              <w:rPr>
                <w:rFonts w:hint="eastAsia" w:ascii="宋体" w:hAnsi="宋体" w:eastAsia="宋体" w:cs="仿宋_GB2312"/>
                <w:sz w:val="24"/>
                <w:lang w:val="en-US" w:eastAsia="zh-CN"/>
              </w:rPr>
              <w:t xml:space="preserve">    </w:t>
            </w:r>
            <w:r>
              <w:rPr>
                <w:rFonts w:hint="eastAsia" w:ascii="宋体" w:hAnsi="宋体" w:eastAsia="宋体" w:cs="仿宋_GB2312"/>
                <w:sz w:val="24"/>
                <w:lang w:eastAsia="zh-CN"/>
              </w:rPr>
              <w:t>七</w:t>
            </w:r>
            <w:r>
              <w:rPr>
                <w:rFonts w:hint="eastAsia" w:ascii="宋体" w:hAnsi="宋体" w:eastAsia="宋体" w:cs="仿宋_GB2312"/>
                <w:sz w:val="24"/>
              </w:rPr>
              <w:t>、诚信承诺</w:t>
            </w:r>
          </w:p>
          <w:p>
            <w:pPr>
              <w:spacing w:line="600" w:lineRule="exact"/>
              <w:ind w:firstLine="480" w:firstLineChars="200"/>
              <w:rPr>
                <w:rFonts w:hint="eastAsia" w:ascii="宋体" w:hAnsi="宋体" w:eastAsia="宋体" w:cs="仿宋_GB2312"/>
                <w:sz w:val="24"/>
              </w:rPr>
            </w:pPr>
            <w:r>
              <w:rPr>
                <w:rFonts w:hint="eastAsia" w:ascii="宋体" w:hAnsi="宋体" w:eastAsia="宋体" w:cs="仿宋_GB2312"/>
                <w:sz w:val="24"/>
              </w:rPr>
              <w:t>本人承诺项目组提交的各项信息准确、真实，如有虚假，愿意承担相应责任。</w:t>
            </w:r>
          </w:p>
          <w:p>
            <w:pPr>
              <w:spacing w:line="600" w:lineRule="exact"/>
              <w:ind w:firstLine="3840" w:firstLineChars="1600"/>
              <w:rPr>
                <w:rFonts w:hint="eastAsia" w:ascii="宋体" w:hAnsi="宋体" w:eastAsia="宋体" w:cs="仿宋_GB2312"/>
                <w:sz w:val="24"/>
              </w:rPr>
            </w:pPr>
          </w:p>
          <w:p>
            <w:pPr>
              <w:spacing w:line="600" w:lineRule="exact"/>
              <w:ind w:firstLine="3840" w:firstLineChars="1600"/>
              <w:rPr>
                <w:rFonts w:hint="eastAsia" w:ascii="宋体" w:hAnsi="宋体" w:eastAsia="宋体" w:cs="仿宋_GB2312"/>
                <w:sz w:val="24"/>
              </w:rPr>
            </w:pPr>
          </w:p>
          <w:p>
            <w:pPr>
              <w:spacing w:line="600" w:lineRule="exact"/>
              <w:rPr>
                <w:rFonts w:hint="eastAsia" w:ascii="宋体" w:hAnsi="宋体" w:eastAsia="宋体" w:cs="仿宋_GB2312"/>
                <w:sz w:val="24"/>
              </w:rPr>
            </w:pPr>
            <w:r>
              <w:rPr>
                <w:rFonts w:hint="eastAsia" w:ascii="宋体" w:hAnsi="宋体" w:eastAsia="宋体" w:cs="仿宋_GB2312"/>
                <w:sz w:val="24"/>
                <w:lang w:val="en-US" w:eastAsia="zh-CN"/>
              </w:rPr>
              <w:t xml:space="preserve">    </w:t>
            </w:r>
            <w:r>
              <w:rPr>
                <w:rFonts w:hint="eastAsia" w:ascii="宋体" w:hAnsi="宋体" w:eastAsia="宋体" w:cs="仿宋_GB2312"/>
                <w:sz w:val="24"/>
              </w:rPr>
              <w:t>项目负责人签字</w:t>
            </w:r>
            <w:r>
              <w:rPr>
                <w:rFonts w:hint="eastAsia" w:ascii="宋体" w:hAnsi="宋体" w:eastAsia="宋体" w:cs="仿宋_GB2312"/>
                <w:spacing w:val="137"/>
                <w:kern w:val="0"/>
                <w:sz w:val="24"/>
                <w:fitText w:val="3000" w:id="1607916627"/>
              </w:rPr>
              <w:t xml:space="preserve">：      </w:t>
            </w:r>
            <w:r>
              <w:rPr>
                <w:rFonts w:hint="eastAsia" w:ascii="宋体" w:hAnsi="宋体" w:eastAsia="宋体" w:cs="仿宋_GB2312"/>
                <w:spacing w:val="1"/>
                <w:kern w:val="0"/>
                <w:sz w:val="24"/>
                <w:fitText w:val="3000" w:id="1607916627"/>
              </w:rPr>
              <w:t xml:space="preserve"> </w:t>
            </w:r>
          </w:p>
          <w:p>
            <w:pPr>
              <w:spacing w:line="273" w:lineRule="exact"/>
              <w:ind w:right="960"/>
              <w:jc w:val="center"/>
              <w:rPr>
                <w:rFonts w:hint="eastAsia" w:ascii="宋体" w:hAnsi="宋体" w:eastAsia="宋体" w:cs="仿宋_GB2312"/>
                <w:sz w:val="24"/>
              </w:rPr>
            </w:pPr>
          </w:p>
          <w:p>
            <w:pPr>
              <w:keepNext w:val="0"/>
              <w:keepLines w:val="0"/>
              <w:pageBreakBefore w:val="0"/>
              <w:widowControl w:val="0"/>
              <w:kinsoku/>
              <w:wordWrap/>
              <w:overflowPunct/>
              <w:topLinePunct w:val="0"/>
              <w:autoSpaceDE/>
              <w:autoSpaceDN/>
              <w:bidi w:val="0"/>
              <w:adjustRightInd/>
              <w:snapToGrid/>
              <w:spacing w:before="62" w:line="400" w:lineRule="exact"/>
              <w:ind w:left="233" w:right="310" w:firstLine="360" w:firstLineChars="150"/>
              <w:jc w:val="left"/>
              <w:textAlignment w:val="auto"/>
              <w:rPr>
                <w:rFonts w:hint="eastAsia" w:ascii="宋体" w:hAnsi="宋体" w:eastAsia="宋体" w:cs="仿宋_GB2312"/>
                <w:spacing w:val="2"/>
                <w:sz w:val="24"/>
                <w:lang w:eastAsia="zh-CN"/>
              </w:rPr>
            </w:pPr>
            <w:r>
              <w:rPr>
                <w:rFonts w:hint="eastAsia" w:ascii="宋体" w:hAnsi="宋体" w:eastAsia="宋体" w:cs="仿宋_GB2312"/>
                <w:kern w:val="0"/>
                <w:sz w:val="24"/>
              </w:rPr>
              <w:t xml:space="preserve">                                    </w:t>
            </w:r>
            <w:r>
              <w:rPr>
                <w:rFonts w:hint="eastAsia" w:ascii="宋体" w:hAnsi="宋体" w:eastAsia="宋体" w:cs="仿宋_GB2312"/>
                <w:spacing w:val="0"/>
                <w:kern w:val="0"/>
                <w:sz w:val="24"/>
                <w:fitText w:val="1680" w:id="-809577549"/>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3" w:hRule="atLeast"/>
          <w:jc w:val="center"/>
        </w:trPr>
        <w:tc>
          <w:tcPr>
            <w:tcW w:w="8555" w:type="dxa"/>
            <w:gridSpan w:val="14"/>
            <w:noWrap w:val="0"/>
            <w:vAlign w:val="top"/>
          </w:tcPr>
          <w:p>
            <w:pPr>
              <w:keepNext w:val="0"/>
              <w:keepLines w:val="0"/>
              <w:pageBreakBefore w:val="0"/>
              <w:widowControl w:val="0"/>
              <w:numPr>
                <w:ilvl w:val="0"/>
                <w:numId w:val="1"/>
              </w:numPr>
              <w:kinsoku/>
              <w:wordWrap/>
              <w:overflowPunct/>
              <w:topLinePunct w:val="0"/>
              <w:autoSpaceDE/>
              <w:autoSpaceDN/>
              <w:bidi w:val="0"/>
              <w:adjustRightInd/>
              <w:snapToGrid/>
              <w:spacing w:before="62" w:line="400" w:lineRule="exact"/>
              <w:ind w:left="233" w:right="310" w:firstLine="360" w:firstLineChars="150"/>
              <w:jc w:val="left"/>
              <w:textAlignment w:val="auto"/>
              <w:rPr>
                <w:rFonts w:hint="eastAsia" w:ascii="宋体" w:hAnsi="宋体" w:eastAsia="宋体" w:cs="仿宋_GB2312"/>
                <w:kern w:val="0"/>
                <w:sz w:val="24"/>
                <w:lang w:eastAsia="zh-CN"/>
              </w:rPr>
            </w:pPr>
            <w:r>
              <w:rPr>
                <w:rFonts w:hint="eastAsia" w:ascii="宋体" w:hAnsi="宋体" w:eastAsia="宋体" w:cs="仿宋_GB2312"/>
                <w:kern w:val="0"/>
                <w:sz w:val="24"/>
                <w:lang w:eastAsia="zh-CN"/>
              </w:rPr>
              <w:t>申报单位意见</w:t>
            </w: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eastAsia" w:ascii="宋体" w:hAnsi="宋体" w:eastAsia="宋体" w:cs="仿宋_GB2312"/>
                <w:kern w:val="0"/>
                <w:sz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eastAsia" w:ascii="宋体" w:hAnsi="宋体" w:eastAsia="宋体" w:cs="仿宋_GB2312"/>
                <w:kern w:val="0"/>
                <w:sz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eastAsia" w:ascii="宋体" w:hAnsi="宋体" w:eastAsia="宋体" w:cs="仿宋_GB2312"/>
                <w:kern w:val="0"/>
                <w:sz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eastAsia" w:ascii="宋体" w:hAnsi="宋体" w:eastAsia="宋体" w:cs="仿宋_GB2312"/>
                <w:kern w:val="0"/>
                <w:sz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eastAsia" w:ascii="宋体" w:hAnsi="宋体" w:eastAsia="宋体" w:cs="仿宋_GB2312"/>
                <w:kern w:val="0"/>
                <w:sz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eastAsia" w:ascii="宋体" w:hAnsi="宋体" w:eastAsia="宋体" w:cs="仿宋_GB2312"/>
                <w:kern w:val="0"/>
                <w:sz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eastAsia" w:ascii="宋体" w:hAnsi="宋体" w:eastAsia="宋体" w:cs="仿宋_GB2312"/>
                <w:kern w:val="0"/>
                <w:sz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eastAsia" w:ascii="宋体" w:hAnsi="宋体" w:eastAsia="宋体" w:cs="仿宋_GB2312"/>
                <w:kern w:val="0"/>
                <w:sz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eastAsia" w:ascii="宋体" w:hAnsi="宋体" w:eastAsia="宋体" w:cs="仿宋_GB2312"/>
                <w:kern w:val="0"/>
                <w:sz w:val="24"/>
                <w:lang w:val="en-US" w:eastAsia="zh-CN"/>
              </w:rPr>
            </w:pPr>
            <w:r>
              <w:rPr>
                <w:rFonts w:hint="eastAsia" w:ascii="宋体" w:hAnsi="宋体" w:eastAsia="宋体" w:cs="仿宋_GB2312"/>
                <w:kern w:val="0"/>
                <w:sz w:val="24"/>
                <w:lang w:val="en-US" w:eastAsia="zh-CN"/>
              </w:rPr>
              <w:t xml:space="preserve">                                    单位负责人签字</w:t>
            </w: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eastAsia" w:ascii="宋体" w:hAnsi="宋体" w:eastAsia="宋体" w:cs="仿宋_GB2312"/>
                <w:kern w:val="0"/>
                <w:sz w:val="24"/>
                <w:lang w:val="en-US" w:eastAsia="zh-CN"/>
              </w:rPr>
            </w:pPr>
            <w:r>
              <w:rPr>
                <w:rFonts w:hint="eastAsia" w:ascii="宋体" w:hAnsi="宋体" w:eastAsia="宋体" w:cs="仿宋_GB2312"/>
                <w:kern w:val="0"/>
                <w:sz w:val="24"/>
                <w:lang w:val="en-US" w:eastAsia="zh-CN"/>
              </w:rPr>
              <w:t xml:space="preserve">                                    单  位  公  章</w:t>
            </w:r>
          </w:p>
          <w:p>
            <w:pPr>
              <w:keepNext w:val="0"/>
              <w:keepLines w:val="0"/>
              <w:pageBreakBefore w:val="0"/>
              <w:widowControl w:val="0"/>
              <w:numPr>
                <w:ilvl w:val="0"/>
                <w:numId w:val="0"/>
              </w:numPr>
              <w:kinsoku/>
              <w:wordWrap/>
              <w:overflowPunct/>
              <w:topLinePunct w:val="0"/>
              <w:autoSpaceDE/>
              <w:autoSpaceDN/>
              <w:bidi w:val="0"/>
              <w:adjustRightInd/>
              <w:snapToGrid/>
              <w:spacing w:before="62" w:line="400" w:lineRule="exact"/>
              <w:ind w:leftChars="150" w:right="310" w:rightChars="0"/>
              <w:jc w:val="left"/>
              <w:textAlignment w:val="auto"/>
              <w:rPr>
                <w:rFonts w:hint="default" w:ascii="宋体" w:hAnsi="宋体" w:eastAsia="宋体" w:cs="仿宋_GB2312"/>
                <w:kern w:val="0"/>
                <w:sz w:val="24"/>
                <w:lang w:val="en-US" w:eastAsia="zh-CN"/>
              </w:rPr>
            </w:pPr>
            <w:r>
              <w:rPr>
                <w:rFonts w:hint="eastAsia" w:ascii="宋体" w:hAnsi="宋体" w:eastAsia="宋体" w:cs="仿宋_GB2312"/>
                <w:kern w:val="0"/>
                <w:sz w:val="24"/>
                <w:lang w:val="en-US" w:eastAsia="zh-CN"/>
              </w:rPr>
              <w:t xml:space="preserve">                                </w:t>
            </w:r>
            <w:r>
              <w:rPr>
                <w:rFonts w:hint="eastAsia" w:ascii="宋体" w:hAnsi="宋体" w:eastAsia="宋体" w:cs="仿宋_GB2312"/>
                <w:kern w:val="0"/>
                <w:sz w:val="24"/>
              </w:rPr>
              <w:t xml:space="preserve"> </w:t>
            </w:r>
            <w:r>
              <w:rPr>
                <w:rFonts w:hint="eastAsia" w:ascii="宋体" w:hAnsi="宋体" w:eastAsia="宋体" w:cs="仿宋_GB2312"/>
                <w:kern w:val="0"/>
                <w:sz w:val="24"/>
                <w:lang w:val="en-US" w:eastAsia="zh-CN"/>
              </w:rPr>
              <w:t xml:space="preserve">   </w:t>
            </w:r>
            <w:r>
              <w:rPr>
                <w:rFonts w:hint="eastAsia" w:ascii="宋体" w:hAnsi="宋体" w:eastAsia="宋体" w:cs="仿宋_GB2312"/>
                <w:spacing w:val="0"/>
                <w:kern w:val="0"/>
                <w:sz w:val="24"/>
                <w:fitText w:val="1680" w:id="-614961623"/>
              </w:rPr>
              <w:t>年    月    日</w:t>
            </w:r>
            <w:r>
              <w:rPr>
                <w:rFonts w:hint="eastAsia" w:ascii="宋体" w:hAnsi="宋体" w:eastAsia="宋体" w:cs="仿宋_GB2312"/>
                <w:kern w:val="0"/>
                <w:sz w:val="24"/>
                <w:lang w:val="en-US" w:eastAsia="zh-CN"/>
              </w:rPr>
              <w:t xml:space="preserve">   </w:t>
            </w:r>
          </w:p>
        </w:tc>
      </w:tr>
    </w:tbl>
    <w:p>
      <w:pPr>
        <w:keepNext w:val="0"/>
        <w:keepLines w:val="0"/>
        <w:pageBreakBefore w:val="0"/>
        <w:widowControl w:val="0"/>
        <w:kinsoku/>
        <w:wordWrap/>
        <w:overflowPunct/>
        <w:topLinePunct w:val="0"/>
        <w:autoSpaceDE/>
        <w:autoSpaceDN/>
        <w:bidi w:val="0"/>
        <w:adjustRightInd/>
        <w:snapToGrid/>
        <w:spacing w:line="554" w:lineRule="exact"/>
        <w:textAlignment w:val="auto"/>
        <w:rPr>
          <w:rFonts w:hint="eastAsia" w:ascii="仿宋" w:hAnsi="仿宋" w:eastAsia="仿宋" w:cs="仿宋"/>
          <w:color w:val="000000"/>
          <w:kern w:val="0"/>
          <w:sz w:val="32"/>
          <w:szCs w:val="32"/>
          <w:lang w:bidi="ar"/>
        </w:rPr>
      </w:pPr>
    </w:p>
    <w:sectPr>
      <w:pgSz w:w="11906" w:h="16838"/>
      <w:pgMar w:top="2098" w:right="1474" w:bottom="1984" w:left="1587" w:header="851" w:footer="1559" w:gutter="0"/>
      <w:paperSrc/>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adjustRightInd w:val="0"/>
      <w:ind w:left="210" w:leftChars="100" w:right="210" w:rightChars="100"/>
      <w:rPr>
        <w:rStyle w:val="8"/>
        <w:rFonts w:hint="eastAsia" w:ascii="宋体" w:hAnsi="宋体"/>
        <w:sz w:val="28"/>
        <w:szCs w:val="28"/>
      </w:rPr>
    </w:pPr>
    <w:r>
      <w:rPr>
        <w:rStyle w:val="8"/>
        <w:rFonts w:hint="eastAsia" w:ascii="宋体" w:hAnsi="宋体"/>
        <w:sz w:val="28"/>
        <w:szCs w:val="28"/>
      </w:rPr>
      <w:t xml:space="preserve">— </w:t>
    </w: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2</w:t>
    </w:r>
    <w:r>
      <w:rPr>
        <w:rStyle w:val="8"/>
        <w:rFonts w:ascii="宋体" w:hAnsi="宋体"/>
        <w:sz w:val="28"/>
        <w:szCs w:val="28"/>
      </w:rPr>
      <w:fldChar w:fldCharType="end"/>
    </w:r>
    <w:r>
      <w:rPr>
        <w:rStyle w:val="8"/>
        <w:rFonts w:ascii="宋体" w:hAnsi="宋体"/>
        <w:sz w:val="28"/>
        <w:szCs w:val="28"/>
      </w:rPr>
      <w:t xml:space="preserve"> </w:t>
    </w:r>
    <w:r>
      <w:rPr>
        <w:rStyle w:val="8"/>
        <w:rFonts w:hint="eastAsia" w:ascii="宋体" w:hAnsi="宋体"/>
        <w:sz w:val="28"/>
        <w:szCs w:val="28"/>
      </w:rPr>
      <w:t>—</w:t>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adjustRightInd w:val="0"/>
      <w:ind w:left="210" w:leftChars="100" w:right="210" w:rightChars="100"/>
      <w:rPr>
        <w:rStyle w:val="8"/>
        <w:rFonts w:ascii="仿宋" w:hAnsi="仿宋" w:eastAsia="仿宋"/>
        <w:sz w:val="28"/>
        <w:szCs w:val="28"/>
      </w:rPr>
    </w:pPr>
    <w:r>
      <w:rPr>
        <w:rStyle w:val="8"/>
        <w:rFonts w:hint="eastAsia" w:ascii="仿宋" w:hAnsi="仿宋" w:eastAsia="仿宋"/>
        <w:sz w:val="28"/>
        <w:szCs w:val="28"/>
      </w:rPr>
      <w:t>—</w:t>
    </w:r>
    <w:r>
      <w:rPr>
        <w:rStyle w:val="8"/>
        <w:rFonts w:hint="eastAsia" w:ascii="仿宋" w:hAnsi="仿宋" w:eastAsia="仿宋"/>
        <w:sz w:val="28"/>
        <w:szCs w:val="28"/>
        <w:lang w:val="en-US" w:eastAsia="zh-CN"/>
      </w:rPr>
      <w:t xml:space="preserve"> </w:t>
    </w:r>
    <w:r>
      <w:rPr>
        <w:rStyle w:val="8"/>
        <w:rFonts w:ascii="仿宋" w:hAnsi="仿宋" w:eastAsia="仿宋"/>
        <w:sz w:val="28"/>
        <w:szCs w:val="28"/>
      </w:rPr>
      <w:fldChar w:fldCharType="begin"/>
    </w:r>
    <w:r>
      <w:rPr>
        <w:rStyle w:val="8"/>
        <w:rFonts w:ascii="仿宋" w:hAnsi="仿宋" w:eastAsia="仿宋"/>
        <w:sz w:val="28"/>
        <w:szCs w:val="28"/>
      </w:rPr>
      <w:instrText xml:space="preserve">PAGE  </w:instrText>
    </w:r>
    <w:r>
      <w:rPr>
        <w:rStyle w:val="8"/>
        <w:rFonts w:ascii="仿宋" w:hAnsi="仿宋" w:eastAsia="仿宋"/>
        <w:sz w:val="28"/>
        <w:szCs w:val="28"/>
      </w:rPr>
      <w:fldChar w:fldCharType="separate"/>
    </w:r>
    <w:r>
      <w:rPr>
        <w:rStyle w:val="8"/>
        <w:rFonts w:ascii="仿宋" w:hAnsi="仿宋" w:eastAsia="仿宋"/>
        <w:sz w:val="28"/>
        <w:szCs w:val="28"/>
      </w:rPr>
      <w:t>28</w:t>
    </w:r>
    <w:r>
      <w:rPr>
        <w:rStyle w:val="8"/>
        <w:rFonts w:ascii="仿宋" w:hAnsi="仿宋" w:eastAsia="仿宋"/>
        <w:sz w:val="28"/>
        <w:szCs w:val="28"/>
      </w:rPr>
      <w:fldChar w:fldCharType="end"/>
    </w:r>
    <w:r>
      <w:rPr>
        <w:rStyle w:val="8"/>
        <w:rFonts w:hint="eastAsia" w:ascii="仿宋" w:hAnsi="仿宋" w:eastAsia="仿宋"/>
        <w:sz w:val="28"/>
        <w:szCs w:val="28"/>
        <w:lang w:val="en-US" w:eastAsia="zh-CN"/>
      </w:rPr>
      <w:t xml:space="preserve"> </w:t>
    </w:r>
    <w:r>
      <w:rPr>
        <w:rStyle w:val="8"/>
        <w:rFonts w:hint="eastAsia" w:ascii="仿宋" w:hAnsi="仿宋" w:eastAsia="仿宋"/>
        <w:sz w:val="28"/>
        <w:szCs w:val="28"/>
      </w:rPr>
      <w:t>—</w:t>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9E441"/>
    <w:multiLevelType w:val="singleLevel"/>
    <w:tmpl w:val="FFE9E441"/>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72F4DBA"/>
    <w:rsid w:val="3E75210F"/>
    <w:rsid w:val="3EAB0813"/>
    <w:rsid w:val="4D7E576A"/>
    <w:rsid w:val="4EAF86FF"/>
    <w:rsid w:val="521C3169"/>
    <w:rsid w:val="5DAF4E7D"/>
    <w:rsid w:val="5F7F79F9"/>
    <w:rsid w:val="66F9E03B"/>
    <w:rsid w:val="7DEA8761"/>
    <w:rsid w:val="BBDF79E0"/>
    <w:rsid w:val="BEB993A0"/>
    <w:rsid w:val="EFB7200D"/>
    <w:rsid w:val="FCB790D9"/>
    <w:rsid w:val="FE4B9727"/>
    <w:rsid w:val="FFFB11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annotation text"/>
    <w:basedOn w:val="1"/>
    <w:unhideWhenUsed/>
    <w:qFormat/>
    <w:uiPriority w:val="99"/>
    <w:pPr>
      <w:spacing w:line="500" w:lineRule="exact"/>
      <w:jc w:val="left"/>
    </w:pPr>
    <w:rPr>
      <w:rFonts w:ascii="等线" w:hAnsi="等线" w:eastAsia="等线" w:cs="Times New Roman"/>
      <w:sz w:val="28"/>
      <w:szCs w:val="21"/>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8">
    <w:name w:val="page number"/>
    <w:basedOn w:val="7"/>
    <w:qFormat/>
    <w:uiPriority w:val="0"/>
  </w:style>
  <w:style w:type="paragraph" w:styleId="9">
    <w:name w:val="List Paragraph"/>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2.33333333333333</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刘晓霞</cp:lastModifiedBy>
  <dcterms:modified xsi:type="dcterms:W3CDTF">2024-03-26T07:08:27Z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FB15122B6AB2456E9308AC179623B071_13</vt:lpwstr>
  </property>
</Properties>
</file>