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14="http://schemas.microsoft.com/office/word/2010/wordprocessingDrawing" xmlns:v="urn:schemas-microsoft-com:vml" xmlns:w14="http://schemas.microsoft.com/office/word/2010/wordml" xmlns:wpi="http://schemas.microsoft.com/office/word/2010/wordprocessingInk" xmlns:w10="urn:schemas-microsoft-com:office:word"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body>
    <w:p>
      <w:pPr>
        <w:jc w:val="both"/>
        <w:rPr>
          <w:b w:val="1"/>
          <w:sz w:val="28"/>
          <w:lang w:val="en-US" w:eastAsia="zh-CN"/>
          <w:bCs/>
          <w:szCs w:val="36"/>
          <w:rFonts w:hint="default"/>
        </w:rPr>
      </w:pPr>
      <w:r>
        <w:rPr>
          <w:b w:val="1"/>
          <w:sz w:val="28"/>
          <w:lang w:val="en-US" w:eastAsia="zh-CN"/>
          <w:bCs/>
          <w:szCs w:val="36"/>
          <w:rFonts w:hint="eastAsia"/>
        </w:rPr>
        <w:t>附件2                  巡逻车购车参数参数</w:t>
      </w:r>
    </w:p>
    <w:tbl>
      <w:tblPr>
        <w:tblStyle w:val="4"/>
        <w:tblW w:w="93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Layout w:type="fixed"/>
      </w:tblPr>
      <w:tblGrid>
        <w:gridCol w:w="1217.000000"/>
        <w:gridCol w:w="875.000000"/>
        <w:gridCol w:w="1110.000000"/>
        <w:gridCol w:w="6177.000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450" w:hRule="atLeast"/>
          <w:jc w:val="center"/>
        </w:trPr>
        <w:tc>
          <w:tcPr>
            <w:tcW w:w="3202" w:type="dxa"/>
            <w:gridSpan w:val="3"/>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both"/>
              <w:widowControl/>
              <w:suppressLineNumbers w:val="0"/>
              <w:rPr>
                <w:i w:val="0"/>
                <w:u w:val="none"/>
                <w:color w:val="000000"/>
                <w:sz w:val="21"/>
                <w:lang w:val="en-US" w:eastAsia="zh-CN" w:bidi="ar-SA"/>
                <w:iCs w:val="0"/>
                <w:kern w:val="2"/>
                <w:szCs w:val="21"/>
                <w:rFonts w:ascii="宋体" w:hAnsi="宋体" w:eastAsia="宋体" w:cs="宋体" w:hint="eastAsia"/>
              </w:rPr>
            </w:pPr>
            <w:r>
              <w:rPr>
                <w:i w:val="0"/>
                <w:u w:val="none"/>
                <w:color w:val="000000"/>
                <w:sz w:val="21"/>
                <w:lang w:val="en-US" w:eastAsia="zh-CN" w:bidi="ar-SA"/>
                <w:rFonts w:ascii="宋体" w:hAnsi="宋体" w:eastAsia="宋体" w:cs="宋体" w:hint="eastAsia"/>
              </w:rPr>
              <w:t>荷载</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both"/>
              <w:widowControl/>
              <w:suppressLineNumbers w:val="0"/>
              <w:rPr>
                <w:i w:val="0"/>
                <w:u w:val="none"/>
                <w:color w:val="000000"/>
                <w:sz w:val="21"/>
                <w:lang w:val="en-US" w:eastAsia="zh-CN" w:bidi="ar-SA"/>
                <w:iCs w:val="0"/>
                <w:kern w:val="2"/>
                <w:szCs w:val="21"/>
                <w:rFonts w:ascii="宋体" w:hAnsi="宋体" w:eastAsia="宋体" w:cs="宋体" w:hint="default"/>
              </w:rPr>
            </w:pPr>
            <w:r>
              <w:rPr>
                <w:i w:val="0"/>
                <w:u w:val="none"/>
                <w:color w:val="000000"/>
                <w:sz w:val="21"/>
                <w:lang w:val="en-US" w:eastAsia="zh-CN" w:bidi="ar"/>
                <w:iCs w:val="0"/>
                <w:kern w:val="0"/>
                <w:szCs w:val="21"/>
                <w:rFonts w:ascii="宋体" w:hAnsi="宋体" w:eastAsia="宋体" w:cs="宋体" w:hint="eastAsia"/>
              </w:rPr>
              <w:t>10人（带锁封闭式车门：上玻璃下钣金）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restart"/>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尺寸</w:t>
            </w:r>
          </w:p>
        </w:tc>
        <w:tc>
          <w:tcPr>
            <w:tcW w:w="875" w:type="dxa"/>
            <w:vMerge w:val="restart"/>
            <w:vAlign w:val="center"/>
            <w:tcBorders>
              <w:top w:val="single" w:color="000000" w:sz="4" w:space="0"/>
              <w:left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外形</w:t>
            </w:r>
          </w:p>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尺寸</w:t>
            </w:r>
          </w:p>
        </w:tc>
        <w:tc>
          <w:tcPr>
            <w:tcW w:w="1110"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长，mm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≥4615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875" w:type="dxa"/>
            <w:vMerge w:val="continue"/>
            <w:vAlign w:val="center"/>
            <w:tcBorders>
              <w:left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p>
        </w:tc>
        <w:tc>
          <w:tcPr>
            <w:tcW w:w="1110"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color w:val="auto"/>
                <w:sz w:val="24"/>
                <w:rFonts w:ascii="新宋体" w:hAnsi="新宋体" w:eastAsia="新宋体" w:cs="新宋体" w:hint="eastAsia"/>
              </w:rPr>
              <w:t>★</w:t>
            </w:r>
            <w:r>
              <w:rPr>
                <w:i w:val="0"/>
                <w:u w:val="none"/>
                <w:color w:val="000000"/>
                <w:sz w:val="21"/>
                <w:lang w:val="en-US" w:eastAsia="zh-CN" w:bidi="ar"/>
                <w:iCs w:val="0"/>
                <w:kern w:val="0"/>
                <w:szCs w:val="21"/>
                <w:rFonts w:ascii="宋体" w:hAnsi="宋体" w:eastAsia="宋体" w:cs="宋体" w:hint="eastAsia"/>
              </w:rPr>
              <w:t>宽，mm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≥1600(不含后视镜）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875" w:type="dxa"/>
            <w:vMerge w:val="continue"/>
            <w:vAlign w:val="center"/>
            <w:tcBorders>
              <w:left w:val="single" w:color="000000" w:sz="4" w:space="0"/>
              <w:bottom w:val="single" w:color="000000" w:sz="4" w:space="0"/>
              <w:right w:val="single" w:color="000000" w:sz="4" w:space="0"/>
            </w:tcBorders>
            <w:shd w:val="clear" w:color="auto" w:fill="FFFFFF" w:themeFill="background1"/>
          </w:tcPr>
          <w:p>
            <w:pPr>
              <w:jc w:val="both"/>
              <w:rPr>
                <w:i w:val="0"/>
                <w:u w:val="none"/>
                <w:color w:val="000000"/>
                <w:sz w:val="21"/>
                <w:iCs w:val="0"/>
                <w:szCs w:val="21"/>
                <w:rFonts w:ascii="宋体" w:hAnsi="宋体" w:eastAsia="宋体" w:cs="宋体" w:hint="eastAsia"/>
              </w:rPr>
            </w:pPr>
          </w:p>
        </w:tc>
        <w:tc>
          <w:tcPr>
            <w:tcW w:w="1110"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高，mm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≥2090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轴距，mm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≥3235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地板离地高度，mm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iCs w:val="0"/>
                <w:szCs w:val="21"/>
                <w:rFonts w:ascii="宋体" w:hAnsi="宋体" w:eastAsia="宋体" w:cs="宋体" w:hint="default"/>
              </w:rPr>
            </w:pPr>
            <w:r>
              <w:rPr>
                <w:i w:val="0"/>
                <w:u w:val="none"/>
                <w:color w:val="000000"/>
                <w:sz w:val="21"/>
                <w:lang w:val="en-US" w:eastAsia="zh-CN" w:bidi="ar"/>
                <w:iCs w:val="0"/>
                <w:kern w:val="0"/>
                <w:szCs w:val="21"/>
                <w:rFonts w:ascii="宋体" w:hAnsi="宋体" w:eastAsia="宋体" w:cs="宋体" w:hint="eastAsia"/>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后桥</w:t>
            </w: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型式</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整体式钢制驱动桥，铝合金主减速器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制动系</w:t>
            </w: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型式</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前盘后鼓，液压双回路双腔串联式+电动真空助力式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转向器</w:t>
            </w: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型式</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齿轮齿条式，十字轴万向节与挠性接头+转向助力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restart"/>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车身及附件</w:t>
            </w: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color w:val="auto"/>
                <w:sz w:val="24"/>
                <w:rFonts w:ascii="新宋体" w:hAnsi="新宋体" w:eastAsia="新宋体" w:cs="新宋体" w:hint="eastAsia"/>
              </w:rPr>
              <w:t>★</w:t>
            </w:r>
            <w:r>
              <w:rPr>
                <w:i w:val="0"/>
                <w:u w:val="none"/>
                <w:color w:val="000000"/>
                <w:sz w:val="21"/>
                <w:lang w:val="en-US" w:eastAsia="zh-CN" w:bidi="ar"/>
                <w:iCs w:val="0"/>
                <w:kern w:val="0"/>
                <w:szCs w:val="21"/>
                <w:rFonts w:ascii="宋体" w:hAnsi="宋体" w:eastAsia="宋体" w:cs="宋体" w:hint="eastAsia"/>
              </w:rPr>
              <w:t>车架</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整车球笼式结构，阴极电泳防锈处理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iCs w:val="0"/>
                <w:szCs w:val="21"/>
                <w:rFonts w:ascii="宋体" w:hAnsi="宋体" w:eastAsia="宋体" w:cs="宋体" w:hint="eastAsia"/>
              </w:rPr>
            </w:pPr>
            <w:r>
              <w:rPr>
                <w:color w:val="auto"/>
                <w:sz w:val="24"/>
                <w:rFonts w:ascii="新宋体" w:hAnsi="新宋体" w:eastAsia="新宋体" w:cs="新宋体" w:hint="eastAsia"/>
              </w:rPr>
              <w:t>★</w:t>
            </w:r>
            <w:r>
              <w:rPr>
                <w:i w:val="0"/>
                <w:u w:val="none"/>
                <w:color w:val="auto"/>
                <w:sz w:val="21"/>
                <w:lang w:val="en-US" w:eastAsia="zh-CN" w:bidi="ar"/>
                <w:iCs w:val="0"/>
                <w:kern w:val="0"/>
                <w:szCs w:val="21"/>
                <w:rFonts w:ascii="宋体" w:hAnsi="宋体" w:eastAsia="宋体" w:cs="宋体" w:hint="eastAsia"/>
              </w:rPr>
              <w:t>车身</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iCs w:val="0"/>
                <w:szCs w:val="21"/>
                <w:rFonts w:ascii="宋体" w:hAnsi="宋体" w:eastAsia="宋体" w:cs="宋体" w:hint="eastAsia"/>
              </w:rPr>
            </w:pPr>
            <w:r>
              <w:rPr>
                <w:i w:val="0"/>
                <w:u w:val="none"/>
                <w:color w:val="auto"/>
                <w:sz w:val="21"/>
                <w:lang w:val="en-US" w:eastAsia="zh-CN" w:bidi="ar"/>
                <w:iCs w:val="0"/>
                <w:kern w:val="0"/>
                <w:szCs w:val="21"/>
                <w:rFonts w:ascii="宋体" w:hAnsi="宋体" w:eastAsia="宋体" w:cs="宋体" w:hint="eastAsia"/>
              </w:rPr>
              <w:t>钢骨架车身，钣金前后围+吸塑前保险杠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lang w:val="en-US" w:eastAsia="zh-CN" w:bidi="ar"/>
                <w:iCs w:val="0"/>
                <w:kern w:val="0"/>
                <w:szCs w:val="21"/>
                <w:rFonts w:ascii="宋体" w:hAnsi="宋体" w:eastAsia="宋体" w:cs="宋体" w:hint="eastAsia"/>
              </w:rPr>
            </w:pPr>
            <w:r>
              <w:rPr>
                <w:color w:val="auto"/>
                <w:sz w:val="24"/>
                <w:rFonts w:ascii="新宋体" w:hAnsi="新宋体" w:eastAsia="新宋体" w:cs="新宋体" w:hint="eastAsia"/>
              </w:rPr>
              <w:t>★</w:t>
            </w:r>
            <w:r>
              <w:rPr>
                <w:i w:val="0"/>
                <w:u w:val="none"/>
                <w:color w:val="auto"/>
                <w:sz w:val="21"/>
                <w:lang w:val="en-US" w:eastAsia="zh-CN" w:bidi="ar"/>
                <w:iCs w:val="0"/>
                <w:kern w:val="0"/>
                <w:szCs w:val="21"/>
                <w:rFonts w:ascii="宋体" w:hAnsi="宋体" w:eastAsia="宋体" w:cs="宋体" w:hint="eastAsia"/>
              </w:rPr>
              <w:t>顶棚</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lang w:val="en-US" w:eastAsia="zh-CN" w:bidi="ar"/>
                <w:iCs w:val="0"/>
                <w:kern w:val="0"/>
                <w:szCs w:val="21"/>
                <w:rFonts w:ascii="宋体" w:hAnsi="宋体" w:eastAsia="宋体" w:cs="宋体" w:hint="eastAsia"/>
              </w:rPr>
            </w:pPr>
            <w:r>
              <w:rPr>
                <w:i w:val="0"/>
                <w:u w:val="none"/>
                <w:color w:val="auto"/>
                <w:sz w:val="21"/>
                <w:lang w:val="en-US" w:eastAsia="zh-CN" w:bidi="ar"/>
                <w:iCs w:val="0"/>
                <w:kern w:val="0"/>
                <w:szCs w:val="21"/>
                <w:rFonts w:ascii="宋体" w:hAnsi="宋体" w:eastAsia="宋体" w:cs="宋体" w:hint="eastAsia"/>
              </w:rPr>
              <w:t>一体式顶棚（无拼接，无焊接），设计导雨槽，提供图片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lang w:val="en-US" w:eastAsia="zh-CN" w:bidi="ar"/>
                <w:iCs w:val="0"/>
                <w:kern w:val="0"/>
                <w:szCs w:val="21"/>
                <w:rFonts w:ascii="宋体" w:hAnsi="宋体" w:eastAsia="宋体" w:cs="宋体" w:hint="eastAsia"/>
              </w:rPr>
            </w:pPr>
            <w:r>
              <w:rPr>
                <w:color w:val="auto"/>
                <w:sz w:val="24"/>
                <w:rFonts w:ascii="新宋体" w:hAnsi="新宋体" w:eastAsia="新宋体" w:cs="新宋体" w:hint="eastAsia"/>
              </w:rPr>
              <w:t>★</w:t>
            </w:r>
            <w:r>
              <w:rPr>
                <w:i w:val="0"/>
                <w:u w:val="none"/>
                <w:color w:val="auto"/>
                <w:sz w:val="21"/>
                <w:lang w:val="en-US" w:eastAsia="zh-CN" w:bidi="ar"/>
                <w:iCs w:val="0"/>
                <w:kern w:val="0"/>
                <w:szCs w:val="21"/>
                <w:rFonts w:ascii="宋体" w:hAnsi="宋体" w:eastAsia="宋体" w:cs="宋体" w:hint="eastAsia"/>
              </w:rPr>
              <w:t>仪表台</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auto"/>
                <w:sz w:val="21"/>
                <w:lang w:val="en-US" w:eastAsia="zh-CN" w:bidi="ar"/>
                <w:iCs w:val="0"/>
                <w:kern w:val="0"/>
                <w:szCs w:val="21"/>
                <w:rFonts w:ascii="宋体" w:hAnsi="宋体" w:eastAsia="宋体" w:cs="宋体" w:hint="eastAsia"/>
              </w:rPr>
            </w:pPr>
            <w:r>
              <w:rPr>
                <w:i w:val="0"/>
                <w:u w:val="none"/>
                <w:color w:val="auto"/>
                <w:sz w:val="21"/>
                <w:lang w:val="en-US" w:eastAsia="zh-CN" w:bidi="ar"/>
                <w:iCs w:val="0"/>
                <w:kern w:val="0"/>
                <w:szCs w:val="21"/>
                <w:rFonts w:ascii="宋体" w:hAnsi="宋体" w:eastAsia="宋体" w:cs="宋体" w:hint="eastAsia"/>
              </w:rPr>
              <w:t>汽车级吸塑仪表台，提供图片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轮胎</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175/75R14C轮胎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座椅</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横排独立或联体软皮座椅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restart"/>
            <w:vAlign w:val="center"/>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电气系</w:t>
            </w: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eastAsia="zh-CN"/>
                <w:iCs w:val="0"/>
                <w:szCs w:val="21"/>
                <w:rFonts w:ascii="宋体" w:hAnsi="宋体" w:eastAsia="宋体" w:cs="宋体" w:hint="eastAsia"/>
              </w:rPr>
            </w:pPr>
            <w:r>
              <w:rPr>
                <w:i w:val="0"/>
                <w:u w:val="none"/>
                <w:color w:val="000000"/>
                <w:sz w:val="21"/>
                <w:lang w:eastAsia="zh-CN"/>
                <w:iCs w:val="0"/>
                <w:szCs w:val="21"/>
                <w:rFonts w:ascii="宋体" w:hAnsi="宋体" w:eastAsia="宋体" w:cs="宋体" w:hint="eastAsia"/>
              </w:rPr>
              <w:t>电机功率</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iCs w:val="0"/>
                <w:szCs w:val="21"/>
                <w:rFonts w:ascii="宋体" w:hAnsi="宋体" w:eastAsia="宋体" w:cs="宋体" w:hint="default"/>
              </w:rPr>
            </w:pPr>
            <w:r>
              <w:rPr>
                <w:i w:val="0"/>
                <w:u w:val="none"/>
                <w:color w:val="000000"/>
                <w:sz w:val="21"/>
                <w:lang w:val="en-US" w:eastAsia="zh-CN" w:bidi="ar"/>
                <w:iCs w:val="0"/>
                <w:kern w:val="0"/>
                <w:szCs w:val="21"/>
                <w:rFonts w:ascii="宋体" w:hAnsi="宋体" w:eastAsia="宋体" w:cs="宋体" w:hint="eastAsia"/>
              </w:rPr>
              <w:t>≥</w:t>
            </w:r>
            <w:r>
              <w:rPr>
                <w:i w:val="0"/>
                <w:u w:val="none"/>
                <w:color w:val="000000"/>
                <w:sz w:val="21"/>
                <w:lang w:val="en-US" w:eastAsia="zh-CN"/>
                <w:iCs w:val="0"/>
                <w:szCs w:val="21"/>
                <w:rFonts w:ascii="宋体" w:hAnsi="宋体" w:eastAsia="宋体" w:cs="宋体" w:hint="eastAsia"/>
              </w:rPr>
              <w:t>10KW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left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lang w:val="en-US" w:eastAsia="zh-CN" w:bidi="ar"/>
                <w:iCs w:val="0"/>
                <w:kern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SA"/>
                <w:iCs w:val="0"/>
                <w:kern w:val="2"/>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动力蓄电池</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SA"/>
                <w:iCs w:val="0"/>
                <w:kern w:val="2"/>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72V 220AH 免维护蓄电池组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381" w:hRule="atLeast"/>
          <w:jc w:val="center"/>
        </w:trPr>
        <w:tc>
          <w:tcPr>
            <w:tcW w:w="1217" w:type="dxa"/>
            <w:vMerge w:val="continue"/>
            <w:vAlign w:val="center"/>
            <w:tcBorders>
              <w:left w:val="single" w:color="000000" w:sz="4" w:space="0"/>
              <w:right w:val="single" w:color="000000" w:sz="4" w:space="0"/>
            </w:tcBorders>
            <w:shd w:val="clear" w:color="auto" w:fill="auto"/>
          </w:tcPr>
          <w:p>
            <w:pPr>
              <w:keepNext w:val="0"/>
              <w:keepLines w:val="0"/>
              <w:jc w:val="center"/>
              <w:widowControl/>
              <w:suppressLineNumbers w:val="0"/>
              <w:rPr>
                <w:i w:val="0"/>
                <w:u w:val="none"/>
                <w:color w:val="000000"/>
                <w:sz w:val="21"/>
                <w:lang w:val="en-US" w:eastAsia="zh-CN" w:bidi="ar"/>
                <w:iCs w:val="0"/>
                <w:kern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充电器</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车载智能充电器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795" w:hRule="atLeast"/>
          <w:jc w:val="center"/>
        </w:trPr>
        <w:tc>
          <w:tcPr>
            <w:tcW w:w="1217" w:type="dxa"/>
            <w:vMerge w:val="continue"/>
            <w:vAlign w:val="center"/>
            <w:tcBorders>
              <w:top w:val="single" w:color="000000" w:sz="4" w:space="0"/>
              <w:left w:val="single" w:color="000000" w:sz="4" w:space="0"/>
              <w:bottom w:val="single" w:color="000000" w:sz="4" w:space="0"/>
              <w:right w:val="single" w:color="000000" w:sz="4" w:space="0"/>
            </w:tcBorders>
            <w:shd w:val="clear" w:color="auto" w:fill="auto"/>
          </w:tcPr>
          <w:p>
            <w:pPr>
              <w:jc w:val="center"/>
              <w:rPr>
                <w:i w:val="0"/>
                <w:u w:val="none"/>
                <w:color w:val="000000"/>
                <w:sz w:val="21"/>
                <w:iCs w:val="0"/>
                <w:szCs w:val="21"/>
                <w:rFonts w:ascii="宋体" w:hAnsi="宋体" w:eastAsia="宋体" w:cs="宋体" w:hint="eastAsia"/>
              </w:rPr>
            </w:pPr>
          </w:p>
        </w:tc>
        <w:tc>
          <w:tcPr>
            <w:tcW w:w="1985" w:type="dxa"/>
            <w:gridSpan w:val="2"/>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照明、信号</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前组合灯、后转向灯、后位灯、侧转向灯、制动灯、倒车灯、危险警报灯、牌照灯、组合仪表、喇叭等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270" w:hRule="atLeast"/>
          <w:jc w:val="center"/>
        </w:trPr>
        <w:tc>
          <w:tcPr>
            <w:tcW w:w="3202" w:type="dxa"/>
            <w:gridSpan w:val="3"/>
            <w:vAlign w:val="center"/>
            <w:tcBorders>
              <w:top w:val="single" w:color="000000" w:sz="4" w:space="0"/>
              <w:left w:val="single" w:color="000000" w:sz="4" w:space="0"/>
              <w:bottom w:val="single" w:color="000000" w:sz="4" w:space="0"/>
              <w:right w:val="single" w:color="000000" w:sz="4" w:space="0"/>
            </w:tcBorders>
            <w:shd w:val="clear" w:color="auto" w:fill="FFFFFF" w:themeFill="background1"/>
            <w:noWrap/>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其他</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jc w:val="both"/>
              <w:rPr>
                <w:i w:val="0"/>
                <w:u w:val="none"/>
                <w:color w:val="000000"/>
                <w:sz w:val="21"/>
                <w:lang w:eastAsia="zh-CN"/>
                <w:iCs w:val="0"/>
                <w:szCs w:val="21"/>
                <w:rFonts w:ascii="宋体" w:hAnsi="宋体" w:eastAsia="宋体" w:cs="宋体" w:hint="eastAsia"/>
              </w:rPr>
            </w:pPr>
            <w:r>
              <w:rPr>
                <w:i w:val="0"/>
                <w:u w:val="none"/>
                <w:color w:val="000000"/>
                <w:sz w:val="21"/>
                <w:lang w:eastAsia="zh-CN"/>
                <w:iCs w:val="0"/>
                <w:szCs w:val="21"/>
                <w:rFonts w:ascii="宋体" w:hAnsi="宋体" w:eastAsia="宋体" w:cs="宋体" w:hint="eastAsia"/>
              </w:rPr>
              <w:t>花纹铝底板、</w:t>
            </w:r>
            <w:r>
              <w:rPr>
                <w:i w:val="0"/>
                <w:u w:val="none"/>
                <w:color w:val="000000"/>
                <w:sz w:val="21"/>
                <w:lang w:val="en-US" w:eastAsia="zh-CN" w:bidi="ar"/>
                <w:iCs w:val="0"/>
                <w:kern w:val="0"/>
                <w:szCs w:val="21"/>
                <w:rFonts w:ascii="宋体" w:hAnsi="宋体" w:eastAsia="宋体" w:cs="宋体" w:hint="eastAsia"/>
              </w:rPr>
              <w:t>收音机+USB接口+扬声器（2个）、警灯总成（喊话器）、灭火器支架，随车工具。赠送：灯带、备胎、千斤顶。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270" w:hRule="atLeast"/>
          <w:jc w:val="center"/>
        </w:trPr>
        <w:tc>
          <w:tcPr>
            <w:tcW w:w="3202" w:type="dxa"/>
            <w:gridSpan w:val="3"/>
            <w:vAlign w:val="center"/>
            <w:tcBorders>
              <w:top w:val="single" w:color="000000" w:sz="4" w:space="0"/>
              <w:left w:val="single" w:color="000000" w:sz="4" w:space="0"/>
              <w:bottom w:val="single" w:color="000000" w:sz="4" w:space="0"/>
              <w:right w:val="single" w:color="000000" w:sz="4" w:space="0"/>
            </w:tcBorders>
            <w:shd w:val="clear" w:color="auto" w:fill="FFFFFF" w:themeFill="background1"/>
            <w:noWrap/>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最高车速，㎞/h</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270" w:hRule="atLeast"/>
          <w:jc w:val="center"/>
        </w:trPr>
        <w:tc>
          <w:tcPr>
            <w:tcW w:w="3202" w:type="dxa"/>
            <w:gridSpan w:val="3"/>
            <w:vAlign w:val="center"/>
            <w:tcBorders>
              <w:top w:val="single" w:color="000000" w:sz="4" w:space="0"/>
              <w:left w:val="single" w:color="000000" w:sz="4" w:space="0"/>
              <w:bottom w:val="single" w:color="000000" w:sz="4" w:space="0"/>
              <w:right w:val="single" w:color="000000" w:sz="4" w:space="0"/>
            </w:tcBorders>
            <w:shd w:val="clear" w:color="auto" w:fill="FFFFFF" w:themeFill="background1"/>
            <w:noWrap/>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最大爬坡度，（°/%）</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270" w:hRule="atLeast"/>
          <w:jc w:val="center"/>
        </w:trPr>
        <w:tc>
          <w:tcPr>
            <w:tcW w:w="3202" w:type="dxa"/>
            <w:gridSpan w:val="3"/>
            <w:vAlign w:val="center"/>
            <w:tcBorders>
              <w:top w:val="single" w:color="000000" w:sz="4" w:space="0"/>
              <w:left w:val="single" w:color="000000" w:sz="4" w:space="0"/>
              <w:bottom w:val="single" w:color="000000" w:sz="4" w:space="0"/>
              <w:right w:val="single" w:color="000000" w:sz="4" w:space="0"/>
            </w:tcBorders>
            <w:shd w:val="clear" w:color="auto" w:fill="FFFFFF" w:themeFill="background1"/>
            <w:noWrap/>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平路续驶里程，km</w:t>
            </w:r>
          </w:p>
        </w:tc>
        <w:tc>
          <w:tcPr>
            <w:tcW w:w="6177" w:type="dxa"/>
            <w:vAlign w:val="center"/>
            <w:tcBorders>
              <w:top w:val="single" w:color="000000" w:sz="4" w:space="0"/>
              <w:left w:val="single" w:color="000000" w:sz="4" w:space="0"/>
              <w:bottom w:val="single" w:color="000000" w:sz="4" w:space="0"/>
              <w:right w:val="single" w:color="000000" w:sz="4" w:space="0"/>
            </w:tcBorders>
            <w:shd w:val="clear" w:color="auto" w:fill="FFFFFF" w:themeFill="background1"/>
          </w:tcPr>
          <w:p>
            <w:pPr>
              <w:keepNext w:val="0"/>
              <w:keepLines w:val="0"/>
              <w:jc w:val="both"/>
              <w:widowControl/>
              <w:suppressLineNumbers w:val="0"/>
              <w:rPr>
                <w:i w:val="0"/>
                <w:u w:val="none"/>
                <w:color w:val="000000"/>
                <w:sz w:val="21"/>
                <w:iCs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522" w:hRule="atLeast"/>
          <w:jc w:val="center"/>
        </w:trPr>
        <w:tc>
          <w:tcPr>
            <w:tcW w:w="9379" w:type="dxa"/>
            <w:gridSpan w:val="4"/>
            <w:vAlign w:val="center"/>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jc w:val="both"/>
              <w:widowControl/>
              <w:suppressLineNumbers w:val="0"/>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其他：</w:t>
            </w:r>
          </w:p>
          <w:p>
            <w:pPr>
              <w:keepNext w:val="0"/>
              <w:keepLines w:val="0"/>
              <w:jc w:val="both"/>
              <w:widowControl/>
              <w:suppressLineNumbers w:val="0"/>
              <w:numPr>
                <w:ilvl w:val="0"/>
                <w:numId w:val="0"/>
              </w:numPr>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1.需提供产品厂家宣传资料以及投标产品同座位数型式试验报告做为技术证明资料；</w:t>
            </w:r>
          </w:p>
          <w:p>
            <w:pPr>
              <w:keepNext w:val="0"/>
              <w:keepLines w:val="0"/>
              <w:jc w:val="both"/>
              <w:widowControl/>
              <w:suppressLineNumbers w:val="0"/>
              <w:numPr>
                <w:ilvl w:val="0"/>
                <w:numId w:val="0"/>
              </w:numPr>
              <w:rPr>
                <w:i w:val="0"/>
                <w:u w:val="none"/>
                <w:color w:val="000000"/>
                <w:sz w:val="21"/>
                <w:lang w:val="en-US" w:eastAsia="zh-CN" w:bidi="ar"/>
                <w:iCs w:val="0"/>
                <w:kern w:val="0"/>
                <w:szCs w:val="21"/>
                <w:rFonts w:ascii="宋体" w:hAnsi="宋体" w:eastAsia="宋体" w:cs="宋体" w:hint="eastAsia"/>
              </w:rPr>
            </w:pPr>
            <w:r>
              <w:rPr>
                <w:i w:val="0"/>
                <w:u w:val="none"/>
                <w:color w:val="000000"/>
                <w:sz w:val="21"/>
                <w:lang w:val="en-US" w:eastAsia="zh-CN" w:bidi="ar"/>
                <w:iCs w:val="0"/>
                <w:kern w:val="0"/>
                <w:szCs w:val="21"/>
                <w:rFonts w:ascii="宋体" w:hAnsi="宋体" w:eastAsia="宋体" w:cs="宋体" w:hint="eastAsia"/>
              </w:rPr>
              <w:t>2.标</w:t>
            </w:r>
            <w:r>
              <w:rPr>
                <w:color w:val="auto"/>
                <w:sz w:val="24"/>
                <w:rFonts w:ascii="新宋体" w:hAnsi="新宋体" w:eastAsia="新宋体" w:cs="新宋体" w:hint="eastAsia"/>
              </w:rPr>
              <w:t>★</w:t>
            </w:r>
            <w:r>
              <w:rPr>
                <w:i w:val="0"/>
                <w:u w:val="none"/>
                <w:color w:val="000000"/>
                <w:sz w:val="21"/>
                <w:lang w:val="en-US" w:eastAsia="zh-CN" w:bidi="ar"/>
                <w:iCs w:val="0"/>
                <w:kern w:val="0"/>
                <w:szCs w:val="21"/>
                <w:rFonts w:ascii="宋体" w:hAnsi="宋体" w:eastAsia="宋体" w:cs="宋体" w:hint="eastAsia"/>
              </w:rPr>
              <w:t>项为实质性要求，不允许偏离，其余项允许正偏离；</w:t>
            </w:r>
          </w:p>
          <w:p>
            <w:pPr>
              <w:keepNext w:val="0"/>
              <w:keepLines w:val="0"/>
              <w:jc w:val="both"/>
              <w:widowControl/>
              <w:suppressLineNumbers w:val="0"/>
              <w:numPr>
                <w:ilvl w:val="0"/>
                <w:numId w:val="0"/>
              </w:numPr>
              <w:rPr>
                <w:i w:val="0"/>
                <w:u w:val="none"/>
                <w:color w:val="000000"/>
                <w:sz w:val="21"/>
                <w:lang w:val="en-US" w:eastAsia="zh-CN" w:bidi="ar"/>
                <w:iCs w:val="0"/>
                <w:kern w:val="0"/>
                <w:szCs w:val="21"/>
                <w:rFonts w:ascii="宋体" w:hAnsi="宋体" w:eastAsia="宋体" w:cs="宋体" w:hint="default"/>
              </w:rPr>
            </w:pPr>
            <w:bookmarkStart w:id="0" w:name="_GoBack"/>
            <w:bookmarkEnd w:id="0"/>
            <w:r>
              <w:rPr>
                <w:i w:val="0"/>
                <w:u w:val="none"/>
                <w:color w:val="000000"/>
                <w:sz w:val="21"/>
                <w:lang w:val="en-US" w:eastAsia="zh-CN" w:bidi="ar"/>
                <w:iCs w:val="0"/>
                <w:kern w:val="0"/>
                <w:szCs w:val="21"/>
                <w:rFonts w:ascii="宋体" w:hAnsi="宋体" w:eastAsia="宋体" w:cs="宋体" w:hint="eastAsia"/>
              </w:rPr>
              <w:t>3.提供产品多角度设计图，全方位展示产品</w:t>
            </w:r>
            <w:r>
              <w:rPr>
                <w:i w:val="0"/>
                <w:u w:val="none"/>
                <w:color w:val="000000"/>
                <w:sz w:val="21"/>
                <w:lang w:val="en-US" w:eastAsia="zh-CN" w:bidi="ar"/>
                <w:iCs w:val="0"/>
                <w:kern w:val="0"/>
                <w:szCs w:val="21"/>
                <w:rFonts w:ascii="宋体" w:hAnsi="宋体" w:eastAsia="宋体" w:cs="宋体" w:hint="eastAsia"/>
              </w:rPr>
              <w:t>；</w:t>
            </w:r>
          </w:p>
          <w:p>
            <w:pPr>
              <w:keepNext w:val="0"/>
              <w:keepLines w:val="0"/>
              <w:jc w:val="both"/>
              <w:widowControl/>
              <w:suppressLineNumbers w:val="0"/>
              <w:numPr>
                <w:ilvl w:val="0"/>
                <w:numId w:val="0"/>
              </w:numPr>
              <w:rPr>
                <w:i w:val="0"/>
                <w:u w:val="none"/>
                <w:color w:val="000000"/>
                <w:sz w:val="21"/>
                <w:lang w:val="en-US" w:eastAsia="zh-CN" w:bidi="ar"/>
                <w:iCs w:val="0"/>
                <w:kern w:val="0"/>
                <w:szCs w:val="21"/>
                <w:rFonts w:ascii="宋体" w:hAnsi="宋体" w:eastAsia="宋体" w:cs="宋体" w:hint="default"/>
              </w:rPr>
            </w:pPr>
            <w:r>
              <w:rPr>
                <w:color w:val="000000"/>
                <w:sz w:val="21"/>
                <w:lang w:val="en-US" w:eastAsia="zh-CN"/>
                <w:szCs w:val="21"/>
                <w:rFonts w:ascii="新宋体" w:hAnsi="新宋体" w:eastAsia="新宋体" w:cs="新宋体" w:hint="eastAsia"/>
              </w:rPr>
              <w:t>4.</w:t>
            </w:r>
            <w:r>
              <w:rPr>
                <w:color w:val="000000"/>
                <w:sz w:val="21"/>
                <w:szCs w:val="21"/>
                <w:rFonts w:ascii="新宋体" w:hAnsi="新宋体" w:eastAsia="新宋体" w:cs="新宋体" w:hint="eastAsia"/>
              </w:rPr>
              <w:t>车辆将严格按投标文件验收,若实车与投标文件不符,采购方有权拒绝接收车辆,并追究违约单位相关法律责任。</w:t>
            </w:r>
          </w:p>
        </w:tc>
      </w:tr>
    </w:tbl>
    <w:p>
      <w:pPr>
        <w:jc w:val="center"/>
        <w:rPr>
          <w:b w:val="1"/>
          <w:sz w:val="24"/>
          <w:lang w:val="en-US" w:eastAsia="zh-CN"/>
          <w:bCs/>
          <w:szCs w:val="24"/>
          <w:rFonts w:hint="default"/>
        </w:rPr>
      </w:pPr>
    </w:p>
    <w:sectPr>
      <w:footerReference r:id="rId4" w:type="default"/>
      <w:docGrid w:type="lines" w:linePitch="312" w:charSpace="0"/>
      <w:pgSz w:w="11906" w:h="16838"/>
      <w:pgMar w:top="1440" w:right="1800" w:bottom="1440" w:left="1800" w:header="851" w:footer="992" w:gutter="0"/>
      <w:pgBorders>
        <w:top w:val="none" w:sz="0" w:space="0"/>
        <w:left w:val="none" w:sz="0" w:space="0"/>
        <w:bottom w:val="none" w:sz="0" w:space="0"/>
        <w:right w:val="none" w:sz="0" w:space="0"/>
      </w:pgBorders>
      <w:cols w:space="425" w:num="1"/>
    </w:sectPr>
  </w:body>
</w:document>
</file>

<file path=word/fontTable.xml><?xml version="1.0" encoding="utf-8"?>
<w:fonts xmlns:mc="http://schemas.openxmlformats.org/markup-compatibility/2006" xmlns:r="http://schemas.openxmlformats.org/officeDocument/2006/relationships" xmlns:w14="http://schemas.microsoft.com/office/word/2010/wordml" xmlns:w="http://schemas.openxmlformats.org/wordprocessingml/2006/main"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14="http://schemas.microsoft.com/office/word/2010/wordprocessingDrawing" xmlns:v="urn:schemas-microsoft-com:vml" xmlns:w10="urn:schemas-microsoft-com:office:word" xmlns:wpi="http://schemas.microsoft.com/office/word/2010/wordprocessingInk"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mc:AlternateContent>
    </w:r>
  </w:p>
</w:ftr>
</file>

<file path=word/settings.xml><?xml version="1.0" encoding="utf-8"?>
<w:settings xmlns:mc="http://schemas.openxmlformats.org/markup-compatibility/2006" xmlns:o="urn:schemas-microsoft-com:office:office" xmlns:w="http://schemas.openxmlformats.org/wordprocessingml/2006/main" xmlns:m="http://schemas.openxmlformats.org/officeDocument/2006/math" xmlns:w10="urn:schemas-microsoft-com:office:word" xmlns:wpsCustomData="http://www.wps.cn/officeDocument/2013/wpsCustomData" xmlns:v="urn:schemas-microsoft-com:vml" xmlns:sl="http://schemas.openxmlformats.org/schemaLibrary/2006/main" xmlns:r="http://schemas.openxmlformats.org/officeDocument/2006/relationships" xmlns:w14="http://schemas.microsoft.com/office/word/2010/wordml" mc:Ignorable="w14">
  <w:bordersDoNotSurroundHeader/>
  <w:bordersDoNotSurroundFooter/>
  <w:defaultTabStop w:val="420"/>
  <w:drawingGridVerticalSpacing w:val="156"/>
  <w:displayHorizontalDrawingGridEvery w:val="1"/>
  <w:displayVerticalDrawingGridEvery w:val="1"/>
  <w:characterSpacingControl w:val="compressPunctuation"/>
  <w:zoom w:percent="11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00000000"/>
    <w:rsid w:val="038E5DCD"/>
    <w:rsid w:val="03B354E5"/>
    <w:rsid w:val="04694885"/>
    <w:rsid w:val="06B069BA"/>
    <w:rsid w:val="0AAC240E"/>
    <w:rsid w:val="0B233A8D"/>
    <w:rsid w:val="0C7D0AFA"/>
    <w:rsid w:val="0E6E2301"/>
    <w:rsid w:val="12380A2C"/>
    <w:rsid w:val="153E3BDE"/>
    <w:rsid w:val="15D8055B"/>
    <w:rsid w:val="16E557D1"/>
    <w:rsid w:val="1AC85DBF"/>
    <w:rsid w:val="1D682B0D"/>
    <w:rsid w:val="1FB807D1"/>
    <w:rsid w:val="20902089"/>
    <w:rsid w:val="25421E95"/>
    <w:rsid w:val="25F806CE"/>
    <w:rsid w:val="28887F38"/>
    <w:rsid w:val="28987F69"/>
    <w:rsid w:val="2F522CD5"/>
    <w:rsid w:val="36854D20"/>
    <w:rsid w:val="38371336"/>
    <w:rsid w:val="3D610BC0"/>
    <w:rsid w:val="3DF76918"/>
    <w:rsid w:val="3F312907"/>
    <w:rsid w:val="41CF4526"/>
    <w:rsid w:val="41ED0EEF"/>
    <w:rsid w:val="4EEA5571"/>
    <w:rsid w:val="4F3321CC"/>
    <w:rsid w:val="4F772DDD"/>
    <w:rsid w:val="543640C4"/>
    <w:rsid w:val="59AC3E0C"/>
    <w:rsid w:val="61377D36"/>
    <w:rsid w:val="653702FF"/>
    <w:rsid w:val="662C6A38"/>
    <w:rsid w:val="6A242EE4"/>
    <w:rsid w:val="6DCF3167"/>
    <w:rsid w:val="6EF80849"/>
    <w:rsid w:val="71477D54"/>
    <w:rsid w:val="72CF4A48"/>
    <w:rsid w:val="7B154811"/>
    <w:rsid w:val="7B684513"/>
    <w:rsid w:val="7BDD16E9"/>
    <w:rsid w:val="7D3D191A"/>
    <w:rsid w:val="7FBF303C"/>
  </w:rsids>
  <m:mathPr>
    <m:mathFont val="Cambria Math"/>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mc="http://schemas.openxmlformats.org/markup-compatibility/2006" xmlns:o="urn:schemas-microsoft-com:office:office" xmlns:w="http://schemas.openxmlformats.org/wordprocessingml/2006/main" xmlns:m="http://schemas.openxmlformats.org/officeDocument/2006/math" xmlns:v="urn:schemas-microsoft-com:vml" xmlns:sl="http://schemas.openxmlformats.org/schemaLibrary/2006/main" xmlns:r="http://schemas.openxmlformats.org/officeDocument/2006/relationships" xmlns:w14="http://schemas.microsoft.com/office/word/2010/wordml" xmlns:w10="urn:schemas-microsoft-com:office:word" xmlns:wpsCustomData="http://www.wps.cn/officeDocument/2013/wpsCustomData"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uiPriority="0" w:semiHidden="0" w:unhideWhenUsed="0"/>
    <w:lsdException w:name="Block Text" w:uiPriority="0" w:semiHidden="0" w:unhideWhenUsed="0"/>
    <w:lsdException w:name="Body Text" w:uiPriority="0" w:semiHidden="0" w:unhideWhenUsed="0"/>
    <w:lsdException w:name="Body Text 2" w:uiPriority="0" w:semiHidden="0" w:unhideWhenUsed="0"/>
    <w:lsdException w:name="Body Text 3" w:uiPriority="0" w:semiHidden="0" w:unhideWhenUsed="0"/>
    <w:lsdException w:name="Body Text First Indent" w:uiPriority="0" w:semiHidden="0" w:unhideWhenUsed="0"/>
    <w:lsdException w:name="Body Text First Indent 2" w:uiPriority="0" w:semiHidden="0" w:unhideWhenUsed="0"/>
    <w:lsdException w:name="Body Text Indent" w:uiPriority="0" w:semiHidden="0" w:unhideWhenUsed="0"/>
    <w:lsdException w:name="Body Text Indent 2" w:uiPriority="0" w:semiHidden="0" w:unhideWhenUsed="0"/>
    <w:lsdException w:name="Body Text Indent 3" w:uiPriority="0" w:semiHidden="0" w:unhideWhenUsed="0"/>
    <w:lsdException w:name="Closing" w:uiPriority="0" w:semiHidden="0" w:unhideWhenUsed="0"/>
    <w:lsdException w:name="Colorful Grid" w:uiPriority="73" w:semiHidden="0" w:unhideWhenUsed="0"/>
    <w:lsdException w:name="Colorful Grid Accent 1" w:uiPriority="73" w:semiHidden="0" w:unhideWhenUsed="0"/>
    <w:lsdException w:name="Colorful Grid Accent 2" w:uiPriority="73" w:semiHidden="0" w:unhideWhenUsed="0"/>
    <w:lsdException w:name="Colorful Grid Accent 3" w:uiPriority="73" w:semiHidden="0" w:unhideWhenUsed="0"/>
    <w:lsdException w:name="Colorful Grid Accent 4" w:uiPriority="73" w:semiHidden="0" w:unhideWhenUsed="0"/>
    <w:lsdException w:name="Colorful Grid Accent 5" w:uiPriority="73" w:semiHidden="0" w:unhideWhenUsed="0"/>
    <w:lsdException w:name="Colorful Grid Accent 6" w:uiPriority="73" w:semiHidden="0" w:unhideWhenUsed="0"/>
    <w:lsdException w:name="Colorful List" w:uiPriority="72" w:semiHidden="0" w:unhideWhenUsed="0"/>
    <w:lsdException w:name="Colorful List Accent 1" w:uiPriority="72" w:semiHidden="0" w:unhideWhenUsed="0"/>
    <w:lsdException w:name="Colorful List Accent 2" w:uiPriority="72" w:semiHidden="0" w:unhideWhenUsed="0"/>
    <w:lsdException w:name="Colorful List Accent 3" w:uiPriority="72" w:semiHidden="0" w:unhideWhenUsed="0"/>
    <w:lsdException w:name="Colorful List Accent 4" w:uiPriority="72" w:semiHidden="0" w:unhideWhenUsed="0"/>
    <w:lsdException w:name="Colorful List Accent 5" w:uiPriority="72" w:semiHidden="0" w:unhideWhenUsed="0"/>
    <w:lsdException w:name="Colorful List Accent 6" w:uiPriority="72" w:semiHidden="0" w:unhideWhenUsed="0"/>
    <w:lsdException w:name="Colorful Shading" w:uiPriority="71" w:semiHidden="0" w:unhideWhenUsed="0"/>
    <w:lsdException w:name="Colorful Shading Accent 1" w:uiPriority="71" w:semiHidden="0" w:unhideWhenUsed="0"/>
    <w:lsdException w:name="Colorful Shading Accent 2" w:uiPriority="71" w:semiHidden="0" w:unhideWhenUsed="0"/>
    <w:lsdException w:name="Colorful Shading Accent 3" w:uiPriority="71" w:semiHidden="0" w:unhideWhenUsed="0"/>
    <w:lsdException w:name="Colorful Shading Accent 4" w:uiPriority="71" w:semiHidden="0" w:unhideWhenUsed="0"/>
    <w:lsdException w:name="Colorful Shading Accent 5" w:uiPriority="71" w:semiHidden="0" w:unhideWhenUsed="0"/>
    <w:lsdException w:name="Colorful Shading Accent 6" w:uiPriority="71" w:semiHidden="0" w:unhideWhenUsed="0"/>
    <w:lsdException w:name="Dark List" w:uiPriority="70" w:semiHidden="0" w:unhideWhenUsed="0"/>
    <w:lsdException w:name="Dark List Accent 1" w:uiPriority="70" w:semiHidden="0" w:unhideWhenUsed="0"/>
    <w:lsdException w:name="Dark List Accent 2" w:uiPriority="70" w:semiHidden="0" w:unhideWhenUsed="0"/>
    <w:lsdException w:name="Dark List Accent 3" w:uiPriority="70" w:semiHidden="0" w:unhideWhenUsed="0"/>
    <w:lsdException w:name="Dark List Accent 4" w:uiPriority="70" w:semiHidden="0" w:unhideWhenUsed="0"/>
    <w:lsdException w:name="Dark List Accent 5" w:uiPriority="70" w:semiHidden="0" w:unhideWhenUsed="0"/>
    <w:lsdException w:name="Dark List Accent 6" w:uiPriority="70" w:semiHidden="0" w:unhideWhenUsed="0"/>
    <w:lsdException w:name="Date" w:uiPriority="0" w:semiHidden="0" w:unhideWhenUsed="0"/>
    <w:lsdException w:name="Default Paragraph Font" w:uiPriority="0" w:unhideWhenUsed="0" w:qFormat="1"/>
    <w:lsdException w:name="Document Map" w:uiPriority="0" w:semiHidden="0" w:unhideWhenUsed="0"/>
    <w:lsdException w:name="E-mail Signature" w:uiPriority="0" w:semiHidden="0" w:unhideWhenUsed="0"/>
    <w:lsdException w:name="Emphasis" w:uiPriority="0" w:semiHidden="0" w:unhideWhenUsed="0" w:qFormat="1"/>
    <w:lsdException w:name="FollowedHyperlink"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Hyperlink" w:uiPriority="0" w:semiHidden="0" w:unhideWhenUsed="0"/>
    <w:lsdException w:name="Light Grid" w:uiPriority="62" w:semiHidden="0" w:unhideWhenUsed="0"/>
    <w:lsdException w:name="Light Grid Accent 1" w:uiPriority="62" w:semiHidden="0" w:unhideWhenUsed="0"/>
    <w:lsdException w:name="Light Grid Accent 2" w:uiPriority="62" w:semiHidden="0" w:unhideWhenUsed="0"/>
    <w:lsdException w:name="Light Grid Accent 3" w:uiPriority="62" w:semiHidden="0" w:unhideWhenUsed="0"/>
    <w:lsdException w:name="Light Grid Accent 4" w:uiPriority="62" w:semiHidden="0" w:unhideWhenUsed="0"/>
    <w:lsdException w:name="Light Grid Accent 5" w:uiPriority="62" w:semiHidden="0" w:unhideWhenUsed="0"/>
    <w:lsdException w:name="Light Grid Accent 6" w:uiPriority="62" w:semiHidden="0" w:unhideWhenUsed="0"/>
    <w:lsdException w:name="Light List" w:uiPriority="61" w:semiHidden="0" w:unhideWhenUsed="0"/>
    <w:lsdException w:name="Light List Accent 1" w:uiPriority="61" w:semiHidden="0" w:unhideWhenUsed="0"/>
    <w:lsdException w:name="Light List Accent 2" w:uiPriority="61" w:semiHidden="0" w:unhideWhenUsed="0"/>
    <w:lsdException w:name="Light List Accent 3" w:uiPriority="61" w:semiHidden="0" w:unhideWhenUsed="0"/>
    <w:lsdException w:name="Light List Accent 4" w:uiPriority="61" w:semiHidden="0" w:unhideWhenUsed="0"/>
    <w:lsdException w:name="Light List Accent 5" w:uiPriority="61" w:semiHidden="0" w:unhideWhenUsed="0"/>
    <w:lsdException w:name="Light List Accent 6" w:uiPriority="61" w:semiHidden="0" w:unhideWhenUsed="0"/>
    <w:lsdException w:name="Light Shading" w:uiPriority="60" w:semiHidden="0" w:unhideWhenUsed="0"/>
    <w:lsdException w:name="Light Shading Accent 1" w:uiPriority="60" w:semiHidden="0" w:unhideWhenUsed="0"/>
    <w:lsdException w:name="Light Shading Accent 2" w:uiPriority="60" w:semiHidden="0" w:unhideWhenUsed="0"/>
    <w:lsdException w:name="Light Shading Accent 3" w:uiPriority="60" w:semiHidden="0" w:unhideWhenUsed="0"/>
    <w:lsdException w:name="Light Shading Accent 4" w:uiPriority="60" w:semiHidden="0" w:unhideWhenUsed="0"/>
    <w:lsdException w:name="Light Shading Accent 5" w:uiPriority="60" w:semiHidden="0" w:unhideWhenUsed="0"/>
    <w:lsdException w:name="Light Shading Accent 6" w:uiPriority="60" w:semiHidden="0" w:unhideWhenUsed="0"/>
    <w:lsdException w:name="List"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List Number"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Medium Grid 1" w:uiPriority="67" w:semiHidden="0" w:unhideWhenUsed="0"/>
    <w:lsdException w:name="Medium Grid 1 Accent 1" w:uiPriority="67" w:semiHidden="0" w:unhideWhenUsed="0"/>
    <w:lsdException w:name="Medium Grid 1 Accent 2" w:uiPriority="67" w:semiHidden="0" w:unhideWhenUsed="0"/>
    <w:lsdException w:name="Medium Grid 1 Accent 3" w:uiPriority="67" w:semiHidden="0" w:unhideWhenUsed="0"/>
    <w:lsdException w:name="Medium Grid 1 Accent 4" w:uiPriority="67" w:semiHidden="0" w:unhideWhenUsed="0"/>
    <w:lsdException w:name="Medium Grid 1 Accent 5" w:uiPriority="67" w:semiHidden="0" w:unhideWhenUsed="0"/>
    <w:lsdException w:name="Medium Grid 1 Accent 6" w:uiPriority="67" w:semiHidden="0" w:unhideWhenUsed="0"/>
    <w:lsdException w:name="Medium Grid 2" w:uiPriority="68" w:semiHidden="0" w:unhideWhenUsed="0"/>
    <w:lsdException w:name="Medium Grid 2 Accent 1" w:uiPriority="68" w:semiHidden="0" w:unhideWhenUsed="0"/>
    <w:lsdException w:name="Medium Grid 2 Accent 2" w:uiPriority="68" w:semiHidden="0" w:unhideWhenUsed="0"/>
    <w:lsdException w:name="Medium Grid 2 Accent 3" w:uiPriority="68" w:semiHidden="0" w:unhideWhenUsed="0"/>
    <w:lsdException w:name="Medium Grid 2 Accent 4" w:uiPriority="68" w:semiHidden="0" w:unhideWhenUsed="0"/>
    <w:lsdException w:name="Medium Grid 2 Accent 5" w:uiPriority="68" w:semiHidden="0" w:unhideWhenUsed="0"/>
    <w:lsdException w:name="Medium Grid 2 Accent 6" w:uiPriority="68" w:semiHidden="0" w:unhideWhenUsed="0"/>
    <w:lsdException w:name="Medium Grid 3" w:uiPriority="69" w:semiHidden="0" w:unhideWhenUsed="0"/>
    <w:lsdException w:name="Medium Grid 3 Accent 1" w:uiPriority="69" w:semiHidden="0" w:unhideWhenUsed="0"/>
    <w:lsdException w:name="Medium Grid 3 Accent 2" w:uiPriority="69" w:semiHidden="0" w:unhideWhenUsed="0"/>
    <w:lsdException w:name="Medium Grid 3 Accent 3" w:uiPriority="69" w:semiHidden="0" w:unhideWhenUsed="0"/>
    <w:lsdException w:name="Medium Grid 3 Accent 4" w:uiPriority="69" w:semiHidden="0" w:unhideWhenUsed="0"/>
    <w:lsdException w:name="Medium Grid 3 Accent 5" w:uiPriority="69" w:semiHidden="0" w:unhideWhenUsed="0"/>
    <w:lsdException w:name="Medium Grid 3 Accent 6" w:uiPriority="69" w:semiHidden="0" w:unhideWhenUsed="0"/>
    <w:lsdException w:name="Medium List 1" w:uiPriority="65" w:semiHidden="0" w:unhideWhenUsed="0"/>
    <w:lsdException w:name="Medium List 1 Accent 1" w:uiPriority="65" w:semiHidden="0" w:unhideWhenUsed="0"/>
    <w:lsdException w:name="Medium List 1 Accent 2" w:uiPriority="65" w:semiHidden="0" w:unhideWhenUsed="0"/>
    <w:lsdException w:name="Medium List 1 Accent 3" w:uiPriority="65" w:semiHidden="0" w:unhideWhenUsed="0"/>
    <w:lsdException w:name="Medium List 1 Accent 4" w:uiPriority="65" w:semiHidden="0" w:unhideWhenUsed="0"/>
    <w:lsdException w:name="Medium List 1 Accent 5" w:uiPriority="65" w:semiHidden="0" w:unhideWhenUsed="0"/>
    <w:lsdException w:name="Medium List 1 Accent 6" w:uiPriority="65" w:semiHidden="0" w:unhideWhenUsed="0"/>
    <w:lsdException w:name="Medium List 2" w:uiPriority="66" w:semiHidden="0" w:unhideWhenUsed="0"/>
    <w:lsdException w:name="Medium List 2 Accent 1" w:uiPriority="66" w:semiHidden="0" w:unhideWhenUsed="0"/>
    <w:lsdException w:name="Medium List 2 Accent 2" w:uiPriority="66" w:semiHidden="0" w:unhideWhenUsed="0"/>
    <w:lsdException w:name="Medium List 2 Accent 3" w:uiPriority="66" w:semiHidden="0" w:unhideWhenUsed="0"/>
    <w:lsdException w:name="Medium List 2 Accent 4" w:uiPriority="66" w:semiHidden="0" w:unhideWhenUsed="0"/>
    <w:lsdException w:name="Medium List 2 Accent 5" w:uiPriority="66" w:semiHidden="0" w:unhideWhenUsed="0"/>
    <w:lsdException w:name="Medium List 2 Accent 6" w:uiPriority="66" w:semiHidden="0" w:unhideWhenUsed="0"/>
    <w:lsdException w:name="Medium Shading 1" w:uiPriority="63" w:semiHidden="0" w:unhideWhenUsed="0"/>
    <w:lsdException w:name="Medium Shading 1 Accent 1" w:uiPriority="63" w:semiHidden="0" w:unhideWhenUsed="0"/>
    <w:lsdException w:name="Medium Shading 1 Accent 2" w:uiPriority="63" w:semiHidden="0" w:unhideWhenUsed="0"/>
    <w:lsdException w:name="Medium Shading 1 Accent 3" w:uiPriority="63" w:semiHidden="0" w:unhideWhenUsed="0"/>
    <w:lsdException w:name="Medium Shading 1 Accent 4" w:uiPriority="63" w:semiHidden="0" w:unhideWhenUsed="0"/>
    <w:lsdException w:name="Medium Shading 1 Accent 5" w:uiPriority="63" w:semiHidden="0" w:unhideWhenUsed="0"/>
    <w:lsdException w:name="Medium Shading 1 Accent 6" w:uiPriority="63" w:semiHidden="0" w:unhideWhenUsed="0"/>
    <w:lsdException w:name="Medium Shading 2" w:uiPriority="64" w:semiHidden="0" w:unhideWhenUsed="0"/>
    <w:lsdException w:name="Medium Shading 2 Accent 1" w:uiPriority="64" w:semiHidden="0" w:unhideWhenUsed="0"/>
    <w:lsdException w:name="Medium Shading 2 Accent 2" w:uiPriority="64" w:semiHidden="0" w:unhideWhenUsed="0"/>
    <w:lsdException w:name="Medium Shading 2 Accent 3" w:uiPriority="64" w:semiHidden="0" w:unhideWhenUsed="0"/>
    <w:lsdException w:name="Medium Shading 2 Accent 4" w:uiPriority="64" w:semiHidden="0" w:unhideWhenUsed="0"/>
    <w:lsdException w:name="Medium Shading 2 Accent 5" w:uiPriority="64" w:semiHidden="0" w:unhideWhenUsed="0"/>
    <w:lsdException w:name="Medium Shading 2 Accent 6" w:uiPriority="64" w:semiHidden="0" w:unhideWhenUsed="0"/>
    <w:lsdException w:name="Message Header" w:uiPriority="0" w:semiHidden="0" w:unhideWhenUsed="0"/>
    <w:lsdException w:name="Normal" w:uiPriority="0" w:semiHidden="0" w:unhideWhenUsed="0" w:qFormat="1"/>
    <w:lsdException w:name="Normal (Web)" w:uiPriority="0" w:semiHidden="0" w:unhideWhenUsed="0"/>
    <w:lsdException w:name="Normal Indent" w:uiPriority="0" w:semiHidden="0" w:unhideWhenUsed="0"/>
    <w:lsdException w:name="Normal Table" w:uiPriority="0" w:unhideWhenUsed="0" w:qFormat="1"/>
    <w:lsdException w:name="Note Heading" w:uiPriority="0" w:semiHidden="0" w:unhideWhenUsed="0"/>
    <w:lsdException w:name="Plain Text" w:uiPriority="0" w:semiHidden="0" w:unhideWhenUsed="0"/>
    <w:lsdException w:name="Salutation" w:uiPriority="0" w:semiHidden="0" w:unhideWhenUsed="0"/>
    <w:lsdException w:name="Signature" w:uiPriority="0" w:semiHidden="0" w:unhideWhenUsed="0"/>
    <w:lsdException w:name="Strong" w:uiPriority="0" w:semiHidden="0" w:unhideWhenUsed="0" w:qFormat="1"/>
    <w:lsdException w:name="Subtitle" w:uiPriority="0" w:semiHidden="0" w:unhideWhenUsed="0" w:qFormat="1"/>
    <w:lsdException w:name="Table 3D effects 1" w:uiPriority="0" w:semiHidden="0" w:unhideWhenUsed="0"/>
    <w:lsdException w:name="Table 3D effects 2" w:uiPriority="0" w:semiHidden="0" w:unhideWhenUsed="0"/>
    <w:lsdException w:name="Table 3D effects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Contemporary" w:uiPriority="0" w:semiHidden="0" w:unhideWhenUsed="0"/>
    <w:lsdException w:name="Table Elegant" w:uiPriority="0" w:semiHidden="0" w:unhideWhenUsed="0"/>
    <w:lsdException w:name="Table Grid"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Professional"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Subtle 1" w:uiPriority="0" w:semiHidden="0" w:unhideWhenUsed="0"/>
    <w:lsdException w:name="Table Subtle 2" w:uiPriority="0" w:semiHidden="0" w:unhideWhenUsed="0"/>
    <w:lsdException w:name="Table Theme"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Title" w:uiPriority="0" w:semiHidden="0" w:unhideWhenUsed="0" w:qFormat="1"/>
    <w:lsdException w:name="annotation reference" w:uiPriority="0" w:semiHidden="0" w:unhideWhenUsed="0"/>
    <w:lsdException w:name="annotation subject" w:uiPriority="0" w:semiHidden="0" w:unhideWhenUsed="0"/>
    <w:lsdException w:name="annotation text" w:uiPriority="0" w:semiHidden="0" w:unhideWhenUsed="0"/>
    <w:lsdException w:name="caption" w:uiPriority="0" w:qFormat="1"/>
    <w:lsdException w:name="endnote reference" w:uiPriority="0" w:semiHidden="0" w:unhideWhenUsed="0"/>
    <w:lsdException w:name="endnote text" w:uiPriority="0" w:semiHidden="0" w:unhideWhenUsed="0"/>
    <w:lsdException w:name="envelope address" w:uiPriority="0" w:semiHidden="0" w:unhideWhenUsed="0"/>
    <w:lsdException w:name="envelope return" w:uiPriority="0" w:semiHidden="0" w:unhideWhenUsed="0"/>
    <w:lsdException w:name="footer" w:uiPriority="0" w:semiHidden="0" w:unhideWhenUsed="0" w:qFormat="1"/>
    <w:lsdException w:name="footnote reference" w:uiPriority="0" w:semiHidden="0" w:unhideWhenUsed="0"/>
    <w:lsdException w:name="footnote text" w:uiPriority="0" w:semiHidden="0" w:unhideWhenUsed="0"/>
    <w:lsdException w:name="header"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index heading" w:uiPriority="0" w:semiHidden="0" w:unhideWhenUsed="0"/>
    <w:lsdException w:name="line number" w:uiPriority="0" w:semiHidden="0" w:unhideWhenUsed="0"/>
    <w:lsdException w:name="macro" w:uiPriority="0" w:semiHidden="0" w:unhideWhenUsed="0"/>
    <w:lsdException w:name="page number" w:uiPriority="0" w:semiHidden="0" w:unhideWhenUsed="0"/>
    <w:lsdException w:name="table of authorities" w:uiPriority="0" w:semiHidden="0" w:unhideWhenUsed="0"/>
    <w:lsdException w:name="table of figures" w:uiPriority="0" w:semiHidden="0" w:unhideWhenUsed="0"/>
    <w:lsdException w:name="toa heading"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atentStyles>
  <w:style w:type="paragraph" w:styleId="1" w:default="1">
    <w:name w:val="Normal"/>
    <w:uiPriority w:val="0"/>
    <w:qFormat/>
    <w:pPr>
      <w:jc w:val="both"/>
      <w:widowControl w:val="0"/>
    </w:pPr>
    <w:rPr>
      <w:sz w:val="21"/>
      <w:lang w:val="en-US" w:eastAsia="zh-CN" w:bidi="ar-SA"/>
      <w:kern w:val="2"/>
      <w:szCs w:val="24"/>
      <w:rFonts w:asciiTheme="minorHAnsi" w:hAnsiTheme="minorHAnsi" w:eastAsiaTheme="minorEastAsia" w:cstheme="minorBidi"/>
    </w:rPr>
  </w:style>
  <w:style w:type="character" w:styleId="5" w:default="1">
    <w:name w:val="Default Paragraph Font"/>
    <w:uiPriority w:val="0"/>
    <w:semiHidden/>
    <w:qFormat/>
  </w:style>
  <w:style w:type="table" w:styleId="4" w:default="1">
    <w:name w:val="Normal Table"/>
    <w:uiPriority w:val="0"/>
    <w:semiHidden/>
    <w:qFormat/>
    <w:tblPr>
      <w:tblCellMar>
        <w:top w:type="dxa" w:w="0.000000"/>
        <w:bottom w:type="dxa" w:w="0.000000"/>
        <w:left w:type="dxa" w:w="108.000000"/>
        <w:right w:type="dxa" w:w="108.000000"/>
      </w:tblCellMar>
    </w:tblPr>
  </w:style>
  <w:style w:type="paragraph" w:styleId="2">
    <w:name w:val="footer"/>
    <w:basedOn w:val="1"/>
    <w:uiPriority w:val="0"/>
    <w:qFormat/>
    <w:pPr>
      <w:snapToGrid w:val="0"/>
      <w:jc w:val="left"/>
      <w:tabs>
        <w:tab w:val="center" w:pos="4153"/>
        <w:tab w:val="right" w:pos="8306"/>
      </w:tabs>
    </w:pPr>
    <w:rPr>
      <w:sz w:val="18"/>
    </w:rPr>
  </w:style>
  <w:style w:type="paragraph" w:styleId="3">
    <w:name w:val="header"/>
    <w:basedOn w:val="1"/>
    <w:uiPriority w:val="0"/>
    <w:qFormat/>
    <w:pPr>
      <w:snapToGrid w:val="0"/>
      <w:jc w:val="both"/>
      <w:outlineLvl w:val="9"/>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character" w:styleId="6" w:customStyle="1">
    <w:name w:val="font01"/>
    <w:basedOn w:val="5"/>
    <w:uiPriority w:val="0"/>
    <w:qFormat/>
    <w:rPr>
      <w:u w:val="none"/>
      <w:color w:val="000000"/>
      <w:sz w:val="18"/>
      <w:szCs w:val="18"/>
      <w:rFonts w:ascii="宋体" w:hAnsi="宋体" w:eastAsia="宋体" w:cs="宋体" w:hint="eastAsia"/>
    </w:rPr>
  </w:style>
  <w:style w:type="character" w:styleId="7" w:customStyle="1">
    <w:name w:val="font31"/>
    <w:basedOn w:val="5"/>
    <w:uiPriority w:val="0"/>
    <w:qFormat/>
    <w:rPr>
      <w:vertAlign w:val="subscript"/>
      <w:u w:val="none"/>
      <w:color w:val="000000"/>
      <w:sz w:val="18"/>
      <w:szCs w:val="18"/>
      <w:rFonts w:ascii="宋体" w:hAnsi="宋体" w:eastAsia="宋体" w:cs="宋体" w:hint="eastAsia"/>
    </w:rPr>
  </w:style>
  <w:style w:type="character" w:styleId="8" w:customStyle="1">
    <w:name w:val="font21"/>
    <w:basedOn w:val="5"/>
    <w:uiPriority w:val="0"/>
    <w:qFormat/>
    <w:rPr>
      <w:u w:val="none"/>
      <w:color w:val="000000"/>
      <w:sz w:val="18"/>
      <w:szCs w:val="18"/>
      <w:rFonts w:ascii="宋体" w:hAnsi="宋体" w:eastAsia="宋体" w:cs="宋体" w:hint="eastAsia"/>
    </w:rPr>
  </w:style>
  <w:style w:type="character" w:styleId="9" w:customStyle="1">
    <w:name w:val="font11"/>
    <w:basedOn w:val="5"/>
    <w:uiPriority w:val="0"/>
    <w:qFormat/>
    <w:rPr>
      <w:u w:val="none"/>
      <w:color w:val="000000"/>
      <w:sz w:val="18"/>
      <w:szCs w:val="18"/>
      <w:rFonts w:ascii="宋体" w:hAnsi="宋体" w:eastAsia="宋体" w:cs="宋体" w:hint="eastAsia"/>
    </w:rPr>
  </w:style>
  <w:style w:type="paragraph" w:styleId="10" w:customStyle="1">
    <w:name w:val="Default"/>
    <w:uiPriority w:val="0"/>
    <w:qFormat/>
    <w:pPr>
      <w:autoSpaceDE w:val="0"/>
      <w:autoSpaceDN w:val="0"/>
      <w:adjustRightInd w:val="0"/>
      <w:widowControl w:val="0"/>
    </w:pPr>
    <w:rPr>
      <w:color w:val="000000"/>
      <w:sz w:val="24"/>
      <w:lang w:val="en-US" w:eastAsia="zh-CN" w:bidi="ar-SA"/>
      <w:szCs w:val="24"/>
      <w:rFonts w:ascii="宋体" w:hAnsi="Times New Roman" w:eastAsia="Arial" w:cs="宋体"/>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3" Type="http://schemas.openxmlformats.org/officeDocument/2006/relationships/theme" Target="theme/theme1.xml" /><Relationship Id="rId1" Type="http://schemas.openxmlformats.org/officeDocument/2006/relationships/settings" Target="settings.xml" /><Relationship Id="rId4" Type="http://schemas.openxmlformats.org/officeDocument/2006/relationships/footer" Target="footer1.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
        <a:ea typeface=""/>
        <a:cs typeface=""/>
        <a:font script="Hant" typeface="新細明體"/>
        <a:font script="Arab" typeface="Times New Roman"/>
        <a:font script="Knda" typeface="Tunga"/>
        <a:font script="Taml" typeface="Latha"/>
        <a:font script="Ethi" typeface="Nyala"/>
        <a:font script="Hans" typeface="宋体"/>
        <a:font script="Guru" typeface="Raavi"/>
        <a:font script="Yiii" typeface="Microsoft Yi Baiti"/>
        <a:font script="Thaa" typeface="MV Boli"/>
        <a:font script="Jpan" typeface="ＭＳ ゴシック"/>
        <a:font script="Beng" typeface="Vrinda"/>
        <a:font script="Uigh" typeface="Microsoft Uighur"/>
        <a:font script="Thai" typeface="Angsana New"/>
        <a:font script="Gujr" typeface="Shruti"/>
        <a:font script="Syrc" typeface="Estrangelo Edessa"/>
        <a:font script="Khmr" typeface="MoolBoran"/>
        <a:font script="Cans" typeface="Euphemia"/>
        <a:font script="Orya" typeface="Kalinga"/>
        <a:font script="Deva" typeface="Mangal"/>
        <a:font script="Hang" typeface="맑은 고딕"/>
        <a:font script="Mong" typeface="Mongolian Baiti"/>
        <a:font script="Mlym" typeface="Kartika"/>
        <a:font script="Telu" typeface="Gautami"/>
        <a:font script="Cher" typeface="Plantagenet Cherokee"/>
        <a:font script="Hebr" typeface="Times New Roman"/>
        <a:font script="Sinh" typeface="Iskoola Pota"/>
        <a:font script="Geor" typeface="Sylfaen"/>
        <a:font script="Laoo" typeface="DokChampa"/>
        <a:font script="Tibt" typeface="Microsoft Himalaya"/>
        <a:font script="Viet" typeface="Times New Roman"/>
      </a:majorFont>
      <a:minorFont>
        <a:latin typeface="Calibri" panose=""/>
        <a:ea typeface=""/>
        <a:cs typeface=""/>
        <a:font script="Hant" typeface="新細明體"/>
        <a:font script="Arab" typeface="Arial"/>
        <a:font script="Knda" typeface="Tunga"/>
        <a:font script="Taml" typeface="Latha"/>
        <a:font script="Ethi" typeface="Nyala"/>
        <a:font script="Hans" typeface="宋体"/>
        <a:font script="Guru" typeface="Raavi"/>
        <a:font script="Yiii" typeface="Microsoft Yi Baiti"/>
        <a:font script="Thaa" typeface="MV Boli"/>
        <a:font script="Jpan" typeface="ＭＳ 明朝"/>
        <a:font script="Beng" typeface="Vrinda"/>
        <a:font script="Uigh" typeface="Microsoft Uighur"/>
        <a:font script="Thai" typeface="Cordia New"/>
        <a:font script="Gujr" typeface="Shruti"/>
        <a:font script="Syrc" typeface="Estrangelo Edessa"/>
        <a:font script="Khmr" typeface="DaunPenh"/>
        <a:font script="Cans" typeface="Euphemia"/>
        <a:font script="Orya" typeface="Kalinga"/>
        <a:font script="Deva" typeface="Mangal"/>
        <a:font script="Hang" typeface="맑은 고딕"/>
        <a:font script="Mong" typeface="Mongolian Baiti"/>
        <a:font script="Mlym" typeface="Kartika"/>
        <a:font script="Telu" typeface="Gautami"/>
        <a:font script="Cher" typeface="Plantagenet Cherokee"/>
        <a:font script="Hebr" typeface="Arial"/>
        <a:font script="Sinh" typeface="Iskoola Pota"/>
        <a:font script="Geor" typeface="Sylfaen"/>
        <a:font script="Laoo" typeface="DokChampa"/>
        <a:font script="Tibt" typeface="Microsoft Himalaya"/>
        <a:font script="Viet"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a:blurRad="57150" a:dist="19050" a:dir="5400000" a:algn="ctr" a: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1</Pages>
  <Words>558</Words>
  <Characters>615</Characters>
  <Application>WPS Office_11.1.0.14036_F1E327BC-269C-435d-A152-05C5408002CA</Application>
  <DocSecurity>0</DocSecurity>
  <Lines>0</Lines>
  <Paragraphs>0</Paragraphs>
  <ScaleCrop>false</ScaleCrop>
  <Company/>
  <LinksUpToDate>false</LinksUpToDate>
  <CharactersWithSpaces>618</CharactersWithSpaces>
  <SharedDoc>false</SharedDoc>
  <HyperlinksChanged>false</HyperlinksChanged>
</Properties>
</file>

<file path=docProps/core.xml><?xml version="1.0" encoding="utf-8"?>
<cp:coreProperties xmlns:cp="http://schemas.openxmlformats.org/package/2006/metadata/core-properties" xmlns:dcterms="http://purl.org/dc/terms/" xmlns:dc="http://purl.org/dc/elements/1.1/" xmlns:dcmitype="http://purl.org/dc/dcmitype/" xmlns:xsi="http://www.w3.org/2001/XMLSchema-instance">
  <dc:title/>
  <dc:subject/>
  <dc:creator>Administrator</dc:creator>
  <cp:keywords/>
  <dc:description/>
  <cp:lastModifiedBy>蒋义</cp:lastModifiedBy>
  <cp:revision>0</cp:revision>
  <dcterms:created xsi:type="dcterms:W3CDTF">2023-03-09T01:10:00Z</dcterms:created>
  <dcterms:modified xsi:type="dcterms:W3CDTF">2023-06-07T03:58:22Z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0A47A99C4A564E1DB7F5FFE903D89586_13</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b/>
          <w:bCs/>
          <w:sz w:val="28"/>
          <w:szCs w:val="36"/>
          <w:lang w:val="en-US" w:eastAsia="zh-CN"/>
        </w:rPr>
      </w:pPr>
      <w:r>
        <w:rPr>
          <w:rFonts w:hint="eastAsia"/>
          <w:b/>
          <w:bCs/>
          <w:sz w:val="28"/>
          <w:szCs w:val="36"/>
          <w:lang w:val="en-US" w:eastAsia="zh-CN"/>
        </w:rPr>
        <w:t>附件2                电动车参数</w:t>
      </w:r>
    </w:p>
    <w:tbl>
      <w:tblPr>
        <w:tblStyle w:val="4"/>
        <w:tblW w:w="93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7"/>
        <w:gridCol w:w="875"/>
        <w:gridCol w:w="1110"/>
        <w:gridCol w:w="61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乘员</w:t>
            </w:r>
          </w:p>
        </w:tc>
        <w:tc>
          <w:tcPr>
            <w:tcW w:w="6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10人（带锁封闭式车门：上玻璃下钣金）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尺寸</w:t>
            </w:r>
          </w:p>
        </w:tc>
        <w:tc>
          <w:tcPr>
            <w:tcW w:w="875" w:type="dxa"/>
            <w:vMerge w:val="restart"/>
            <w:tcBorders>
              <w:top w:val="single" w:color="000000" w:sz="4" w:space="0"/>
              <w:left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w:t>
            </w:r>
          </w:p>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尺寸</w:t>
            </w:r>
          </w:p>
        </w:tc>
        <w:tc>
          <w:tcPr>
            <w:tcW w:w="11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长，mm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5" w:type="dxa"/>
            <w:vMerge w:val="continue"/>
            <w:tcBorders>
              <w:left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新宋体" w:hAnsi="新宋体" w:eastAsia="新宋体" w:cs="新宋体"/>
                <w:color w:val="auto"/>
                <w:sz w:val="24"/>
              </w:rPr>
              <w:t>★</w:t>
            </w:r>
            <w:r>
              <w:rPr>
                <w:rFonts w:hint="eastAsia" w:ascii="宋体" w:hAnsi="宋体" w:eastAsia="宋体" w:cs="宋体"/>
                <w:i w:val="0"/>
                <w:iCs w:val="0"/>
                <w:color w:val="000000"/>
                <w:kern w:val="0"/>
                <w:sz w:val="21"/>
                <w:szCs w:val="21"/>
                <w:u w:val="none"/>
                <w:lang w:val="en-US" w:eastAsia="zh-CN" w:bidi="ar"/>
              </w:rPr>
              <w:t>宽，mm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≥1600(不含后视镜）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5" w:type="dxa"/>
            <w:vMerge w:val="continue"/>
            <w:tcBorders>
              <w:left w:val="single" w:color="000000" w:sz="4" w:space="0"/>
              <w:bottom w:val="single" w:color="000000" w:sz="4" w:space="0"/>
              <w:right w:val="single" w:color="000000" w:sz="4" w:space="0"/>
            </w:tcBorders>
            <w:shd w:val="clear" w:color="auto" w:fill="FFFFFF" w:themeFill="background1"/>
            <w:vAlign w:val="center"/>
          </w:tcPr>
          <w:p>
            <w:pPr>
              <w:jc w:val="both"/>
              <w:rPr>
                <w:rFonts w:hint="eastAsia" w:ascii="宋体" w:hAnsi="宋体" w:eastAsia="宋体" w:cs="宋体"/>
                <w:i w:val="0"/>
                <w:iCs w:val="0"/>
                <w:color w:val="000000"/>
                <w:sz w:val="21"/>
                <w:szCs w:val="21"/>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高，mm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轴距，mm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地板离地高度，mm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后桥</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型式</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整体式钢制驱动桥，铝合金主减速器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制动系</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型式</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前盘后鼓，液压双回路双腔串联式+电动真空助力式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转向器</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型式</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齿轮齿条式，十字轴万向节与挠性接头+转向助力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车身及附件</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新宋体" w:hAnsi="新宋体" w:eastAsia="新宋体" w:cs="新宋体"/>
                <w:color w:val="auto"/>
                <w:sz w:val="24"/>
              </w:rPr>
              <w:t>★</w:t>
            </w:r>
            <w:r>
              <w:rPr>
                <w:rFonts w:hint="eastAsia" w:ascii="宋体" w:hAnsi="宋体" w:eastAsia="宋体" w:cs="宋体"/>
                <w:i w:val="0"/>
                <w:iCs w:val="0"/>
                <w:color w:val="000000"/>
                <w:kern w:val="0"/>
                <w:sz w:val="21"/>
                <w:szCs w:val="21"/>
                <w:u w:val="none"/>
                <w:lang w:val="en-US" w:eastAsia="zh-CN" w:bidi="ar"/>
              </w:rPr>
              <w:t>车架</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整车球笼式结构，阴极电泳防锈处理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新宋体" w:hAnsi="新宋体" w:eastAsia="新宋体" w:cs="新宋体"/>
                <w:color w:val="auto"/>
                <w:sz w:val="24"/>
              </w:rPr>
              <w:t>★</w:t>
            </w:r>
            <w:r>
              <w:rPr>
                <w:rFonts w:hint="eastAsia" w:ascii="宋体" w:hAnsi="宋体" w:eastAsia="宋体" w:cs="宋体"/>
                <w:i w:val="0"/>
                <w:iCs w:val="0"/>
                <w:color w:val="auto"/>
                <w:kern w:val="0"/>
                <w:sz w:val="21"/>
                <w:szCs w:val="21"/>
                <w:u w:val="none"/>
                <w:lang w:val="en-US" w:eastAsia="zh-CN" w:bidi="ar"/>
              </w:rPr>
              <w:t>车身</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钢骨架车身，钣金前后围+吸塑前保险杠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新宋体" w:hAnsi="新宋体" w:eastAsia="新宋体" w:cs="新宋体"/>
                <w:color w:val="auto"/>
                <w:sz w:val="24"/>
              </w:rPr>
              <w:t>★</w:t>
            </w:r>
            <w:r>
              <w:rPr>
                <w:rFonts w:hint="eastAsia" w:ascii="宋体" w:hAnsi="宋体" w:eastAsia="宋体" w:cs="宋体"/>
                <w:i w:val="0"/>
                <w:iCs w:val="0"/>
                <w:color w:val="auto"/>
                <w:kern w:val="0"/>
                <w:sz w:val="21"/>
                <w:szCs w:val="21"/>
                <w:u w:val="none"/>
                <w:lang w:val="en-US" w:eastAsia="zh-CN" w:bidi="ar"/>
              </w:rPr>
              <w:t>顶棚</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一体式顶棚（无拼接，无焊接），设计导雨槽，提供图片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新宋体" w:hAnsi="新宋体" w:eastAsia="新宋体" w:cs="新宋体"/>
                <w:color w:val="auto"/>
                <w:sz w:val="24"/>
              </w:rPr>
              <w:t>★</w:t>
            </w:r>
            <w:r>
              <w:rPr>
                <w:rFonts w:hint="eastAsia" w:ascii="宋体" w:hAnsi="宋体" w:eastAsia="宋体" w:cs="宋体"/>
                <w:i w:val="0"/>
                <w:iCs w:val="0"/>
                <w:color w:val="auto"/>
                <w:kern w:val="0"/>
                <w:sz w:val="21"/>
                <w:szCs w:val="21"/>
                <w:u w:val="none"/>
                <w:lang w:val="en-US" w:eastAsia="zh-CN" w:bidi="ar"/>
              </w:rPr>
              <w:t>仪表台</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汽车级吸塑仪表台，提供图片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轮胎</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175/75R14C轮胎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座椅</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横排独立或联体软皮座椅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电气系</w:t>
            </w: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电机功率</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sz w:val="21"/>
                <w:szCs w:val="21"/>
                <w:u w:val="none"/>
                <w:lang w:val="en-US" w:eastAsia="zh-CN"/>
              </w:rPr>
              <w:t>10KW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动力蓄电池</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72V 220AH 免维护蓄电池组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jc w:val="center"/>
        </w:trPr>
        <w:tc>
          <w:tcPr>
            <w:tcW w:w="1217"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充电器</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车载智能充电器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98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照明、信号</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前组合灯、后转向灯、后位灯、侧转向灯、制动灯、倒车灯、危险警报灯、牌照灯、组合仪表、喇叭等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both"/>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花纹铝底板、</w:t>
            </w:r>
            <w:r>
              <w:rPr>
                <w:rFonts w:hint="eastAsia" w:ascii="宋体" w:hAnsi="宋体" w:eastAsia="宋体" w:cs="宋体"/>
                <w:i w:val="0"/>
                <w:iCs w:val="0"/>
                <w:color w:val="000000"/>
                <w:kern w:val="0"/>
                <w:sz w:val="21"/>
                <w:szCs w:val="21"/>
                <w:u w:val="none"/>
                <w:lang w:val="en-US" w:eastAsia="zh-CN" w:bidi="ar"/>
              </w:rPr>
              <w:t>收音机+USB接口+扬声器（2个）、警灯总成（喊话器）、灭火器支架，随车工具。赠送：灯带、备胎、千斤顶。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最高车速，㎞/h</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最大爬坡度，（°/%）</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平路续驶里程，km</w:t>
            </w:r>
          </w:p>
        </w:tc>
        <w:tc>
          <w:tcPr>
            <w:tcW w:w="61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937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w:t>
            </w:r>
          </w:p>
          <w:p>
            <w:pPr>
              <w:keepNext w:val="0"/>
              <w:keepLines w:val="0"/>
              <w:widowControl/>
              <w:numPr>
                <w:numId w:val="0"/>
              </w:numPr>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1.需提供产品厂家宣传资料以及投标产品同座位数型式试验报告做为技术证明资料；</w:t>
            </w:r>
          </w:p>
          <w:p>
            <w:pPr>
              <w:keepNext w:val="0"/>
              <w:keepLines w:val="0"/>
              <w:widowControl/>
              <w:numPr>
                <w:numId w:val="0"/>
              </w:numPr>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2.标</w:t>
            </w:r>
            <w:r>
              <w:rPr>
                <w:rFonts w:hint="eastAsia" w:ascii="新宋体" w:hAnsi="新宋体" w:eastAsia="新宋体" w:cs="新宋体"/>
                <w:color w:val="auto"/>
                <w:sz w:val="24"/>
              </w:rPr>
              <w:t>★</w:t>
            </w:r>
            <w:r>
              <w:rPr>
                <w:rFonts w:hint="eastAsia" w:ascii="宋体" w:hAnsi="宋体" w:eastAsia="宋体" w:cs="宋体"/>
                <w:i w:val="0"/>
                <w:iCs w:val="0"/>
                <w:color w:val="000000"/>
                <w:kern w:val="0"/>
                <w:sz w:val="21"/>
                <w:szCs w:val="21"/>
                <w:u w:val="none"/>
                <w:lang w:val="en-US" w:eastAsia="zh-CN" w:bidi="ar"/>
              </w:rPr>
              <w:t>项为实质性要求，不允许偏离，其余项允许正偏离；</w:t>
            </w:r>
          </w:p>
          <w:p>
            <w:pPr>
              <w:keepNext w:val="0"/>
              <w:keepLines w:val="0"/>
              <w:widowControl/>
              <w:numPr>
                <w:numId w:val="0"/>
              </w:numPr>
              <w:suppressLineNumbers w:val="0"/>
              <w:jc w:val="both"/>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3.提供产品多角度设计图，全方位展示产品</w:t>
            </w:r>
            <w:bookmarkStart w:id="0" w:name="_GoBack"/>
            <w:bookmarkEnd w:id="0"/>
            <w:r>
              <w:rPr>
                <w:rFonts w:hint="eastAsia" w:ascii="宋体" w:hAnsi="宋体" w:eastAsia="宋体" w:cs="宋体"/>
                <w:i w:val="0"/>
                <w:iCs w:val="0"/>
                <w:color w:val="000000"/>
                <w:kern w:val="0"/>
                <w:sz w:val="21"/>
                <w:szCs w:val="21"/>
                <w:u w:val="none"/>
                <w:lang w:val="en-US" w:eastAsia="zh-CN" w:bidi="ar"/>
              </w:rPr>
              <w:t>；</w:t>
            </w:r>
          </w:p>
          <w:p>
            <w:pPr>
              <w:keepNext w:val="0"/>
              <w:keepLines w:val="0"/>
              <w:widowControl/>
              <w:numPr>
                <w:numId w:val="0"/>
              </w:numPr>
              <w:suppressLineNumbers w:val="0"/>
              <w:jc w:val="both"/>
              <w:textAlignment w:val="center"/>
              <w:rPr>
                <w:rFonts w:hint="default" w:ascii="宋体" w:hAnsi="宋体" w:eastAsia="宋体" w:cs="宋体"/>
                <w:i w:val="0"/>
                <w:iCs w:val="0"/>
                <w:color w:val="000000"/>
                <w:kern w:val="0"/>
                <w:sz w:val="21"/>
                <w:szCs w:val="21"/>
                <w:u w:val="none"/>
                <w:lang w:val="en-US" w:eastAsia="zh-CN" w:bidi="ar"/>
              </w:rPr>
            </w:pPr>
            <w:r>
              <w:rPr>
                <w:rFonts w:hint="eastAsia" w:ascii="新宋体" w:hAnsi="新宋体" w:eastAsia="新宋体" w:cs="新宋体"/>
                <w:color w:val="000000"/>
                <w:sz w:val="21"/>
                <w:szCs w:val="21"/>
                <w:lang w:val="en-US" w:eastAsia="zh-CN"/>
              </w:rPr>
              <w:t>4.</w:t>
            </w:r>
            <w:r>
              <w:rPr>
                <w:rFonts w:hint="eastAsia" w:ascii="新宋体" w:hAnsi="新宋体" w:eastAsia="新宋体" w:cs="新宋体"/>
                <w:color w:val="000000"/>
                <w:sz w:val="21"/>
                <w:szCs w:val="21"/>
              </w:rPr>
              <w:t>车辆将严格按投标文件验收,若实车与投标文件不符,采购方有权拒绝接收车辆,并追究违约单位相关法律责任。</w:t>
            </w:r>
          </w:p>
        </w:tc>
      </w:tr>
    </w:tbl>
    <w:p>
      <w:pPr>
        <w:jc w:val="center"/>
        <w:rPr>
          <w:rFonts w:hint="default"/>
          <w:b/>
          <w:bCs/>
          <w:sz w:val="24"/>
          <w:szCs w:val="24"/>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