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olor w:val="auto"/>
          <w:sz w:val="44"/>
          <w:szCs w:val="44"/>
          <w:highlight w:val="none"/>
        </w:rPr>
      </w:pPr>
    </w:p>
    <w:p>
      <w:pPr>
        <w:jc w:val="center"/>
        <w:rPr>
          <w:rFonts w:ascii="方正小标宋_GBK" w:eastAsia="方正小标宋_GBK"/>
          <w:color w:val="auto"/>
          <w:sz w:val="21"/>
          <w:szCs w:val="21"/>
          <w:highlight w:val="none"/>
        </w:rPr>
      </w:pPr>
    </w:p>
    <w:p>
      <w:pPr>
        <w:rPr>
          <w:color w:val="auto"/>
          <w:highlight w:val="none"/>
        </w:rPr>
      </w:pPr>
      <w:r>
        <w:rPr>
          <w:color w:val="auto"/>
          <w:highlight w:val="none"/>
        </w:rPr>
        <w:drawing>
          <wp:inline distT="0" distB="0" distL="114300" distR="114300">
            <wp:extent cx="4674870" cy="994410"/>
            <wp:effectExtent l="0" t="0" r="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4674870" cy="994410"/>
                    </a:xfrm>
                    <a:prstGeom prst="rect">
                      <a:avLst/>
                    </a:prstGeom>
                    <a:noFill/>
                    <a:ln>
                      <a:noFill/>
                    </a:ln>
                  </pic:spPr>
                </pic:pic>
              </a:graphicData>
            </a:graphic>
          </wp:inline>
        </w:drawing>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jc w:val="center"/>
        <w:rPr>
          <w:rFonts w:ascii="方正小标宋_GBK" w:hAnsi="方正小标宋_GBK" w:eastAsia="方正小标宋_GBK" w:cs="方正小标宋_GBK"/>
          <w:b/>
          <w:bCs/>
          <w:color w:val="auto"/>
          <w:sz w:val="56"/>
          <w:szCs w:val="56"/>
          <w:highlight w:val="none"/>
        </w:rPr>
      </w:pPr>
      <w:r>
        <w:rPr>
          <w:rFonts w:hint="eastAsia" w:ascii="方正小标宋_GBK" w:hAnsi="方正小标宋_GBK" w:eastAsia="方正小标宋_GBK" w:cs="方正小标宋_GBK"/>
          <w:b/>
          <w:bCs/>
          <w:color w:val="auto"/>
          <w:sz w:val="56"/>
          <w:szCs w:val="56"/>
          <w:highlight w:val="none"/>
        </w:rPr>
        <w:t>学生管理制度汇编（202</w:t>
      </w:r>
      <w:r>
        <w:rPr>
          <w:rFonts w:hint="eastAsia" w:ascii="方正小标宋_GBK" w:hAnsi="方正小标宋_GBK" w:eastAsia="方正小标宋_GBK" w:cs="方正小标宋_GBK"/>
          <w:b/>
          <w:bCs/>
          <w:color w:val="auto"/>
          <w:sz w:val="56"/>
          <w:szCs w:val="56"/>
          <w:highlight w:val="none"/>
          <w:lang w:val="en-US" w:eastAsia="zh-CN"/>
        </w:rPr>
        <w:t>2</w:t>
      </w:r>
      <w:r>
        <w:rPr>
          <w:rFonts w:hint="eastAsia" w:ascii="方正小标宋_GBK" w:hAnsi="方正小标宋_GBK" w:eastAsia="方正小标宋_GBK" w:cs="方正小标宋_GBK"/>
          <w:b/>
          <w:bCs/>
          <w:color w:val="auto"/>
          <w:sz w:val="56"/>
          <w:szCs w:val="56"/>
          <w:highlight w:val="none"/>
        </w:rPr>
        <w:t>年版）</w:t>
      </w: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spacing w:line="560" w:lineRule="exact"/>
        <w:rPr>
          <w:rFonts w:ascii="方正小标宋_GBK" w:hAnsi="方正小标宋_GBK" w:eastAsia="方正小标宋_GBK" w:cs="方正小标宋_GBK"/>
          <w:b/>
          <w:bCs/>
          <w:color w:val="auto"/>
          <w:sz w:val="56"/>
          <w:szCs w:val="48"/>
          <w:highlight w:val="none"/>
        </w:rPr>
      </w:pPr>
    </w:p>
    <w:p>
      <w:pPr>
        <w:spacing w:line="560" w:lineRule="exact"/>
        <w:jc w:val="center"/>
        <w:rPr>
          <w:rFonts w:hint="eastAsia" w:ascii="方正楷体_GBK" w:hAnsi="方正小标宋_GBK" w:eastAsia="方正楷体_GBK" w:cs="方正小标宋_GBK"/>
          <w:b/>
          <w:color w:val="auto"/>
          <w:sz w:val="36"/>
          <w:szCs w:val="36"/>
          <w:highlight w:val="none"/>
        </w:rPr>
      </w:pPr>
    </w:p>
    <w:p>
      <w:pPr>
        <w:spacing w:line="560" w:lineRule="exact"/>
        <w:jc w:val="center"/>
        <w:rPr>
          <w:rFonts w:ascii="方正楷体_GBK" w:hAnsi="方正小标宋_GBK" w:eastAsia="方正楷体_GBK" w:cs="方正小标宋_GBK"/>
          <w:b/>
          <w:color w:val="auto"/>
          <w:sz w:val="36"/>
          <w:szCs w:val="36"/>
          <w:highlight w:val="none"/>
        </w:rPr>
      </w:pPr>
      <w:r>
        <w:rPr>
          <w:rFonts w:hint="eastAsia" w:ascii="方正楷体_GBK" w:hAnsi="方正小标宋_GBK" w:eastAsia="方正楷体_GBK" w:cs="方正小标宋_GBK"/>
          <w:b/>
          <w:color w:val="auto"/>
          <w:sz w:val="36"/>
          <w:szCs w:val="36"/>
          <w:highlight w:val="none"/>
        </w:rPr>
        <w:t>云南城市建设职业学院</w:t>
      </w:r>
    </w:p>
    <w:p>
      <w:pPr>
        <w:adjustRightInd w:val="0"/>
        <w:snapToGrid w:val="0"/>
        <w:spacing w:line="560" w:lineRule="exact"/>
        <w:jc w:val="center"/>
        <w:rPr>
          <w:rFonts w:ascii="方正楷体_GBK" w:hAnsi="方正小标宋_GBK" w:eastAsia="方正楷体_GBK" w:cs="方正小标宋_GBK"/>
          <w:b/>
          <w:color w:val="auto"/>
          <w:sz w:val="36"/>
          <w:szCs w:val="36"/>
          <w:highlight w:val="none"/>
        </w:rPr>
      </w:pPr>
      <w:r>
        <w:rPr>
          <w:rFonts w:hint="eastAsia" w:ascii="方正楷体_GBK" w:hAnsi="方正小标宋_GBK" w:eastAsia="方正楷体_GBK" w:cs="方正小标宋_GBK"/>
          <w:b/>
          <w:color w:val="auto"/>
          <w:sz w:val="36"/>
          <w:szCs w:val="36"/>
          <w:highlight w:val="none"/>
        </w:rPr>
        <w:t>20</w:t>
      </w:r>
      <w:r>
        <w:rPr>
          <w:rFonts w:hint="eastAsia" w:ascii="方正楷体_GBK" w:hAnsi="方正小标宋_GBK" w:eastAsia="方正楷体_GBK" w:cs="方正小标宋_GBK"/>
          <w:b/>
          <w:color w:val="auto"/>
          <w:sz w:val="36"/>
          <w:szCs w:val="36"/>
          <w:highlight w:val="none"/>
          <w:lang w:val="en-US" w:eastAsia="zh-CN"/>
        </w:rPr>
        <w:t>22</w:t>
      </w:r>
      <w:r>
        <w:rPr>
          <w:rFonts w:hint="eastAsia" w:ascii="方正楷体_GBK" w:hAnsi="方正小标宋_GBK" w:eastAsia="方正楷体_GBK" w:cs="方正小标宋_GBK"/>
          <w:b/>
          <w:color w:val="auto"/>
          <w:sz w:val="36"/>
          <w:szCs w:val="36"/>
          <w:highlight w:val="none"/>
        </w:rPr>
        <w:t>年07月</w:t>
      </w:r>
    </w:p>
    <w:p>
      <w:pPr>
        <w:spacing w:line="560" w:lineRule="exact"/>
        <w:rPr>
          <w:rFonts w:ascii="方正小标宋_GBK" w:eastAsia="方正小标宋_GBK"/>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方正小标宋_GBK" w:eastAsia="方正小标宋_GBK"/>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方正小标宋_GBK" w:eastAsia="方正小标宋_GBK"/>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方正小标宋_GBK" w:eastAsia="方正小标宋_GBK"/>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方正小标宋_GBK" w:eastAsia="方正小标宋_GBK"/>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方正小标宋_GBK" w:eastAsia="方正小标宋_GBK"/>
          <w:color w:val="auto"/>
          <w:sz w:val="21"/>
          <w:szCs w:val="21"/>
          <w:highlight w:val="none"/>
        </w:rPr>
      </w:pPr>
    </w:p>
    <w:p>
      <w:pPr>
        <w:pageBreakBefore w:val="0"/>
        <w:kinsoku/>
        <w:wordWrap/>
        <w:overflowPunct/>
        <w:topLinePunct w:val="0"/>
        <w:autoSpaceDE/>
        <w:autoSpaceDN/>
        <w:bidi w:val="0"/>
        <w:spacing w:line="560" w:lineRule="exact"/>
        <w:jc w:val="center"/>
        <w:textAlignment w:val="auto"/>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rPr>
        <w:t>社会主义核心价值观</w:t>
      </w:r>
    </w:p>
    <w:p>
      <w:pPr>
        <w:pageBreakBefore w:val="0"/>
        <w:kinsoku/>
        <w:wordWrap/>
        <w:overflowPunct/>
        <w:topLinePunct w:val="0"/>
        <w:autoSpaceDE/>
        <w:autoSpaceDN/>
        <w:bidi w:val="0"/>
        <w:spacing w:line="560" w:lineRule="exact"/>
        <w:jc w:val="center"/>
        <w:textAlignment w:val="auto"/>
        <w:rPr>
          <w:rFonts w:ascii="方正小标宋_GBK" w:eastAsia="方正小标宋_GBK"/>
          <w:color w:val="auto"/>
          <w:szCs w:val="21"/>
          <w:highlight w:val="none"/>
        </w:rPr>
      </w:pPr>
    </w:p>
    <w:p>
      <w:pPr>
        <w:pageBreakBefore w:val="0"/>
        <w:kinsoku/>
        <w:wordWrap/>
        <w:overflowPunct/>
        <w:topLinePunct w:val="0"/>
        <w:autoSpaceDE/>
        <w:autoSpaceDN/>
        <w:bidi w:val="0"/>
        <w:spacing w:line="560" w:lineRule="exact"/>
        <w:jc w:val="center"/>
        <w:textAlignment w:val="auto"/>
        <w:rPr>
          <w:rFonts w:ascii="方正楷体_GBK" w:hAnsi="方正楷体_GBK" w:eastAsia="方正楷体_GBK" w:cs="方正楷体_GBK"/>
          <w:color w:val="auto"/>
          <w:sz w:val="52"/>
          <w:szCs w:val="44"/>
          <w:highlight w:val="none"/>
          <w:shd w:val="clear" w:color="auto" w:fill="FFFFFF"/>
        </w:rPr>
      </w:pPr>
      <w:r>
        <w:rPr>
          <w:rFonts w:hint="eastAsia" w:ascii="方正楷体_GBK" w:hAnsi="方正楷体_GBK" w:eastAsia="方正楷体_GBK" w:cs="方正楷体_GBK"/>
          <w:color w:val="auto"/>
          <w:sz w:val="52"/>
          <w:szCs w:val="44"/>
          <w:highlight w:val="none"/>
          <w:shd w:val="clear" w:color="auto" w:fill="FFFFFF"/>
        </w:rPr>
        <w:t>富强、民主、文明、和谐；</w:t>
      </w:r>
    </w:p>
    <w:p>
      <w:pPr>
        <w:pageBreakBefore w:val="0"/>
        <w:kinsoku/>
        <w:wordWrap/>
        <w:overflowPunct/>
        <w:topLinePunct w:val="0"/>
        <w:autoSpaceDE/>
        <w:autoSpaceDN/>
        <w:bidi w:val="0"/>
        <w:spacing w:line="560" w:lineRule="exact"/>
        <w:jc w:val="center"/>
        <w:textAlignment w:val="auto"/>
        <w:rPr>
          <w:rFonts w:ascii="方正楷体_GBK" w:hAnsi="方正楷体_GBK" w:eastAsia="方正楷体_GBK" w:cs="方正楷体_GBK"/>
          <w:color w:val="auto"/>
          <w:sz w:val="52"/>
          <w:szCs w:val="44"/>
          <w:highlight w:val="none"/>
          <w:shd w:val="clear" w:color="auto" w:fill="FFFFFF"/>
        </w:rPr>
      </w:pPr>
      <w:r>
        <w:rPr>
          <w:rFonts w:hint="eastAsia" w:ascii="方正楷体_GBK" w:hAnsi="方正楷体_GBK" w:eastAsia="方正楷体_GBK" w:cs="方正楷体_GBK"/>
          <w:color w:val="auto"/>
          <w:sz w:val="52"/>
          <w:szCs w:val="44"/>
          <w:highlight w:val="none"/>
          <w:shd w:val="clear" w:color="auto" w:fill="FFFFFF"/>
        </w:rPr>
        <w:t>自由、平等、公正、法治；</w:t>
      </w:r>
    </w:p>
    <w:p>
      <w:pPr>
        <w:pageBreakBefore w:val="0"/>
        <w:kinsoku/>
        <w:wordWrap/>
        <w:overflowPunct/>
        <w:topLinePunct w:val="0"/>
        <w:autoSpaceDE/>
        <w:autoSpaceDN/>
        <w:bidi w:val="0"/>
        <w:spacing w:line="560" w:lineRule="exact"/>
        <w:jc w:val="center"/>
        <w:textAlignment w:val="auto"/>
        <w:rPr>
          <w:rFonts w:ascii="方正楷体_GBK" w:hAnsi="Arial" w:eastAsia="方正楷体_GBK" w:cs="Arial"/>
          <w:color w:val="auto"/>
          <w:sz w:val="52"/>
          <w:szCs w:val="44"/>
          <w:highlight w:val="none"/>
          <w:shd w:val="clear" w:color="auto" w:fill="FFFFFF"/>
        </w:rPr>
      </w:pPr>
      <w:r>
        <w:rPr>
          <w:rFonts w:hint="eastAsia" w:ascii="方正楷体_GBK" w:hAnsi="方正楷体_GBK" w:eastAsia="方正楷体_GBK" w:cs="方正楷体_GBK"/>
          <w:color w:val="auto"/>
          <w:sz w:val="52"/>
          <w:szCs w:val="44"/>
          <w:highlight w:val="none"/>
          <w:shd w:val="clear" w:color="auto" w:fill="FFFFFF"/>
        </w:rPr>
        <w:t>爱国、敬业、诚信、友善。</w:t>
      </w:r>
    </w:p>
    <w:p>
      <w:pPr>
        <w:pageBreakBefore w:val="0"/>
        <w:kinsoku/>
        <w:wordWrap/>
        <w:overflowPunct/>
        <w:topLinePunct w:val="0"/>
        <w:autoSpaceDE/>
        <w:autoSpaceDN/>
        <w:bidi w:val="0"/>
        <w:spacing w:line="560" w:lineRule="exact"/>
        <w:jc w:val="center"/>
        <w:textAlignment w:val="auto"/>
        <w:rPr>
          <w:rFonts w:ascii="宋体" w:hAnsi="宋体" w:eastAsia="黑体" w:cs="Times New Roman"/>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ascii="宋体" w:hAnsi="宋体" w:eastAsia="黑体" w:cs="Times New Roman"/>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ascii="宋体" w:hAnsi="宋体" w:eastAsia="黑体" w:cs="Times New Roman"/>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ascii="宋体" w:hAnsi="宋体" w:eastAsia="黑体" w:cs="Times New Roman"/>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hint="eastAsia" w:ascii="方正公文小标宋" w:hAnsi="方正公文小标宋" w:eastAsia="方正公文小标宋" w:cs="方正公文小标宋"/>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hint="eastAsia" w:ascii="方正公文小标宋" w:hAnsi="方正公文小标宋" w:eastAsia="方正公文小标宋" w:cs="方正公文小标宋"/>
          <w:b/>
          <w:color w:val="auto"/>
          <w:kern w:val="44"/>
          <w:sz w:val="56"/>
          <w:szCs w:val="144"/>
          <w:highlight w:val="none"/>
        </w:rPr>
      </w:pP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sz w:val="44"/>
          <w:szCs w:val="44"/>
          <w:highlight w:val="none"/>
        </w:rPr>
      </w:pPr>
      <w:bookmarkStart w:id="0" w:name="_Toc19594"/>
      <w:r>
        <w:rPr>
          <w:rFonts w:hint="eastAsia" w:ascii="方正小标宋_GBK" w:hAnsi="方正小标宋_GBK" w:eastAsia="方正小标宋_GBK" w:cs="方正小标宋_GBK"/>
          <w:color w:val="auto"/>
          <w:sz w:val="44"/>
          <w:szCs w:val="44"/>
          <w:highlight w:val="none"/>
        </w:rPr>
        <w:t>辅导员（班主任）誓词</w:t>
      </w:r>
      <w:bookmarkEnd w:id="0"/>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color w:val="auto"/>
          <w:kern w:val="44"/>
          <w:sz w:val="52"/>
          <w:szCs w:val="52"/>
          <w:highlight w:val="none"/>
        </w:rPr>
      </w:pP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sz w:val="56"/>
          <w:szCs w:val="48"/>
          <w:highlight w:val="none"/>
          <w:shd w:val="clear" w:color="auto" w:fill="FFFFFF"/>
        </w:rPr>
      </w:pPr>
      <w:r>
        <w:rPr>
          <w:rFonts w:hint="eastAsia" w:ascii="方正小标宋_GBK" w:hAnsi="方正小标宋_GBK" w:eastAsia="方正小标宋_GBK" w:cs="方正小标宋_GBK"/>
          <w:color w:val="auto"/>
          <w:sz w:val="56"/>
          <w:szCs w:val="48"/>
          <w:highlight w:val="none"/>
          <w:shd w:val="clear" w:color="auto" w:fill="FFFFFF"/>
        </w:rPr>
        <w:t>忠 诚 教 育；</w:t>
      </w: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sz w:val="56"/>
          <w:szCs w:val="48"/>
          <w:highlight w:val="none"/>
          <w:shd w:val="clear" w:color="auto" w:fill="FFFFFF"/>
        </w:rPr>
      </w:pPr>
      <w:r>
        <w:rPr>
          <w:rFonts w:hint="eastAsia" w:ascii="方正小标宋_GBK" w:hAnsi="方正小标宋_GBK" w:eastAsia="方正小标宋_GBK" w:cs="方正小标宋_GBK"/>
          <w:color w:val="auto"/>
          <w:sz w:val="56"/>
          <w:szCs w:val="48"/>
          <w:highlight w:val="none"/>
          <w:shd w:val="clear" w:color="auto" w:fill="FFFFFF"/>
        </w:rPr>
        <w:t>教 真 育 爱；</w:t>
      </w: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Cs/>
          <w:color w:val="auto"/>
          <w:kern w:val="44"/>
          <w:sz w:val="72"/>
          <w:szCs w:val="160"/>
          <w:highlight w:val="none"/>
        </w:rPr>
      </w:pPr>
      <w:r>
        <w:rPr>
          <w:rFonts w:hint="eastAsia" w:ascii="方正小标宋_GBK" w:hAnsi="方正小标宋_GBK" w:eastAsia="方正小标宋_GBK" w:cs="方正小标宋_GBK"/>
          <w:color w:val="auto"/>
          <w:sz w:val="56"/>
          <w:szCs w:val="48"/>
          <w:highlight w:val="none"/>
          <w:shd w:val="clear" w:color="auto" w:fill="FFFFFF"/>
        </w:rPr>
        <w:t>立 德 树 人。</w:t>
      </w:r>
    </w:p>
    <w:p>
      <w:pPr>
        <w:pageBreakBefore w:val="0"/>
        <w:kinsoku/>
        <w:wordWrap/>
        <w:overflowPunct/>
        <w:topLinePunct w:val="0"/>
        <w:autoSpaceDE/>
        <w:autoSpaceDN/>
        <w:bidi w:val="0"/>
        <w:spacing w:line="560" w:lineRule="exact"/>
        <w:jc w:val="center"/>
        <w:textAlignment w:val="auto"/>
        <w:rPr>
          <w:rFonts w:ascii="宋体" w:hAnsi="宋体" w:eastAsia="黑体" w:cs="Times New Roman"/>
          <w:b/>
          <w:color w:val="auto"/>
          <w:kern w:val="44"/>
          <w:sz w:val="36"/>
          <w:szCs w:val="48"/>
          <w:highlight w:val="none"/>
        </w:rPr>
      </w:pPr>
    </w:p>
    <w:p>
      <w:pPr>
        <w:pageBreakBefore w:val="0"/>
        <w:kinsoku/>
        <w:wordWrap/>
        <w:overflowPunct/>
        <w:topLinePunct w:val="0"/>
        <w:autoSpaceDE/>
        <w:autoSpaceDN/>
        <w:bidi w:val="0"/>
        <w:spacing w:line="560" w:lineRule="exact"/>
        <w:jc w:val="center"/>
        <w:textAlignment w:val="auto"/>
        <w:rPr>
          <w:color w:val="auto"/>
          <w:highlight w:val="none"/>
        </w:rPr>
      </w:pPr>
      <w:r>
        <w:rPr>
          <w:rFonts w:hint="eastAsia" w:ascii="宋体" w:hAnsi="宋体" w:eastAsia="黑体" w:cs="Times New Roman"/>
          <w:b/>
          <w:color w:val="auto"/>
          <w:kern w:val="44"/>
          <w:sz w:val="36"/>
          <w:szCs w:val="48"/>
          <w:highlight w:val="none"/>
        </w:rPr>
        <w:t xml:space="preserve"> </w:t>
      </w:r>
    </w:p>
    <w:p>
      <w:pPr>
        <w:pageBreakBefore w:val="0"/>
        <w:kinsoku/>
        <w:wordWrap/>
        <w:overflowPunct/>
        <w:topLinePunct w:val="0"/>
        <w:autoSpaceDE/>
        <w:autoSpaceDN/>
        <w:bidi w:val="0"/>
        <w:spacing w:line="560" w:lineRule="exact"/>
        <w:jc w:val="center"/>
        <w:textAlignment w:val="auto"/>
        <w:rPr>
          <w:rFonts w:ascii="方正黑体_GBK" w:hAnsi="方正黑体_GBK" w:eastAsia="方正黑体_GBK" w:cs="方正黑体_GBK"/>
          <w:b/>
          <w:color w:val="auto"/>
          <w:szCs w:val="21"/>
          <w:highlight w:val="none"/>
        </w:rPr>
      </w:pPr>
    </w:p>
    <w:p>
      <w:pPr>
        <w:pageBreakBefore w:val="0"/>
        <w:kinsoku/>
        <w:wordWrap/>
        <w:overflowPunct/>
        <w:topLinePunct w:val="0"/>
        <w:autoSpaceDE/>
        <w:autoSpaceDN/>
        <w:bidi w:val="0"/>
        <w:spacing w:line="560" w:lineRule="exact"/>
        <w:jc w:val="center"/>
        <w:textAlignment w:val="auto"/>
        <w:rPr>
          <w:rFonts w:ascii="方正黑体_GBK" w:hAnsi="方正黑体_GBK" w:eastAsia="方正黑体_GBK" w:cs="方正黑体_GBK"/>
          <w:b/>
          <w:color w:val="auto"/>
          <w:szCs w:val="21"/>
          <w:highlight w:val="none"/>
        </w:rPr>
      </w:pPr>
    </w:p>
    <w:p>
      <w:pPr>
        <w:pageBreakBefore w:val="0"/>
        <w:kinsoku/>
        <w:wordWrap/>
        <w:overflowPunct/>
        <w:topLinePunct w:val="0"/>
        <w:autoSpaceDE/>
        <w:autoSpaceDN/>
        <w:bidi w:val="0"/>
        <w:spacing w:line="560" w:lineRule="exact"/>
        <w:jc w:val="center"/>
        <w:textAlignment w:val="auto"/>
        <w:rPr>
          <w:rFonts w:hint="eastAsia" w:ascii="方正小标宋_GBK" w:eastAsia="方正小标宋_GBK"/>
          <w:color w:val="auto"/>
          <w:sz w:val="32"/>
          <w:szCs w:val="32"/>
          <w:highlight w:val="none"/>
        </w:rPr>
      </w:pPr>
    </w:p>
    <w:p>
      <w:pPr>
        <w:pageBreakBefore w:val="0"/>
        <w:kinsoku/>
        <w:wordWrap/>
        <w:overflowPunct/>
        <w:topLinePunct w:val="0"/>
        <w:autoSpaceDE/>
        <w:autoSpaceDN/>
        <w:bidi w:val="0"/>
        <w:spacing w:line="560" w:lineRule="exact"/>
        <w:jc w:val="center"/>
        <w:textAlignment w:val="auto"/>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rPr>
        <w:t>前   言</w:t>
      </w:r>
    </w:p>
    <w:p>
      <w:pPr>
        <w:pageBreakBefore w:val="0"/>
        <w:kinsoku/>
        <w:wordWrap/>
        <w:overflowPunct/>
        <w:topLinePunct w:val="0"/>
        <w:autoSpaceDE/>
        <w:autoSpaceDN/>
        <w:bidi w:val="0"/>
        <w:spacing w:line="560" w:lineRule="exact"/>
        <w:textAlignment w:val="auto"/>
        <w:rPr>
          <w:rFonts w:ascii="方正仿宋_GBK" w:eastAsia="方正仿宋_GBK"/>
          <w:color w:val="auto"/>
          <w:sz w:val="32"/>
          <w:szCs w:val="32"/>
          <w:highlight w:val="none"/>
        </w:rPr>
      </w:pP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为全面贯彻党的教育方针，认真落实习近平总书记在全国教育大会上的讲话精神，维护学校正常的教育教学和生活秩序，保障学生身心健康，促进学生德、智、体、美、劳全面发展，使学校学生管理工作更加规范化、科学化、制度化，学校在贯彻《普通高等学校学生管理规定》（教育部令第41号）的基础上，结合学校学生管理工作的实际，对学校已经运行的和已有的学生管理工作规章制度再次进行修改和完善，汇编成《云南城市建设职业学院学生管理制度汇编》（20</w:t>
      </w:r>
      <w:r>
        <w:rPr>
          <w:rFonts w:hint="eastAsia" w:ascii="方正仿宋_GBK" w:eastAsia="方正仿宋_GBK"/>
          <w:color w:val="auto"/>
          <w:sz w:val="32"/>
          <w:szCs w:val="32"/>
          <w:highlight w:val="none"/>
          <w:lang w:val="en-US" w:eastAsia="zh-CN"/>
        </w:rPr>
        <w:t>22</w:t>
      </w:r>
      <w:r>
        <w:rPr>
          <w:rFonts w:hint="eastAsia" w:ascii="方正仿宋_GBK" w:eastAsia="方正仿宋_GBK"/>
          <w:color w:val="auto"/>
          <w:sz w:val="32"/>
          <w:szCs w:val="32"/>
          <w:highlight w:val="none"/>
        </w:rPr>
        <w:t>年版）。</w:t>
      </w: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《学生管理制度汇编》（202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年版）中收编的学校管理各项规章制度是经过学校相关部门认真研究并经学校讨论通过的，具有权威性。对于加强学风、校风建设和维护学校学生管理秩序具有重要意义。</w:t>
      </w: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《学生管理制度汇编》（202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年版）中涉及的内容与学校学生管理工作息息相关，是学生工作管理队伍在学生管理方面的指南。学校要求全体学生工作人员，要全面了解学校学生管理相关制度，认真进行学习，共同做好学生管理工作。</w:t>
      </w:r>
    </w:p>
    <w:p>
      <w:pPr>
        <w:pageBreakBefore w:val="0"/>
        <w:kinsoku/>
        <w:wordWrap/>
        <w:overflowPunct/>
        <w:topLinePunct w:val="0"/>
        <w:autoSpaceDE/>
        <w:autoSpaceDN/>
        <w:bidi w:val="0"/>
        <w:spacing w:line="560" w:lineRule="exact"/>
        <w:ind w:right="320" w:firstLine="640" w:firstLineChars="200"/>
        <w:jc w:val="right"/>
        <w:textAlignment w:val="auto"/>
        <w:rPr>
          <w:rFonts w:ascii="方正仿宋_GBK" w:eastAsia="方正仿宋_GBK"/>
          <w:color w:val="auto"/>
          <w:sz w:val="32"/>
          <w:szCs w:val="32"/>
          <w:highlight w:val="none"/>
        </w:rPr>
      </w:pPr>
    </w:p>
    <w:p>
      <w:pPr>
        <w:pageBreakBefore w:val="0"/>
        <w:kinsoku/>
        <w:wordWrap/>
        <w:overflowPunct/>
        <w:topLinePunct w:val="0"/>
        <w:autoSpaceDE/>
        <w:autoSpaceDN/>
        <w:bidi w:val="0"/>
        <w:spacing w:line="560" w:lineRule="exact"/>
        <w:ind w:right="320" w:firstLine="640" w:firstLineChars="200"/>
        <w:jc w:val="right"/>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编委会</w:t>
      </w:r>
    </w:p>
    <w:p>
      <w:pPr>
        <w:pageBreakBefore w:val="0"/>
        <w:kinsoku/>
        <w:wordWrap/>
        <w:overflowPunct/>
        <w:topLinePunct w:val="0"/>
        <w:autoSpaceDE/>
        <w:autoSpaceDN/>
        <w:bidi w:val="0"/>
        <w:spacing w:line="560" w:lineRule="exact"/>
        <w:ind w:firstLine="640" w:firstLineChars="200"/>
        <w:jc w:val="right"/>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20</w:t>
      </w:r>
      <w:r>
        <w:rPr>
          <w:rFonts w:hint="eastAsia" w:ascii="方正仿宋_GBK" w:eastAsia="方正仿宋_GBK"/>
          <w:color w:val="auto"/>
          <w:sz w:val="32"/>
          <w:szCs w:val="32"/>
          <w:highlight w:val="none"/>
          <w:lang w:val="en-US" w:eastAsia="zh-CN"/>
        </w:rPr>
        <w:t>22</w:t>
      </w:r>
      <w:r>
        <w:rPr>
          <w:rFonts w:hint="eastAsia" w:ascii="方正仿宋_GBK" w:eastAsia="方正仿宋_GBK"/>
          <w:color w:val="auto"/>
          <w:sz w:val="32"/>
          <w:szCs w:val="32"/>
          <w:highlight w:val="none"/>
        </w:rPr>
        <w:t>年07月</w:t>
      </w:r>
    </w:p>
    <w:p>
      <w:pPr>
        <w:pageBreakBefore w:val="0"/>
        <w:kinsoku/>
        <w:wordWrap/>
        <w:overflowPunct/>
        <w:topLinePunct w:val="0"/>
        <w:autoSpaceDE/>
        <w:autoSpaceDN/>
        <w:bidi w:val="0"/>
        <w:spacing w:line="560" w:lineRule="exact"/>
        <w:ind w:firstLine="640" w:firstLineChars="200"/>
        <w:jc w:val="right"/>
        <w:textAlignment w:val="auto"/>
        <w:rPr>
          <w:rFonts w:ascii="方正仿宋_GBK" w:eastAsia="方正仿宋_GBK"/>
          <w:color w:val="auto"/>
          <w:sz w:val="32"/>
          <w:szCs w:val="32"/>
          <w:highlight w:val="none"/>
        </w:rPr>
      </w:pP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0"/>
          <w:sz w:val="32"/>
          <w:szCs w:val="32"/>
          <w:highlight w:val="none"/>
          <w:lang w:val="en-US" w:eastAsia="zh-CN"/>
        </w:rPr>
      </w:pP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0"/>
          <w:sz w:val="32"/>
          <w:szCs w:val="32"/>
          <w:highlight w:val="none"/>
          <w:lang w:val="en-US" w:eastAsia="zh-CN"/>
        </w:rPr>
      </w:pPr>
    </w:p>
    <w:p>
      <w:pPr>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0"/>
          <w:sz w:val="44"/>
          <w:szCs w:val="44"/>
          <w:highlight w:val="none"/>
          <w:lang w:val="en-US" w:eastAsia="zh-CN"/>
        </w:rPr>
      </w:pPr>
      <w:r>
        <w:rPr>
          <w:rFonts w:hint="eastAsia" w:ascii="方正小标宋_GBK" w:hAnsi="方正小标宋_GBK" w:eastAsia="方正小标宋_GBK" w:cs="方正小标宋_GBK"/>
          <w:color w:val="auto"/>
          <w:kern w:val="0"/>
          <w:sz w:val="44"/>
          <w:szCs w:val="44"/>
          <w:highlight w:val="none"/>
          <w:lang w:val="en-US" w:eastAsia="zh-CN"/>
        </w:rPr>
        <w:t>学校简介</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云南城市建设职业学院是经云南省人民政府批准、国家教育部备案，具有独立颁发国家高等专科学历资格证书的全日制普通高等院校，纳入全国统一计划招生。</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拥有丰富的国内外优质教育资源，以专硕直通、专本直通、品质游学、全面赋能为办学特色，为有志提升学历的学生提供便捷通道，让学生轻松实现国外升硕和国内升本的目标。学校以“产教融合，校企合作”为基本育人理念，培养高质量的应用型、技能型人才，为想就业、创业的学生搭建个性化的资源共享平台。</w:t>
      </w:r>
    </w:p>
    <w:p>
      <w:pPr>
        <w:pageBreakBefore w:val="0"/>
        <w:kinsoku/>
        <w:wordWrap/>
        <w:overflowPunct/>
        <w:topLinePunct w:val="0"/>
        <w:autoSpaceDE/>
        <w:autoSpaceDN/>
        <w:bidi w:val="0"/>
        <w:spacing w:line="560" w:lineRule="exact"/>
        <w:ind w:firstLine="643" w:firstLineChars="200"/>
        <w:textAlignment w:val="auto"/>
        <w:rPr>
          <w:rFonts w:hint="eastAsia" w:ascii="方正仿宋_GBK" w:eastAsia="方正仿宋_GBK"/>
          <w:color w:val="auto"/>
          <w:sz w:val="32"/>
          <w:szCs w:val="32"/>
          <w:highlight w:val="none"/>
        </w:rPr>
      </w:pPr>
      <w:r>
        <w:rPr>
          <w:rFonts w:hint="eastAsia" w:ascii="方正黑体_GBK" w:hAnsi="方正黑体_GBK" w:eastAsia="方正黑体_GBK" w:cs="方正黑体_GBK"/>
          <w:b/>
          <w:bCs/>
          <w:color w:val="auto"/>
          <w:sz w:val="32"/>
          <w:szCs w:val="32"/>
          <w:highlight w:val="none"/>
        </w:rPr>
        <w:t>七彩城建，大咖云集</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学校位于七彩云南的省会城市昆明市杨林职教园区，在校学生近14000人，开设有建筑工程技术、建筑室内设计、工程造价、会计、学前教育、护理、城市轨道交通工程技术等3</w:t>
      </w:r>
      <w:r>
        <w:rPr>
          <w:rFonts w:hint="eastAsia" w:ascii="方正仿宋_GBK" w:eastAsia="方正仿宋_GBK"/>
          <w:color w:val="auto"/>
          <w:sz w:val="32"/>
          <w:szCs w:val="32"/>
          <w:highlight w:val="none"/>
          <w:lang w:val="en-US" w:eastAsia="zh-CN"/>
        </w:rPr>
        <w:t>9</w:t>
      </w:r>
      <w:r>
        <w:rPr>
          <w:rFonts w:hint="eastAsia" w:ascii="方正仿宋_GBK" w:eastAsia="方正仿宋_GBK"/>
          <w:color w:val="auto"/>
          <w:sz w:val="32"/>
          <w:szCs w:val="32"/>
          <w:highlight w:val="none"/>
        </w:rPr>
        <w:t>个专业。</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成立了国际顾问委员会，由诺贝尔经济学奖得主埃里克·马斯金担任名誉主任，聘请政商学术界国际大咖担任国际顾问委员，并担任专硕直通国际班荣誉导师，定期开展学术报告，助力学生升学之路。学校高度重视学生德智体美劳全面发展，聘请全国五一劳动奖章获得者王建生担任学校德育导师。</w:t>
      </w:r>
    </w:p>
    <w:p>
      <w:pPr>
        <w:pageBreakBefore w:val="0"/>
        <w:kinsoku/>
        <w:wordWrap/>
        <w:overflowPunct/>
        <w:topLinePunct w:val="0"/>
        <w:autoSpaceDE/>
        <w:autoSpaceDN/>
        <w:bidi w:val="0"/>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高端城建，专硕直通</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在高等教育国际化背景下，为培养更高层次的优秀人才，满足学生高层次学习的个性化需求，学校依托北方国际大学联盟的国际合作资源，现与英国、澳大利亚、加拿大、新西兰等全球多个国家近200所学校建立了校际互访、师生交流、海外学习等合作关系。校内学生可通过“3+1”、“3+2</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rPr>
        <w:t>专硕直通国际班的形式，无缝对接英国格拉斯哥大学、杜伦大学、澳大利亚阿德莱德大学等世界名校</w:t>
      </w:r>
      <w:r>
        <w:rPr>
          <w:rFonts w:hint="eastAsia" w:ascii="方正仿宋_GBK" w:eastAsia="方正仿宋_GBK"/>
          <w:color w:val="auto"/>
          <w:sz w:val="32"/>
          <w:szCs w:val="32"/>
          <w:highlight w:val="none"/>
          <w:lang w:eastAsia="zh-CN"/>
        </w:rPr>
        <w:t>。</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专硕直通无须经过本科阶段的学习，学生在国内三年制大专课程完成后，就读1年硕士预科或桥梁课程（部分学校可将海外大学1年预科课程融入3年大专课程中），完成后进入1年海外硕士课程学习，可在4年或5年内完成升硕，回国后获得教育部留学服务中心学历认证。 </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在国内三年制大专期间，通过采用小班式教学，系统学习雅思课程和海外大学预科课程，以优秀师资阵容、全程导师服务为优势,以国际性活动、公益活动及学科竞赛为亮点，量身定制个性化培养方案，全面提升学生英语应用能力、专业理论知识及综合素质水平，为顺利进入海外名校夯实基础。   </w:t>
      </w:r>
    </w:p>
    <w:p>
      <w:pPr>
        <w:pageBreakBefore w:val="0"/>
        <w:kinsoku/>
        <w:wordWrap/>
        <w:overflowPunct/>
        <w:topLinePunct w:val="0"/>
        <w:autoSpaceDE/>
        <w:autoSpaceDN/>
        <w:bidi w:val="0"/>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国际城建，品质游学</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学校确立了“内外双驱”</w:t>
      </w:r>
      <w:r>
        <w:rPr>
          <w:rFonts w:hint="eastAsia" w:ascii="方正仿宋_GBK" w:eastAsia="方正仿宋_GBK"/>
          <w:color w:val="auto"/>
          <w:sz w:val="32"/>
          <w:szCs w:val="32"/>
          <w:highlight w:val="none"/>
          <w:lang w:val="en-US" w:eastAsia="zh-CN"/>
        </w:rPr>
        <w:t>等</w:t>
      </w:r>
      <w:r>
        <w:rPr>
          <w:rFonts w:hint="eastAsia" w:ascii="方正仿宋_GBK" w:eastAsia="方正仿宋_GBK"/>
          <w:color w:val="auto"/>
          <w:sz w:val="32"/>
          <w:szCs w:val="32"/>
          <w:highlight w:val="none"/>
        </w:rPr>
        <w:t>国际化人才培养模式，与加拿大维多利亚大学、皇家大学、美国加州大学欧文分校、英国斯旺西大学合作开展了“加拿大青年领袖训练营”“加拿大（学期团）One Semester Program(OSP)”“美国精鹰计划”“英伦大学堂”“法兰西艺术沙龙”“澳洲领航行动”“奥地利文化体验营”等中短期高品质国际访学活动。现已有100余名学生赴欧、美、澳、加等国进行学习，通过海外留学，建立国际教育背景、与明星成为学伴、体验沉浸式英语教学环境、参与联合国人口基金</w:t>
      </w:r>
      <w:r>
        <w:rPr>
          <w:rFonts w:hint="eastAsia" w:ascii="方正仿宋_GBK" w:eastAsia="方正仿宋_GBK"/>
          <w:color w:val="auto"/>
          <w:sz w:val="32"/>
          <w:szCs w:val="32"/>
          <w:highlight w:val="none"/>
          <w:lang w:val="en-US" w:eastAsia="zh-CN"/>
        </w:rPr>
        <w:t>upower计划</w:t>
      </w:r>
      <w:r>
        <w:rPr>
          <w:rFonts w:hint="eastAsia" w:ascii="方正仿宋_GBK" w:eastAsia="方正仿宋_GBK"/>
          <w:color w:val="auto"/>
          <w:sz w:val="32"/>
          <w:szCs w:val="32"/>
          <w:highlight w:val="none"/>
        </w:rPr>
        <w:t>“一带一路”青年领导力培训班、与国际导师面对面交流、感受世界名校创新课堂、体验时尚艺术、开展多元文化学习模式、培养创新应用型人才，亲身体验国外高等教育方式、校园生活与学术氛围，在教学相长中获得全球新知，成为具备全球视野和人文素养的高层次人才。</w:t>
      </w:r>
    </w:p>
    <w:p>
      <w:pPr>
        <w:pageBreakBefore w:val="0"/>
        <w:kinsoku/>
        <w:wordWrap/>
        <w:overflowPunct/>
        <w:topLinePunct w:val="0"/>
        <w:autoSpaceDE/>
        <w:autoSpaceDN/>
        <w:bidi w:val="0"/>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个性城建，专本直通</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学校自2016年开始与</w:t>
      </w:r>
      <w:r>
        <w:rPr>
          <w:rFonts w:hint="eastAsia" w:ascii="方正仿宋_GBK" w:eastAsia="方正仿宋_GBK"/>
          <w:color w:val="auto"/>
          <w:sz w:val="32"/>
          <w:szCs w:val="32"/>
          <w:highlight w:val="none"/>
          <w:lang w:val="en-US" w:eastAsia="zh-CN"/>
        </w:rPr>
        <w:t>昆明城市学院（原</w:t>
      </w:r>
      <w:r>
        <w:rPr>
          <w:rFonts w:hint="eastAsia" w:ascii="方正仿宋_GBK" w:eastAsia="方正仿宋_GBK"/>
          <w:color w:val="auto"/>
          <w:sz w:val="32"/>
          <w:szCs w:val="32"/>
          <w:highlight w:val="none"/>
        </w:rPr>
        <w:t>云南师范大学商学院</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云南艺术学院文华学院建立“专升本培养立交桥”，学生入校，即可共享教学环境、优质师资、教学资源，提前学习本科部分课程。为提高学生专升本考试通过率，学校聘请优质师资开展考前培训，开设专升本应考培训班，助力学生学历提升。2018-202</w:t>
      </w:r>
      <w:r>
        <w:rPr>
          <w:rFonts w:hint="eastAsia" w:ascii="方正仿宋_GBK" w:eastAsia="方正仿宋_GBK"/>
          <w:color w:val="auto"/>
          <w:sz w:val="32"/>
          <w:szCs w:val="32"/>
          <w:highlight w:val="none"/>
          <w:lang w:val="en-US" w:eastAsia="zh-CN"/>
        </w:rPr>
        <w:t>1</w:t>
      </w:r>
      <w:r>
        <w:rPr>
          <w:rFonts w:hint="eastAsia" w:ascii="方正仿宋_GBK" w:eastAsia="方正仿宋_GBK"/>
          <w:color w:val="auto"/>
          <w:sz w:val="32"/>
          <w:szCs w:val="32"/>
          <w:highlight w:val="none"/>
        </w:rPr>
        <w:t>年，学校专升本人数激增，本科录取率连续</w:t>
      </w:r>
      <w:r>
        <w:rPr>
          <w:rFonts w:hint="eastAsia" w:ascii="方正仿宋_GBK" w:eastAsia="方正仿宋_GBK"/>
          <w:color w:val="auto"/>
          <w:sz w:val="32"/>
          <w:szCs w:val="32"/>
          <w:highlight w:val="none"/>
          <w:lang w:val="en-US" w:eastAsia="zh-CN"/>
        </w:rPr>
        <w:t>4</w:t>
      </w:r>
      <w:r>
        <w:rPr>
          <w:rFonts w:hint="eastAsia" w:ascii="方正仿宋_GBK" w:eastAsia="方正仿宋_GBK"/>
          <w:color w:val="auto"/>
          <w:sz w:val="32"/>
          <w:szCs w:val="32"/>
          <w:highlight w:val="none"/>
        </w:rPr>
        <w:t>年达92%以上，专升本免试入学人数达1</w:t>
      </w:r>
      <w:r>
        <w:rPr>
          <w:rFonts w:hint="eastAsia" w:ascii="方正仿宋_GBK" w:eastAsia="方正仿宋_GBK"/>
          <w:color w:val="auto"/>
          <w:sz w:val="32"/>
          <w:szCs w:val="32"/>
          <w:highlight w:val="none"/>
          <w:lang w:val="en-US" w:eastAsia="zh-CN"/>
        </w:rPr>
        <w:t>20</w:t>
      </w:r>
      <w:r>
        <w:rPr>
          <w:rFonts w:hint="eastAsia" w:ascii="方正仿宋_GBK" w:eastAsia="方正仿宋_GBK"/>
          <w:color w:val="auto"/>
          <w:sz w:val="32"/>
          <w:szCs w:val="32"/>
          <w:highlight w:val="none"/>
        </w:rPr>
        <w:t>余人。</w:t>
      </w:r>
    </w:p>
    <w:p>
      <w:pPr>
        <w:pageBreakBefore w:val="0"/>
        <w:kinsoku/>
        <w:wordWrap/>
        <w:overflowPunct/>
        <w:topLinePunct w:val="0"/>
        <w:autoSpaceDE/>
        <w:autoSpaceDN/>
        <w:bidi w:val="0"/>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多元城建，全面赋能</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学校与中建四局集团、中国石油、中国石化、云天化集团、云南建投等千余家知名企业签订校企合作办学协议。为学生就业、创业、实习提供了有力保障，毕业生就业率</w:t>
      </w:r>
      <w:r>
        <w:rPr>
          <w:rFonts w:hint="eastAsia" w:ascii="方正仿宋_GBK" w:eastAsia="方正仿宋_GBK"/>
          <w:color w:val="auto"/>
          <w:sz w:val="32"/>
          <w:szCs w:val="32"/>
          <w:highlight w:val="none"/>
          <w:lang w:val="en-US" w:eastAsia="zh-CN"/>
        </w:rPr>
        <w:t>一直</w:t>
      </w:r>
      <w:r>
        <w:rPr>
          <w:rFonts w:hint="eastAsia" w:ascii="方正仿宋_GBK" w:eastAsia="方正仿宋_GBK"/>
          <w:color w:val="auto"/>
          <w:sz w:val="32"/>
          <w:szCs w:val="32"/>
          <w:highlight w:val="none"/>
        </w:rPr>
        <w:t>保持在98%以上，连续五年荣获省教育厅就业创业工作二等奖、云南省高校毕业生基层就业优秀奖。</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高度重视学生的各项增值赋能服务，并通过以赛促学，不断提升学生的技能水平，学校散打队连续3年荣获全省大学生武术散打比赛第一名，学校足球队两次荣获云南省大学生足球联赛第一名，2019年学校足球队，荣获云南省大学生足球联赛第一名，并代表云南省大学生参加全国大赛。</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rPr>
        <w:t>学校以为学生服务为重点，聚焦广大学生发展成才，不断增强学校的办学实力和专业优势，推动各项工作稳步发展。2012年荣获云南省级文明学校称号；2013年学校成为唯一通过云南省高校思政课合格评估的民办高职院校；2015荣获云南省高职高专足球比赛第一名；2016年顺利通过“人才培养工作内涵+特色评估”；2016年至2020年多次荣获昆明市征兵工作先进单位；2017年至2019年连续三年荣获云南省高职高专足球比赛第一名，连续两年荣获云南省大学生散打锦标赛团体第一名；2017年成为云南省“社会主义核心价值观教育示范学校”；2018年，成为全国首批样板党支部培育创建单位、云南省第二批现代学徒制试点学校、全国第三批现代学徒制试点学校；2019年，获评民办教育协会“高等院校优秀教学团队”；2020年，现代学徒制试点工作省级验收通过，被评选为新浪网“综合实力民办高校”；2021年，承办云南省职业院校技能大赛“建筑装饰技术应用”比赛，获全国教师教学技能大赛云南省一等奖，荣获云南省第七届“互联网+”大学生创新创业大赛铜奖，1名党支部书记被评为云南省优秀党务工作者、1个党支部被评为云南省先进基层党组织、全国首批样板党支部培育创建单位通过教育部验收、全国第三批现代学徒制试点学校教育部复核验收，被评选为新华网“综合实力民办高校”</w:t>
      </w:r>
      <w:r>
        <w:rPr>
          <w:rFonts w:hint="eastAsia" w:ascii="方正仿宋_GBK" w:eastAsia="方正仿宋_GBK"/>
          <w:color w:val="auto"/>
          <w:sz w:val="32"/>
          <w:szCs w:val="32"/>
          <w:highlight w:val="none"/>
          <w:lang w:eastAsia="zh-CN"/>
        </w:rPr>
        <w:t>。</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学校在服务本校学生的基础上，与北京大学国家发展研究院校友公益委员会、中华职教社共同成立乡村振兴学院，引入各项资源及高质培训，为云南乡村人才、基础教育提供一系列的公益服务。</w:t>
      </w:r>
    </w:p>
    <w:p>
      <w:pPr>
        <w:pageBreakBefore w:val="0"/>
        <w:kinsoku/>
        <w:wordWrap/>
        <w:overflowPunct/>
        <w:topLinePunct w:val="0"/>
        <w:autoSpaceDE/>
        <w:autoSpaceDN/>
        <w:bidi w:val="0"/>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以“高端化、国际化、个性化”为发展战略，以“办全球最优秀的职业教育”为发展目标，通过国外“专硕直通”，国内“专本直通”，致力于打造“海外直通、名校学习”的国际化办学品牌和形象，更好地服务云南！服务中国！服务全球！</w:t>
      </w: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hint="eastAsia" w:ascii="方正仿宋_GBK" w:hAnsi="方正仿宋_GBK" w:eastAsia="方正仿宋_GBK" w:cs="方正仿宋_GBK"/>
          <w:b/>
          <w:bCs/>
          <w:color w:val="auto"/>
          <w:sz w:val="32"/>
          <w:szCs w:val="32"/>
          <w:highlight w:val="none"/>
        </w:rPr>
      </w:pPr>
    </w:p>
    <w:p>
      <w:pPr>
        <w:pageBreakBefore w:val="0"/>
        <w:kinsoku/>
        <w:wordWrap/>
        <w:overflowPunct/>
        <w:topLinePunct w:val="0"/>
        <w:autoSpaceDE/>
        <w:autoSpaceDN/>
        <w:bidi w:val="0"/>
        <w:adjustRightInd w:val="0"/>
        <w:snapToGrid w:val="0"/>
        <w:spacing w:line="560" w:lineRule="exact"/>
        <w:jc w:val="center"/>
        <w:textAlignment w:val="auto"/>
        <w:rPr>
          <w:rFonts w:ascii="方正小标宋_GBK" w:hAnsi="方正小标宋_GBK" w:eastAsia="方正小标宋_GBK" w:cs="方正小标宋_GBK"/>
          <w:b/>
          <w:bCs/>
          <w:color w:val="auto"/>
          <w:sz w:val="36"/>
          <w:szCs w:val="36"/>
          <w:highlight w:val="none"/>
        </w:rPr>
      </w:pPr>
      <w:r>
        <w:rPr>
          <w:rFonts w:hint="eastAsia" w:ascii="方正小标宋_GBK" w:hAnsi="方正小标宋_GBK" w:eastAsia="方正小标宋_GBK" w:cs="方正小标宋_GBK"/>
          <w:b/>
          <w:bCs/>
          <w:color w:val="auto"/>
          <w:sz w:val="36"/>
          <w:szCs w:val="36"/>
          <w:highlight w:val="none"/>
        </w:rPr>
        <w:t>新时代高校教师职业行为十项准则</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教师是人类灵魂的工程师，是人类文明的传承者。长期以来，广大教师贯彻党的教育方针，教书育人，呕心沥血，默默奉献，为国家发展和民族振兴作出了重大贡献。新时代对广大教师落实立德树人根本任务提出新的更高要求，为进一步增强教师的责任感、使命感、荣誉感，规范职业行为，明确师德底线，引导广大教师努力成为有理想信念、有道德情操、有扎实学识、有仁爱之心的好老师，着力培养德智体美劳全面发展的社会主义建设者和接班人，特制定以下准则。</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一、坚定政治方向。坚持以习近平新时代中国特色社会主义思想为指导，拥护中国共产党的领导，贯彻党的教育方针；不得在教育教学活动中及其他场合有损害党中央权威、违背党的路线方针政策的言行。</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二、自觉爱国守法。忠于祖国，忠于人民，恪守宪法原则，遵守法律法规，依法履行教师职责；不得损害国家利益、社会公共利益，或违背社会公序良俗。</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三、传播优秀文化。带头践行社会主义核心价值观，弘扬真善美，传递正能量；不得通过课堂、论坛、讲座、信息网络及其他渠道发表、转发错误观点，或编造散布虚假信息、不良信息。</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四、潜心教书育人。落实立德树人根本任务，遵循教育规律和学生成长规律，因材施教，教学相长；不得违反教学纪律，敷衍教学，或擅自从事影响教育教学本职工作的兼职兼薪行为。</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五、关心爱护学生。严慈相济，诲人不倦，真心关爱学生，严格要求学生，做学生良师益友；不得要求学生从事与教学、科研、社会服务无关的事宜。</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六、坚持言行雅正。为人师表，以身作则，举止文明，作风正派，自重自爱；不得与学生发生任何不正当关系，严禁任何形式的猥亵、性骚扰行为。</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七、遵守学术规范。严谨治学，力戒浮躁，潜心问道，勇于探索，坚守学术良知，反对学术不端；不得抄袭剽窃、篡改侵吞他人学术成果，或滥用学术资源和学术影响。</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八、秉持公平诚信。坚持原则，处事公道，光明磊落，为人正直；不得在招生、考试、推优、保研、就业及绩效考核、岗位聘用、职称评聘、评优评奖等工作中徇私舞弊、弄虚作假。</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九、坚守廉洁自律。严于律己，清廉从教；不得索要、收受学生及家长财物，不得参加由学生及家长付费的宴请、旅游、娱乐休闲等活动，或利用家长资源谋取私利。</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r>
        <w:rPr>
          <w:rFonts w:hint="eastAsia" w:ascii="方正仿宋_GBK" w:hAnsi="华文仿宋" w:eastAsia="方正仿宋_GBK" w:cs="Times New Roman"/>
          <w:color w:val="auto"/>
          <w:sz w:val="32"/>
          <w:szCs w:val="32"/>
          <w:highlight w:val="none"/>
        </w:rPr>
        <w:t>十、积极奉献社会。履行社会责任，贡献聪明才智，树立正确义利观；不得假公济私，擅自利用学校名义或校名、校徽、专利、场所等资源谋取个人利益。</w:t>
      </w: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hint="eastAsia" w:ascii="方正仿宋_GBK" w:hAnsi="华文仿宋" w:eastAsia="方正仿宋_GBK" w:cs="Times New Roman"/>
          <w:color w:val="auto"/>
          <w:sz w:val="32"/>
          <w:szCs w:val="32"/>
          <w:highlight w:val="none"/>
        </w:rPr>
      </w:pPr>
    </w:p>
    <w:p>
      <w:pPr>
        <w:pStyle w:val="14"/>
        <w:tabs>
          <w:tab w:val="right" w:leader="dot" w:pos="8554"/>
        </w:tabs>
        <w:jc w:val="center"/>
        <w:rPr>
          <w:rFonts w:hint="eastAsia" w:ascii="方正公文小标宋" w:hAnsi="方正公文小标宋" w:eastAsia="方正公文小标宋" w:cs="方正公文小标宋"/>
          <w:b/>
          <w:color w:val="auto"/>
          <w:kern w:val="2"/>
          <w:sz w:val="36"/>
          <w:szCs w:val="36"/>
          <w:highlight w:val="none"/>
          <w:lang w:val="en-US" w:eastAsia="zh-CN" w:bidi="ar-SA"/>
        </w:rPr>
      </w:pPr>
      <w:r>
        <w:rPr>
          <w:rFonts w:hint="eastAsia" w:ascii="方正公文小标宋" w:hAnsi="方正公文小标宋" w:eastAsia="方正公文小标宋" w:cs="方正公文小标宋"/>
          <w:b/>
          <w:color w:val="auto"/>
          <w:kern w:val="2"/>
          <w:sz w:val="36"/>
          <w:szCs w:val="36"/>
          <w:highlight w:val="none"/>
          <w:lang w:val="en-US" w:eastAsia="zh-CN" w:bidi="ar-SA"/>
        </w:rPr>
        <w:t>目  录</w:t>
      </w:r>
    </w:p>
    <w:p>
      <w:pPr>
        <w:pStyle w:val="43"/>
        <w:numPr>
          <w:ilvl w:val="0"/>
          <w:numId w:val="1"/>
        </w:numPr>
        <w:tabs>
          <w:tab w:val="right" w:leader="dot" w:pos="8306"/>
        </w:tabs>
        <w:jc w:val="center"/>
        <w:rPr>
          <w:rFonts w:hint="eastAsia" w:ascii="方正公文小标宋" w:hAnsi="方正公文小标宋" w:eastAsia="方正公文小标宋" w:cs="方正公文小标宋"/>
          <w:b/>
          <w:color w:val="auto"/>
          <w:kern w:val="44"/>
          <w:sz w:val="32"/>
          <w:szCs w:val="32"/>
          <w:highlight w:val="none"/>
        </w:rPr>
      </w:pPr>
      <w:r>
        <w:rPr>
          <w:rFonts w:hint="eastAsia" w:ascii="方正公文小标宋" w:hAnsi="方正公文小标宋" w:eastAsia="方正公文小标宋" w:cs="方正公文小标宋"/>
          <w:b/>
          <w:color w:val="auto"/>
          <w:kern w:val="44"/>
          <w:sz w:val="32"/>
          <w:szCs w:val="32"/>
          <w:highlight w:val="none"/>
        </w:rPr>
        <w:t>教育管理篇</w:t>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color w:val="auto"/>
          <w:sz w:val="24"/>
          <w:szCs w:val="24"/>
          <w:highlight w:val="none"/>
        </w:rPr>
        <w:instrText xml:space="preserve">TOC \o "1-1" \h \u </w:instrText>
      </w:r>
      <w:r>
        <w:rPr>
          <w:rFonts w:hint="eastAsia" w:ascii="方正公文黑体" w:hAnsi="方正公文黑体" w:eastAsia="方正公文黑体" w:cs="方正公文黑体"/>
          <w:color w:val="auto"/>
          <w:sz w:val="24"/>
          <w:szCs w:val="24"/>
          <w:highlight w:val="none"/>
        </w:rPr>
        <w:fldChar w:fldCharType="separate"/>
      </w: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_Toc20786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云南城市建设职业学院辅导员（班主任）工作月考核办法（修订）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_Toc20786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_Toc26357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云南城市建设职业学院二级学院学生工作负责人考核实施办法（试行）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_Toc26357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19</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_Toc16551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kern w:val="0"/>
          <w:sz w:val="24"/>
          <w:szCs w:val="24"/>
          <w:highlight w:val="none"/>
          <w:lang w:val="en-US" w:eastAsia="zh-CN" w:bidi="ar"/>
        </w:rPr>
        <w:t>云南城市建设职业学院第二班主任管理及考评办法（试行）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_Toc16551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_Toc1458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bidi="ar-SA"/>
        </w:rPr>
        <w:t>云南城市建设职业学院</w:t>
      </w:r>
      <w:r>
        <w:rPr>
          <w:rFonts w:hint="eastAsia" w:ascii="方正公文黑体" w:hAnsi="方正公文黑体" w:eastAsia="方正公文黑体" w:cs="方正公文黑体"/>
          <w:bCs/>
          <w:kern w:val="2"/>
          <w:sz w:val="24"/>
          <w:szCs w:val="24"/>
          <w:highlight w:val="none"/>
          <w:lang w:val="en-US" w:bidi="ar-SA"/>
        </w:rPr>
        <w:t>教官</w:t>
      </w:r>
      <w:r>
        <w:rPr>
          <w:rFonts w:hint="eastAsia" w:ascii="方正公文黑体" w:hAnsi="方正公文黑体" w:eastAsia="方正公文黑体" w:cs="方正公文黑体"/>
          <w:bCs/>
          <w:kern w:val="2"/>
          <w:sz w:val="24"/>
          <w:szCs w:val="24"/>
          <w:highlight w:val="none"/>
          <w:lang w:val="en-US" w:eastAsia="zh-CN" w:bidi="ar-SA"/>
        </w:rPr>
        <w:t>月考核办法（试行）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_Toc1458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31</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_Toc5791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bidi="ar-SA"/>
        </w:rPr>
        <w:t>云南城市建设职业学院辅导员行政职级晋升办法（试行）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_Toc5791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36</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_Toc13889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bidi="ar-SA"/>
        </w:rPr>
        <w:t>云南城市建设职业学院辅导员申报评审专业技术职称办法（试行）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_Toc13889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48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_Toc16780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云南城市建设职业学院辅导员（班主任）周末、节假日值班管理办法（修订）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_Toc16780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70</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_Toc31938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云南城市建设职业学院主题班会管理办法（试行）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_Toc31938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73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_Toc8398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云南城市建设职业学院学生工作人员外出活动及联络管理办法（修订）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_Toc8398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76</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43"/>
        <w:numPr>
          <w:ilvl w:val="0"/>
          <w:numId w:val="1"/>
        </w:numPr>
        <w:tabs>
          <w:tab w:val="right" w:leader="dot" w:pos="8306"/>
        </w:tabs>
        <w:jc w:val="center"/>
        <w:rPr>
          <w:rFonts w:hint="eastAsia" w:ascii="方正公文小标宋" w:hAnsi="方正公文小标宋" w:eastAsia="方正公文小标宋" w:cs="方正公文小标宋"/>
          <w:b/>
          <w:color w:val="auto"/>
          <w:kern w:val="44"/>
          <w:sz w:val="32"/>
          <w:szCs w:val="32"/>
          <w:highlight w:val="none"/>
        </w:rPr>
      </w:pPr>
      <w:r>
        <w:rPr>
          <w:rFonts w:hint="eastAsia" w:ascii="方正公文小标宋" w:hAnsi="方正公文小标宋" w:eastAsia="方正公文小标宋" w:cs="方正公文小标宋"/>
          <w:b/>
          <w:color w:val="auto"/>
          <w:kern w:val="44"/>
          <w:sz w:val="32"/>
          <w:szCs w:val="32"/>
          <w:highlight w:val="none"/>
        </w:rPr>
        <w:t>业务管理篇</w:t>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_Toc11476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云南城市建设职业学院控制学生流失管理办法（试行）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_Toc11476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82</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_Toc29874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云南城市建设职业学院组织学生外出活动管理办法（修订）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_Toc29874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85</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_Toc7159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云南城市建设职业学院服兵役学生国家教育资助实施办法（修订）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_Toc7159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88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_Toc8575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rPr>
        <w:t>云南城市建设职业学院大学生医疗保险</w:t>
      </w:r>
      <w:r>
        <w:rPr>
          <w:rFonts w:hint="eastAsia" w:ascii="方正公文黑体" w:hAnsi="方正公文黑体" w:eastAsia="方正公文黑体" w:cs="方正公文黑体"/>
          <w:bCs/>
          <w:sz w:val="24"/>
          <w:szCs w:val="24"/>
          <w:highlight w:val="none"/>
          <w:lang w:val="en-US" w:eastAsia="zh-CN"/>
        </w:rPr>
        <w:t>管理</w:t>
      </w:r>
      <w:r>
        <w:rPr>
          <w:rFonts w:hint="eastAsia" w:ascii="方正公文黑体" w:hAnsi="方正公文黑体" w:eastAsia="方正公文黑体" w:cs="方正公文黑体"/>
          <w:bCs/>
          <w:sz w:val="24"/>
          <w:szCs w:val="24"/>
          <w:highlight w:val="none"/>
        </w:rPr>
        <w:t>办法（</w:t>
      </w:r>
      <w:r>
        <w:rPr>
          <w:rFonts w:hint="eastAsia" w:ascii="方正公文黑体" w:hAnsi="方正公文黑体" w:eastAsia="方正公文黑体" w:cs="方正公文黑体"/>
          <w:bCs/>
          <w:sz w:val="24"/>
          <w:szCs w:val="24"/>
          <w:highlight w:val="none"/>
          <w:lang w:val="en-US" w:eastAsia="zh-CN"/>
        </w:rPr>
        <w:t>修订</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_Toc8575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94</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_Toc18340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rPr>
        <w:t>云南城市建设职业学院学生</w:t>
      </w:r>
      <w:r>
        <w:rPr>
          <w:rFonts w:hint="eastAsia" w:ascii="方正公文黑体" w:hAnsi="方正公文黑体" w:eastAsia="方正公文黑体" w:cs="方正公文黑体"/>
          <w:bCs/>
          <w:kern w:val="2"/>
          <w:sz w:val="24"/>
          <w:szCs w:val="24"/>
          <w:highlight w:val="none"/>
          <w:lang w:val="en-US" w:eastAsia="zh-CN"/>
        </w:rPr>
        <w:t>保险</w:t>
      </w:r>
      <w:r>
        <w:rPr>
          <w:rFonts w:hint="eastAsia" w:ascii="方正公文黑体" w:hAnsi="方正公文黑体" w:eastAsia="方正公文黑体" w:cs="方正公文黑体"/>
          <w:bCs/>
          <w:kern w:val="2"/>
          <w:sz w:val="24"/>
          <w:szCs w:val="24"/>
          <w:highlight w:val="none"/>
        </w:rPr>
        <w:t>工作细则（修订）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_Toc18340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100</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_Toc14886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bidi="ar-SA"/>
        </w:rPr>
        <w:t>云南城市建设职业学院学生兵役登记及应征入伍工作实施办法（修订）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_Toc14886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102</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_Toc19826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lang w:val="en-US" w:eastAsia="zh-CN"/>
        </w:rPr>
        <w:t>云南城市建设职业学院学生心理健康教育工作条例（试行）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_Toc19826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106</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_Toc4038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bidi="ar-SA"/>
        </w:rPr>
        <w:t>云南城市建设职业学院学生心理危机干预工作预案（试行）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_Toc4038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117</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_Toc30343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rPr>
        <w:t>云南省生源地信用助学贷款实施暂行办法</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_Toc30343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128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_Toc2218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云南城市建设职业学院毕业生就业工作实施细则</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bCs/>
          <w:sz w:val="24"/>
          <w:szCs w:val="24"/>
          <w:highlight w:val="none"/>
          <w:lang w:val="en-US" w:eastAsia="zh-CN"/>
        </w:rPr>
        <w:t>修订</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_Toc2218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139</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43"/>
        <w:numPr>
          <w:ilvl w:val="0"/>
          <w:numId w:val="1"/>
        </w:numPr>
        <w:tabs>
          <w:tab w:val="right" w:leader="dot" w:pos="8306"/>
        </w:tabs>
        <w:jc w:val="center"/>
        <w:rPr>
          <w:rFonts w:hint="eastAsia" w:ascii="方正公文小标宋" w:hAnsi="方正公文小标宋" w:eastAsia="方正公文小标宋" w:cs="方正公文小标宋"/>
          <w:b/>
          <w:color w:val="auto"/>
          <w:kern w:val="44"/>
          <w:sz w:val="32"/>
          <w:szCs w:val="32"/>
          <w:highlight w:val="none"/>
        </w:rPr>
      </w:pPr>
      <w:r>
        <w:rPr>
          <w:rFonts w:hint="eastAsia" w:ascii="方正公文小标宋" w:hAnsi="方正公文小标宋" w:eastAsia="方正公文小标宋" w:cs="方正公文小标宋"/>
          <w:b/>
          <w:color w:val="auto"/>
          <w:kern w:val="44"/>
          <w:sz w:val="32"/>
          <w:szCs w:val="32"/>
          <w:highlight w:val="none"/>
        </w:rPr>
        <w:t>团学工作篇</w:t>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_Toc20932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pacing w:val="0"/>
          <w:sz w:val="24"/>
          <w:szCs w:val="24"/>
          <w:highlight w:val="none"/>
          <w:lang w:val="en-US" w:eastAsia="zh-CN"/>
        </w:rPr>
        <w:t>云南城市建设职业学院团费收缴、使用和管理规定（修订）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_Toc20932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147</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_Toc23924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pacing w:val="0"/>
          <w:sz w:val="24"/>
          <w:szCs w:val="24"/>
          <w:highlight w:val="none"/>
          <w:lang w:val="en-US" w:eastAsia="zh-CN" w:bidi="ar-SA"/>
        </w:rPr>
        <w:t>云南城市建设职业学院共青团推优入党工作实施办法（修订）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_Toc23924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153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_Toc1503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rPr>
        <w:t>云南城市建设职业学院校团委物资借用管理办法</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bCs/>
          <w:sz w:val="24"/>
          <w:szCs w:val="24"/>
          <w:highlight w:val="none"/>
          <w:lang w:val="en-US" w:eastAsia="zh-CN"/>
        </w:rPr>
        <w:t>修订</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_Toc1503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162</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_Toc18432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pacing w:val="0"/>
          <w:sz w:val="24"/>
          <w:szCs w:val="24"/>
          <w:highlight w:val="none"/>
          <w:lang w:val="en-US" w:eastAsia="zh-CN"/>
        </w:rPr>
        <w:t>云南城市建设职业学院共青团系统印章管理办法</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bCs/>
          <w:sz w:val="24"/>
          <w:szCs w:val="24"/>
          <w:highlight w:val="none"/>
          <w:lang w:val="en-US" w:eastAsia="zh-CN"/>
        </w:rPr>
        <w:t>修订</w:t>
      </w:r>
      <w:r>
        <w:rPr>
          <w:rFonts w:hint="eastAsia" w:ascii="方正公文黑体" w:hAnsi="方正公文黑体" w:eastAsia="方正公文黑体" w:cs="方正公文黑体"/>
          <w:bCs/>
          <w:sz w:val="24"/>
          <w:szCs w:val="24"/>
          <w:highlight w:val="none"/>
        </w:rPr>
        <w:t>）</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_Toc18432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165</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_Toc8159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bidi="ar-SA"/>
        </w:rPr>
        <w:t>云南城市建设职业学院基层团组织“三会两制一课”实施细则（试行）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_Toc8159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172</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_Toc8652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lang w:val="en-US" w:eastAsia="zh-CN"/>
        </w:rPr>
        <w:t>云南城市建设职业学院发展团员工作细则（试行）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_Toc8652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185</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_Toc3050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pacing w:val="0"/>
          <w:sz w:val="24"/>
          <w:szCs w:val="24"/>
          <w:highlight w:val="none"/>
          <w:lang w:val="en-US" w:eastAsia="zh-CN"/>
        </w:rPr>
        <w:t>云南城市建设职业学院团学骨干选拔、管理和考核办法（修订）</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_Toc3050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193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_Toc3596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pacing w:val="0"/>
          <w:sz w:val="24"/>
          <w:szCs w:val="24"/>
          <w:highlight w:val="none"/>
          <w:lang w:val="en-US" w:eastAsia="zh-CN"/>
        </w:rPr>
        <w:t>云南城市建设职业学院学生社团管理办法（试行）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_Toc3596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205</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_Toc21919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lang w:val="en-US" w:eastAsia="zh-CN"/>
        </w:rPr>
        <w:t>云南城市建设职业学院关于学校各级团学骨干改进作风服务同学的若干规定</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_Toc21919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218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43"/>
        <w:numPr>
          <w:ilvl w:val="0"/>
          <w:numId w:val="1"/>
        </w:numPr>
        <w:tabs>
          <w:tab w:val="right" w:leader="dot" w:pos="8306"/>
        </w:tabs>
        <w:jc w:val="center"/>
        <w:rPr>
          <w:rFonts w:hint="eastAsia" w:ascii="方正公文小标宋" w:hAnsi="方正公文小标宋" w:eastAsia="方正公文小标宋" w:cs="方正公文小标宋"/>
          <w:b/>
          <w:color w:val="auto"/>
          <w:kern w:val="44"/>
          <w:sz w:val="32"/>
          <w:szCs w:val="32"/>
          <w:highlight w:val="none"/>
        </w:rPr>
      </w:pPr>
      <w:r>
        <w:rPr>
          <w:rFonts w:hint="eastAsia" w:ascii="方正公文小标宋" w:hAnsi="方正公文小标宋" w:eastAsia="方正公文小标宋" w:cs="方正公文小标宋"/>
          <w:b/>
          <w:color w:val="auto"/>
          <w:kern w:val="44"/>
          <w:sz w:val="32"/>
          <w:szCs w:val="32"/>
          <w:highlight w:val="none"/>
        </w:rPr>
        <w:t>政策法规篇</w:t>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_Toc9901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kern w:val="2"/>
          <w:sz w:val="24"/>
          <w:szCs w:val="24"/>
          <w:highlight w:val="none"/>
          <w:lang w:val="en-US" w:eastAsia="zh-CN" w:bidi="ar-SA"/>
        </w:rPr>
        <w:t>中国共产主义青年团纪律处分条例（试行）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_Toc9901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220</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_Toc18211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rPr>
        <w:t>中共中央国务院关于进一步加强和改进大学生思想政治教育的意见</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_Toc18211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232</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_Toc18966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rPr>
        <w:t>高等学校辅导员职业能力标准（暂行）</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_Toc18966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249</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_Toc30377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普通高等学校辅导员队伍建设规定</w:t>
      </w:r>
      <w:r>
        <w:rPr>
          <w:rFonts w:hint="eastAsia" w:ascii="方正公文黑体" w:hAnsi="方正公文黑体" w:eastAsia="方正公文黑体" w:cs="方正公文黑体"/>
          <w:sz w:val="24"/>
          <w:szCs w:val="24"/>
          <w:highlight w:val="none"/>
          <w:shd w:val="clear" w:color="auto" w:fill="FFFFFF"/>
        </w:rPr>
        <w:t>（中华人民共和国教育部令第43号）</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_Toc30377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270</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_Toc14275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普通高等学校学生管理规定</w:t>
      </w:r>
      <w:r>
        <w:rPr>
          <w:rFonts w:hint="eastAsia" w:ascii="方正公文黑体" w:hAnsi="方正公文黑体" w:eastAsia="方正公文黑体" w:cs="方正公文黑体"/>
          <w:sz w:val="24"/>
          <w:szCs w:val="24"/>
          <w:highlight w:val="none"/>
          <w:shd w:val="clear" w:color="auto" w:fill="FFFFFF"/>
        </w:rPr>
        <w:t>（中华人民共和国教育部令第41号）</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_Toc14275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279</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_Toc11551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学生伤害事故处理办法</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_Toc11551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298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_Toc11266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中华人民共和国精神卫生法</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_Toc11266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308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_Toc5460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kern w:val="44"/>
          <w:sz w:val="24"/>
          <w:szCs w:val="24"/>
          <w:highlight w:val="none"/>
        </w:rPr>
        <w:t>云南省高校大学生征兵工作措施</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_Toc5460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330</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_Toc32732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rPr>
        <w:t>关于明确高校征兵工作几个事项的通知</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_Toc32732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336</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_Toc889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sz w:val="24"/>
          <w:szCs w:val="24"/>
          <w:highlight w:val="none"/>
        </w:rPr>
        <w:t>高等学校毕业生学费和国家助学贷款代偿暂行办法</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_Toc889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338</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r>
        <w:rPr>
          <w:rFonts w:hint="eastAsia" w:ascii="方正公文黑体" w:hAnsi="方正公文黑体" w:eastAsia="方正公文黑体" w:cs="方正公文黑体"/>
          <w:color w:val="auto"/>
          <w:sz w:val="24"/>
          <w:szCs w:val="24"/>
          <w:highlight w:val="none"/>
        </w:rPr>
        <w:fldChar w:fldCharType="begin"/>
      </w:r>
      <w:r>
        <w:rPr>
          <w:rFonts w:hint="eastAsia" w:ascii="方正公文黑体" w:hAnsi="方正公文黑体" w:eastAsia="方正公文黑体" w:cs="方正公文黑体"/>
          <w:sz w:val="24"/>
          <w:szCs w:val="24"/>
          <w:highlight w:val="none"/>
        </w:rPr>
        <w:instrText xml:space="preserve"> HYPERLINK \l _Toc19184 </w:instrText>
      </w:r>
      <w:r>
        <w:rPr>
          <w:rFonts w:hint="eastAsia" w:ascii="方正公文黑体" w:hAnsi="方正公文黑体" w:eastAsia="方正公文黑体" w:cs="方正公文黑体"/>
          <w:sz w:val="24"/>
          <w:szCs w:val="24"/>
          <w:highlight w:val="none"/>
        </w:rPr>
        <w:fldChar w:fldCharType="separate"/>
      </w:r>
      <w:r>
        <w:rPr>
          <w:rFonts w:hint="eastAsia" w:ascii="方正公文黑体" w:hAnsi="方正公文黑体" w:eastAsia="方正公文黑体" w:cs="方正公文黑体"/>
          <w:bCs/>
          <w:sz w:val="24"/>
          <w:szCs w:val="24"/>
          <w:highlight w:val="none"/>
          <w:lang w:val="en-US" w:eastAsia="zh-CN"/>
        </w:rPr>
        <w:t>教育部办公厅关于进一步做好普通高校毕业生就业统计与核查工作的通知</w:t>
      </w:r>
      <w:r>
        <w:rPr>
          <w:rFonts w:hint="eastAsia" w:ascii="方正公文黑体" w:hAnsi="方正公文黑体" w:eastAsia="方正公文黑体" w:cs="方正公文黑体"/>
          <w:sz w:val="24"/>
          <w:szCs w:val="24"/>
        </w:rPr>
        <w:tab/>
      </w:r>
      <w:r>
        <w:rPr>
          <w:rFonts w:hint="eastAsia" w:ascii="方正公文黑体" w:hAnsi="方正公文黑体" w:eastAsia="方正公文黑体" w:cs="方正公文黑体"/>
          <w:sz w:val="24"/>
          <w:szCs w:val="24"/>
        </w:rPr>
        <w:fldChar w:fldCharType="begin"/>
      </w:r>
      <w:r>
        <w:rPr>
          <w:rFonts w:hint="eastAsia" w:ascii="方正公文黑体" w:hAnsi="方正公文黑体" w:eastAsia="方正公文黑体" w:cs="方正公文黑体"/>
          <w:sz w:val="24"/>
          <w:szCs w:val="24"/>
        </w:rPr>
        <w:instrText xml:space="preserve"> PAGEREF _Toc19184 \h </w:instrText>
      </w:r>
      <w:r>
        <w:rPr>
          <w:rFonts w:hint="eastAsia" w:ascii="方正公文黑体" w:hAnsi="方正公文黑体" w:eastAsia="方正公文黑体" w:cs="方正公文黑体"/>
          <w:sz w:val="24"/>
          <w:szCs w:val="24"/>
        </w:rPr>
        <w:fldChar w:fldCharType="separate"/>
      </w:r>
      <w:r>
        <w:rPr>
          <w:rFonts w:hint="eastAsia" w:ascii="方正公文黑体" w:hAnsi="方正公文黑体" w:eastAsia="方正公文黑体" w:cs="方正公文黑体"/>
          <w:sz w:val="24"/>
          <w:szCs w:val="24"/>
        </w:rPr>
        <w:t>343</w:t>
      </w:r>
      <w:r>
        <w:rPr>
          <w:rFonts w:hint="eastAsia" w:ascii="方正公文黑体" w:hAnsi="方正公文黑体" w:eastAsia="方正公文黑体" w:cs="方正公文黑体"/>
          <w:sz w:val="24"/>
          <w:szCs w:val="24"/>
        </w:rPr>
        <w:fldChar w:fldCharType="end"/>
      </w:r>
      <w:r>
        <w:rPr>
          <w:rFonts w:hint="eastAsia" w:ascii="方正公文黑体" w:hAnsi="方正公文黑体" w:eastAsia="方正公文黑体" w:cs="方正公文黑体"/>
          <w:color w:val="auto"/>
          <w:sz w:val="24"/>
          <w:szCs w:val="24"/>
          <w:highlight w:val="none"/>
        </w:rPr>
        <w:fldChar w:fldCharType="end"/>
      </w:r>
    </w:p>
    <w:p>
      <w:pPr>
        <w:pStyle w:val="14"/>
        <w:tabs>
          <w:tab w:val="right" w:leader="dot" w:pos="8554"/>
        </w:tabs>
        <w:rPr>
          <w:rFonts w:hint="eastAsia" w:ascii="方正公文黑体" w:hAnsi="方正公文黑体" w:eastAsia="方正公文黑体" w:cs="方正公文黑体"/>
          <w:sz w:val="24"/>
          <w:szCs w:val="24"/>
        </w:rPr>
      </w:pPr>
    </w:p>
    <w:p>
      <w:pPr>
        <w:pageBreakBefore w:val="0"/>
        <w:kinsoku/>
        <w:wordWrap/>
        <w:overflowPunct/>
        <w:topLinePunct w:val="0"/>
        <w:autoSpaceDE/>
        <w:autoSpaceDN/>
        <w:bidi w:val="0"/>
        <w:spacing w:line="560" w:lineRule="exact"/>
        <w:ind w:firstLine="480" w:firstLineChars="200"/>
        <w:jc w:val="left"/>
        <w:textAlignment w:val="auto"/>
        <w:rPr>
          <w:rFonts w:hint="eastAsia" w:ascii="方正公文小标宋" w:hAnsi="方正公文小标宋" w:eastAsia="方正公文小标宋" w:cs="方正公文小标宋"/>
          <w:color w:val="auto"/>
          <w:sz w:val="21"/>
          <w:szCs w:val="21"/>
          <w:highlight w:val="none"/>
        </w:rPr>
      </w:pPr>
      <w:r>
        <w:rPr>
          <w:rFonts w:hint="eastAsia" w:ascii="方正公文黑体" w:hAnsi="方正公文黑体" w:eastAsia="方正公文黑体" w:cs="方正公文黑体"/>
          <w:color w:val="auto"/>
          <w:sz w:val="24"/>
          <w:szCs w:val="24"/>
          <w:highlight w:val="none"/>
        </w:rPr>
        <w:fldChar w:fldCharType="end"/>
      </w: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pageBreakBefore w:val="0"/>
        <w:kinsoku/>
        <w:wordWrap/>
        <w:overflowPunct/>
        <w:topLinePunct w:val="0"/>
        <w:autoSpaceDE/>
        <w:autoSpaceDN/>
        <w:bidi w:val="0"/>
        <w:spacing w:line="560" w:lineRule="exact"/>
        <w:ind w:firstLine="420" w:firstLineChars="200"/>
        <w:jc w:val="left"/>
        <w:textAlignment w:val="auto"/>
        <w:rPr>
          <w:rFonts w:hint="eastAsia" w:ascii="方正公文小标宋" w:hAnsi="方正公文小标宋" w:eastAsia="方正公文小标宋" w:cs="方正公文小标宋"/>
          <w:color w:val="auto"/>
          <w:sz w:val="21"/>
          <w:szCs w:val="21"/>
          <w:highlight w:val="none"/>
        </w:rPr>
      </w:pPr>
    </w:p>
    <w:p>
      <w:pPr>
        <w:spacing w:line="560" w:lineRule="exact"/>
        <w:jc w:val="center"/>
        <w:outlineLvl w:val="0"/>
        <w:rPr>
          <w:rFonts w:hint="eastAsia" w:ascii="方正公文小标宋" w:hAnsi="方正公文小标宋" w:eastAsia="方正公文小标宋" w:cs="方正公文小标宋"/>
          <w:b/>
          <w:color w:val="auto"/>
          <w:sz w:val="32"/>
          <w:szCs w:val="32"/>
          <w:highlight w:val="none"/>
        </w:rPr>
      </w:pPr>
    </w:p>
    <w:p>
      <w:pPr>
        <w:spacing w:line="560" w:lineRule="exact"/>
        <w:jc w:val="center"/>
        <w:outlineLvl w:val="0"/>
        <w:rPr>
          <w:rFonts w:hint="eastAsia" w:ascii="方正公文小标宋" w:hAnsi="方正公文小标宋" w:eastAsia="方正公文小标宋" w:cs="方正公文小标宋"/>
          <w:b/>
          <w:color w:val="auto"/>
          <w:sz w:val="36"/>
          <w:szCs w:val="36"/>
          <w:highlight w:val="none"/>
        </w:rPr>
      </w:pPr>
      <w:bookmarkStart w:id="1" w:name="_Toc20786"/>
      <w:r>
        <w:rPr>
          <w:rFonts w:hint="eastAsia" w:ascii="方正公文小标宋" w:hAnsi="方正公文小标宋" w:eastAsia="方正公文小标宋" w:cs="方正公文小标宋"/>
          <w:b/>
          <w:color w:val="auto"/>
          <w:sz w:val="36"/>
          <w:szCs w:val="36"/>
          <w:highlight w:val="none"/>
        </w:rPr>
        <w:t>云南城市建设职业学院辅导员（班主任）工作月考核办法（修订）</w:t>
      </w:r>
      <w:bookmarkEnd w:id="1"/>
    </w:p>
    <w:p>
      <w:pPr>
        <w:spacing w:line="560" w:lineRule="exact"/>
        <w:jc w:val="center"/>
        <w:rPr>
          <w:rFonts w:ascii="方正小标宋_GBK" w:hAnsi="方正小标宋_GBK" w:eastAsia="方正小标宋_GBK" w:cs="方正小标宋_GBK"/>
          <w:bCs/>
          <w:color w:val="auto"/>
          <w:sz w:val="32"/>
          <w:szCs w:val="32"/>
          <w:highlight w:val="none"/>
        </w:rPr>
      </w:pPr>
    </w:p>
    <w:p>
      <w:pPr>
        <w:widowControl/>
        <w:numPr>
          <w:ilvl w:val="0"/>
          <w:numId w:val="2"/>
        </w:numPr>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r>
        <w:rPr>
          <w:rFonts w:hint="eastAsia" w:ascii="方正黑体_GBK" w:hAnsi="方正黑体_GBK" w:eastAsia="方正黑体_GBK" w:cs="方正黑体_GBK"/>
          <w:b/>
          <w:bCs/>
          <w:color w:val="auto"/>
          <w:kern w:val="0"/>
          <w:sz w:val="32"/>
          <w:szCs w:val="32"/>
          <w:highlight w:val="none"/>
        </w:rPr>
        <w:t xml:space="preserve"> </w:t>
      </w:r>
      <w:bookmarkStart w:id="2" w:name="_Toc23070"/>
      <w:bookmarkStart w:id="3" w:name="_Toc7964"/>
      <w:bookmarkStart w:id="4" w:name="_Toc26330"/>
      <w:bookmarkStart w:id="5" w:name="_Toc21521"/>
      <w:bookmarkStart w:id="6" w:name="_Toc21207"/>
      <w:bookmarkStart w:id="7" w:name="_Toc25799"/>
      <w:r>
        <w:rPr>
          <w:rFonts w:hint="eastAsia" w:ascii="方正黑体_GBK" w:hAnsi="方正黑体_GBK" w:eastAsia="方正黑体_GBK" w:cs="方正黑体_GBK"/>
          <w:b/>
          <w:bCs/>
          <w:color w:val="auto"/>
          <w:kern w:val="0"/>
          <w:sz w:val="32"/>
          <w:szCs w:val="32"/>
          <w:highlight w:val="none"/>
        </w:rPr>
        <w:t>总则</w:t>
      </w:r>
      <w:bookmarkEnd w:id="2"/>
      <w:bookmarkEnd w:id="3"/>
      <w:bookmarkEnd w:id="4"/>
      <w:bookmarkEnd w:id="5"/>
      <w:bookmarkEnd w:id="6"/>
      <w:bookmarkEnd w:id="7"/>
    </w:p>
    <w:p>
      <w:pPr>
        <w:pStyle w:val="10"/>
        <w:spacing w:line="560" w:lineRule="exact"/>
        <w:ind w:firstLine="640"/>
        <w:rPr>
          <w:rFonts w:hint="eastAsia" w:ascii="方正楷体_GBK" w:hAnsi="宋体" w:eastAsia="方正楷体_GBK"/>
          <w:b/>
          <w:bCs/>
          <w:color w:val="auto"/>
          <w:sz w:val="32"/>
          <w:szCs w:val="32"/>
          <w:highlight w:val="none"/>
        </w:rPr>
      </w:pPr>
    </w:p>
    <w:p>
      <w:pPr>
        <w:pStyle w:val="10"/>
        <w:spacing w:line="560" w:lineRule="exact"/>
        <w:ind w:firstLine="64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 xml:space="preserve">第一条  </w:t>
      </w:r>
      <w:r>
        <w:rPr>
          <w:rFonts w:hint="eastAsia" w:ascii="方正仿宋_GBK" w:hAnsi="宋体" w:eastAsia="方正仿宋_GBK"/>
          <w:color w:val="auto"/>
          <w:sz w:val="32"/>
          <w:szCs w:val="32"/>
          <w:highlight w:val="none"/>
        </w:rPr>
        <w:t>为切实加强辅导员（班主任）队伍建设和管理，</w:t>
      </w:r>
      <w:r>
        <w:rPr>
          <w:rFonts w:hint="eastAsia" w:ascii="方正仿宋_GBK" w:hAnsi="宋体" w:eastAsia="方正仿宋_GBK"/>
          <w:color w:val="auto"/>
          <w:kern w:val="0"/>
          <w:sz w:val="32"/>
          <w:szCs w:val="32"/>
          <w:highlight w:val="none"/>
        </w:rPr>
        <w:t>激励和促进</w:t>
      </w:r>
      <w:r>
        <w:rPr>
          <w:rFonts w:hint="eastAsia" w:ascii="方正仿宋_GBK" w:hAnsi="宋体" w:eastAsia="方正仿宋_GBK"/>
          <w:color w:val="auto"/>
          <w:sz w:val="32"/>
          <w:szCs w:val="32"/>
          <w:highlight w:val="none"/>
        </w:rPr>
        <w:t>辅导员（班主任）</w:t>
      </w:r>
      <w:r>
        <w:rPr>
          <w:rFonts w:hint="eastAsia" w:ascii="方正仿宋_GBK" w:hAnsi="宋体" w:eastAsia="方正仿宋_GBK"/>
          <w:color w:val="auto"/>
          <w:kern w:val="0"/>
          <w:sz w:val="32"/>
          <w:szCs w:val="32"/>
          <w:highlight w:val="none"/>
        </w:rPr>
        <w:t>不断提高政治素质和业务水平，认真履行岗位职责</w:t>
      </w:r>
      <w:r>
        <w:rPr>
          <w:rFonts w:hint="eastAsia" w:ascii="方正仿宋_GBK" w:hAnsi="宋体" w:eastAsia="方正仿宋_GBK"/>
          <w:color w:val="auto"/>
          <w:sz w:val="32"/>
          <w:szCs w:val="32"/>
          <w:highlight w:val="none"/>
        </w:rPr>
        <w:t>，建立良性的激励机制，根据学校实际，制定本办法。</w:t>
      </w:r>
    </w:p>
    <w:p>
      <w:pPr>
        <w:autoSpaceDE w:val="0"/>
        <w:autoSpaceDN w:val="0"/>
        <w:adjustRightInd w:val="0"/>
        <w:spacing w:line="560" w:lineRule="exact"/>
        <w:ind w:firstLine="643" w:firstLineChars="200"/>
        <w:rPr>
          <w:rFonts w:ascii="方正仿宋_GBK" w:hAnsi="宋体" w:eastAsia="方正仿宋_GBK" w:cs="宋体"/>
          <w:bCs/>
          <w:color w:val="auto"/>
          <w:kern w:val="0"/>
          <w:sz w:val="32"/>
          <w:szCs w:val="32"/>
          <w:highlight w:val="none"/>
        </w:rPr>
      </w:pPr>
      <w:r>
        <w:rPr>
          <w:rFonts w:hint="eastAsia" w:ascii="方正楷体_GBK" w:hAnsi="宋体" w:eastAsia="方正楷体_GBK"/>
          <w:b/>
          <w:bCs/>
          <w:color w:val="auto"/>
          <w:sz w:val="32"/>
          <w:szCs w:val="32"/>
          <w:highlight w:val="none"/>
        </w:rPr>
        <w:t>第二条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s="宋体"/>
          <w:bCs/>
          <w:color w:val="auto"/>
          <w:kern w:val="0"/>
          <w:sz w:val="32"/>
          <w:szCs w:val="32"/>
          <w:highlight w:val="none"/>
        </w:rPr>
        <w:t>辅导员（班主任）工作考核主要分为德、能、勤、绩、廉、协同和创新七个方面。</w:t>
      </w:r>
      <w:r>
        <w:rPr>
          <w:rFonts w:hint="eastAsia" w:ascii="仿宋" w:hAnsi="仿宋" w:eastAsia="仿宋" w:cs="仿宋"/>
          <w:color w:val="auto"/>
          <w:sz w:val="31"/>
          <w:szCs w:val="31"/>
          <w:highlight w:val="none"/>
        </w:rPr>
        <w:t>结合学校实际，对辅导员（班主任）的岗位职责履行情况进行考核。</w:t>
      </w:r>
    </w:p>
    <w:p>
      <w:pPr>
        <w:autoSpaceDE w:val="0"/>
        <w:autoSpaceDN w:val="0"/>
        <w:adjustRightInd w:val="0"/>
        <w:spacing w:line="560" w:lineRule="exact"/>
        <w:ind w:firstLine="643" w:firstLineChars="200"/>
        <w:rPr>
          <w:rFonts w:ascii="方正仿宋_GBK" w:hAnsi="宋体" w:eastAsia="方正仿宋_GBK"/>
          <w:color w:val="auto"/>
          <w:kern w:val="0"/>
          <w:sz w:val="32"/>
          <w:szCs w:val="32"/>
          <w:highlight w:val="none"/>
        </w:rPr>
      </w:pPr>
      <w:r>
        <w:rPr>
          <w:rFonts w:hint="eastAsia" w:ascii="方正楷体_GBK" w:hAnsi="宋体" w:eastAsia="方正楷体_GBK"/>
          <w:b/>
          <w:bCs/>
          <w:color w:val="auto"/>
          <w:sz w:val="32"/>
          <w:szCs w:val="32"/>
          <w:highlight w:val="none"/>
        </w:rPr>
        <w:t xml:space="preserve">第三条  </w:t>
      </w:r>
      <w:r>
        <w:rPr>
          <w:rFonts w:hint="eastAsia" w:ascii="方正仿宋_GBK" w:hAnsi="宋体" w:eastAsia="方正仿宋_GBK"/>
          <w:color w:val="auto"/>
          <w:kern w:val="0"/>
          <w:sz w:val="32"/>
          <w:szCs w:val="32"/>
          <w:highlight w:val="none"/>
        </w:rPr>
        <w:t>本办法适用于全校专（兼）职辅导员（班主任）。</w:t>
      </w:r>
    </w:p>
    <w:p>
      <w:pPr>
        <w:autoSpaceDE w:val="0"/>
        <w:autoSpaceDN w:val="0"/>
        <w:adjustRightInd w:val="0"/>
        <w:spacing w:line="560" w:lineRule="exact"/>
        <w:ind w:firstLine="640" w:firstLineChars="200"/>
        <w:rPr>
          <w:rFonts w:ascii="方正仿宋_GBK" w:hAnsi="宋体" w:eastAsia="方正仿宋_GBK"/>
          <w:color w:val="auto"/>
          <w:kern w:val="0"/>
          <w:sz w:val="32"/>
          <w:szCs w:val="32"/>
          <w:highlight w:val="none"/>
        </w:rPr>
      </w:pPr>
    </w:p>
    <w:p>
      <w:pPr>
        <w:widowControl/>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bookmarkStart w:id="8" w:name="_Toc23003"/>
      <w:bookmarkStart w:id="9" w:name="_Toc19256"/>
      <w:bookmarkStart w:id="10" w:name="_Toc16879"/>
      <w:bookmarkStart w:id="11" w:name="_Toc23143"/>
      <w:bookmarkStart w:id="12" w:name="_Toc1666"/>
      <w:bookmarkStart w:id="13" w:name="_Toc21703"/>
      <w:r>
        <w:rPr>
          <w:rFonts w:hint="eastAsia" w:ascii="方正黑体_GBK" w:hAnsi="方正黑体_GBK" w:eastAsia="方正黑体_GBK" w:cs="方正黑体_GBK"/>
          <w:b/>
          <w:bCs/>
          <w:color w:val="auto"/>
          <w:kern w:val="0"/>
          <w:sz w:val="32"/>
          <w:szCs w:val="32"/>
          <w:highlight w:val="none"/>
        </w:rPr>
        <w:t>第二章 组织实施</w:t>
      </w:r>
      <w:bookmarkEnd w:id="8"/>
      <w:bookmarkEnd w:id="9"/>
      <w:bookmarkEnd w:id="10"/>
      <w:bookmarkEnd w:id="11"/>
      <w:bookmarkEnd w:id="12"/>
      <w:bookmarkEnd w:id="13"/>
    </w:p>
    <w:p>
      <w:pPr>
        <w:spacing w:line="560" w:lineRule="exact"/>
        <w:ind w:firstLine="643" w:firstLineChars="200"/>
        <w:jc w:val="left"/>
        <w:rPr>
          <w:rFonts w:ascii="方正楷体_GBK" w:hAnsi="宋体" w:eastAsia="方正楷体_GBK"/>
          <w:b/>
          <w:bCs/>
          <w:color w:val="auto"/>
          <w:sz w:val="32"/>
          <w:szCs w:val="32"/>
          <w:highlight w:val="none"/>
        </w:rPr>
      </w:pPr>
    </w:p>
    <w:p>
      <w:pPr>
        <w:spacing w:line="560" w:lineRule="exact"/>
        <w:ind w:firstLine="643" w:firstLineChars="200"/>
        <w:jc w:val="left"/>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 xml:space="preserve">第四条  </w:t>
      </w:r>
      <w:r>
        <w:rPr>
          <w:rFonts w:hint="eastAsia" w:ascii="方正仿宋_GBK" w:hAnsi="宋体" w:eastAsia="方正仿宋_GBK"/>
          <w:color w:val="auto"/>
          <w:sz w:val="32"/>
          <w:szCs w:val="32"/>
          <w:highlight w:val="none"/>
        </w:rPr>
        <w:t>学校成立辅导员（班主任）月考核专项工作领导小组。由分管学生工作校领导任组长，学生工作处</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人力资源处负责人任副组长，各二级学院学生工作负责人为</w:t>
      </w:r>
      <w:r>
        <w:rPr>
          <w:rFonts w:hint="eastAsia" w:ascii="方正仿宋_GBK" w:hAnsi="宋体" w:eastAsia="方正仿宋_GBK"/>
          <w:color w:val="auto"/>
          <w:sz w:val="32"/>
          <w:szCs w:val="32"/>
          <w:highlight w:val="none"/>
          <w:lang w:val="en-US" w:eastAsia="zh-CN"/>
        </w:rPr>
        <w:t>成</w:t>
      </w:r>
      <w:r>
        <w:rPr>
          <w:rFonts w:hint="eastAsia" w:ascii="方正仿宋_GBK" w:hAnsi="宋体" w:eastAsia="方正仿宋_GBK"/>
          <w:color w:val="auto"/>
          <w:sz w:val="32"/>
          <w:szCs w:val="32"/>
          <w:highlight w:val="none"/>
        </w:rPr>
        <w:t>员，全面负责辅导员（班主任）月考核工作的组织协调、结果审定与争议处理。</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 xml:space="preserve">第五条  </w:t>
      </w:r>
      <w:r>
        <w:rPr>
          <w:rFonts w:hint="eastAsia" w:ascii="方正仿宋_GBK" w:hAnsi="宋体" w:eastAsia="方正仿宋_GBK"/>
          <w:color w:val="auto"/>
          <w:sz w:val="32"/>
          <w:szCs w:val="32"/>
          <w:highlight w:val="none"/>
        </w:rPr>
        <w:t>辅导员（班主任）月考核工作主要分为个人述职（占10%）、学生测评（占20%）、二级学院测评（占</w:t>
      </w:r>
      <w:r>
        <w:rPr>
          <w:rFonts w:hint="eastAsia" w:ascii="方正仿宋_GBK" w:hAnsi="宋体" w:eastAsia="方正仿宋_GBK"/>
          <w:color w:val="auto"/>
          <w:sz w:val="32"/>
          <w:szCs w:val="32"/>
          <w:highlight w:val="none"/>
          <w:lang w:val="en-US" w:eastAsia="zh-CN"/>
        </w:rPr>
        <w:t>50</w:t>
      </w:r>
      <w:r>
        <w:rPr>
          <w:rFonts w:hint="eastAsia" w:ascii="方正仿宋_GBK" w:hAnsi="宋体" w:eastAsia="方正仿宋_GBK"/>
          <w:color w:val="auto"/>
          <w:sz w:val="32"/>
          <w:szCs w:val="32"/>
          <w:highlight w:val="none"/>
        </w:rPr>
        <w:t>%）和相关行政职能部门测评（占</w:t>
      </w:r>
      <w:r>
        <w:rPr>
          <w:rFonts w:hint="eastAsia" w:ascii="方正仿宋_GBK" w:hAnsi="宋体" w:eastAsia="方正仿宋_GBK"/>
          <w:color w:val="auto"/>
          <w:sz w:val="32"/>
          <w:szCs w:val="32"/>
          <w:highlight w:val="none"/>
          <w:lang w:val="en-US" w:eastAsia="zh-CN"/>
        </w:rPr>
        <w:t>2</w:t>
      </w:r>
      <w:r>
        <w:rPr>
          <w:rFonts w:hint="eastAsia" w:ascii="方正仿宋_GBK" w:hAnsi="宋体" w:eastAsia="方正仿宋_GBK"/>
          <w:color w:val="auto"/>
          <w:sz w:val="32"/>
          <w:szCs w:val="32"/>
          <w:highlight w:val="none"/>
        </w:rPr>
        <w:t>0%）四个部分。</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 xml:space="preserve">第六条  </w:t>
      </w:r>
      <w:r>
        <w:rPr>
          <w:rFonts w:hint="eastAsia" w:ascii="方正仿宋_GBK" w:hAnsi="宋体" w:eastAsia="方正仿宋_GBK"/>
          <w:color w:val="auto"/>
          <w:sz w:val="32"/>
          <w:szCs w:val="32"/>
          <w:highlight w:val="none"/>
        </w:rPr>
        <w:t>月考核工作遵循过程与结果相结合的原则，既考察工作过程中的努力程度，也考察工作中实际取得的阶段性结果及最终效果。</w:t>
      </w:r>
      <w:r>
        <w:rPr>
          <w:rFonts w:hint="eastAsia" w:ascii="方正仿宋_GBK" w:hAnsi="宋体" w:eastAsia="方正仿宋_GBK"/>
          <w:color w:val="auto"/>
          <w:kern w:val="0"/>
          <w:sz w:val="32"/>
          <w:szCs w:val="32"/>
          <w:highlight w:val="none"/>
        </w:rPr>
        <w:t>坚持定量考核和定性考核相结合、自我评价与组织考核相结合的原则，考核工作力求公开、公正、公平，</w:t>
      </w:r>
      <w:r>
        <w:rPr>
          <w:rFonts w:hint="eastAsia" w:ascii="方正仿宋_GBK" w:hAnsi="宋体" w:eastAsia="方正仿宋_GBK"/>
          <w:color w:val="auto"/>
          <w:sz w:val="32"/>
          <w:szCs w:val="32"/>
          <w:highlight w:val="none"/>
        </w:rPr>
        <w:t>维护考评结果的严肃性。</w:t>
      </w:r>
    </w:p>
    <w:p>
      <w:pPr>
        <w:widowControl/>
        <w:spacing w:before="156" w:beforeLines="50" w:after="156" w:afterLines="50" w:line="560" w:lineRule="exact"/>
        <w:jc w:val="center"/>
        <w:rPr>
          <w:rFonts w:ascii="黑体" w:hAnsi="黑体" w:eastAsia="黑体" w:cs="黑体"/>
          <w:b/>
          <w:bCs/>
          <w:color w:val="auto"/>
          <w:kern w:val="0"/>
          <w:sz w:val="32"/>
          <w:szCs w:val="32"/>
          <w:highlight w:val="none"/>
        </w:rPr>
      </w:pPr>
    </w:p>
    <w:p>
      <w:pPr>
        <w:widowControl/>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bookmarkStart w:id="14" w:name="_Toc4737"/>
      <w:bookmarkStart w:id="15" w:name="_Toc17903"/>
      <w:bookmarkStart w:id="16" w:name="_Toc12811"/>
      <w:bookmarkStart w:id="17" w:name="_Toc31228"/>
      <w:bookmarkStart w:id="18" w:name="_Toc15031"/>
      <w:bookmarkStart w:id="19" w:name="_Toc22675"/>
      <w:r>
        <w:rPr>
          <w:rFonts w:hint="eastAsia" w:ascii="方正黑体_GBK" w:hAnsi="方正黑体_GBK" w:eastAsia="方正黑体_GBK" w:cs="方正黑体_GBK"/>
          <w:b/>
          <w:bCs/>
          <w:color w:val="auto"/>
          <w:kern w:val="0"/>
          <w:sz w:val="32"/>
          <w:szCs w:val="32"/>
          <w:highlight w:val="none"/>
        </w:rPr>
        <w:t>第三章 考核内容及程序</w:t>
      </w:r>
      <w:bookmarkEnd w:id="14"/>
      <w:bookmarkEnd w:id="15"/>
      <w:bookmarkEnd w:id="16"/>
      <w:bookmarkEnd w:id="17"/>
      <w:bookmarkEnd w:id="18"/>
      <w:bookmarkEnd w:id="19"/>
    </w:p>
    <w:p>
      <w:pPr>
        <w:widowControl/>
        <w:spacing w:before="156" w:beforeLines="50" w:after="156" w:afterLines="50" w:line="560" w:lineRule="exact"/>
        <w:rPr>
          <w:rFonts w:ascii="黑体" w:hAnsi="黑体" w:eastAsia="黑体" w:cs="黑体"/>
          <w:b/>
          <w:bCs/>
          <w:color w:val="auto"/>
          <w:kern w:val="0"/>
          <w:sz w:val="32"/>
          <w:szCs w:val="32"/>
          <w:highlight w:val="none"/>
        </w:rPr>
      </w:pPr>
    </w:p>
    <w:p>
      <w:pPr>
        <w:widowControl/>
        <w:spacing w:before="156" w:beforeLines="50" w:after="156" w:afterLines="50" w:line="560" w:lineRule="exact"/>
        <w:rPr>
          <w:rFonts w:ascii="方正仿宋_GBK" w:hAnsi="宋体" w:eastAsia="方正仿宋_GBK"/>
          <w:color w:val="auto"/>
          <w:sz w:val="32"/>
          <w:szCs w:val="32"/>
          <w:highlight w:val="none"/>
        </w:rPr>
      </w:pPr>
      <w:r>
        <w:rPr>
          <w:rFonts w:hint="eastAsia" w:ascii="方正黑体_GBK" w:hAnsi="宋体" w:eastAsia="方正黑体_GBK" w:cs="宋体"/>
          <w:color w:val="auto"/>
          <w:kern w:val="0"/>
          <w:sz w:val="32"/>
          <w:szCs w:val="32"/>
          <w:highlight w:val="none"/>
        </w:rPr>
        <w:t xml:space="preserve">   </w:t>
      </w:r>
      <w:r>
        <w:rPr>
          <w:rFonts w:hint="eastAsia" w:ascii="方正黑体_GBK" w:hAnsi="宋体" w:eastAsia="方正黑体_GBK" w:cs="宋体"/>
          <w:b/>
          <w:bCs/>
          <w:color w:val="auto"/>
          <w:kern w:val="0"/>
          <w:sz w:val="32"/>
          <w:szCs w:val="32"/>
          <w:highlight w:val="none"/>
        </w:rPr>
        <w:t xml:space="preserve"> </w:t>
      </w:r>
      <w:r>
        <w:rPr>
          <w:rFonts w:hint="eastAsia" w:ascii="方正楷体_GBK" w:hAnsi="宋体" w:eastAsia="方正楷体_GBK"/>
          <w:b/>
          <w:bCs/>
          <w:color w:val="auto"/>
          <w:sz w:val="32"/>
          <w:szCs w:val="32"/>
          <w:highlight w:val="none"/>
        </w:rPr>
        <w:t>第七条</w:t>
      </w:r>
      <w:r>
        <w:rPr>
          <w:rFonts w:hint="eastAsia" w:ascii="方正楷体_GBK" w:hAnsi="宋体" w:eastAsia="方正楷体_GBK"/>
          <w:b/>
          <w:bCs/>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辅导员（班主任）月度考核主要通过考核职业态度、工作过程、工作效果等量化数据，综合考评辅导员（班主任）的岗位意识、敬业精神、制度意识、师德师风、工作能力等内容。</w:t>
      </w:r>
    </w:p>
    <w:p>
      <w:pPr>
        <w:widowControl/>
        <w:spacing w:before="156" w:beforeLines="50" w:after="156" w:afterLines="50" w:line="560" w:lineRule="exact"/>
        <w:rPr>
          <w:rFonts w:ascii="方正仿宋_GBK" w:hAnsi="宋体" w:eastAsia="方正仿宋_GBK"/>
          <w:color w:val="auto"/>
          <w:sz w:val="32"/>
          <w:szCs w:val="32"/>
          <w:highlight w:val="none"/>
        </w:rPr>
      </w:pPr>
      <w:r>
        <w:rPr>
          <w:rFonts w:hint="eastAsia" w:ascii="方正仿宋_GBK" w:hAnsi="宋体" w:eastAsia="方正仿宋_GBK" w:cs="宋体"/>
          <w:b/>
          <w:bCs/>
          <w:color w:val="auto"/>
          <w:kern w:val="0"/>
          <w:sz w:val="32"/>
          <w:szCs w:val="32"/>
          <w:highlight w:val="none"/>
        </w:rPr>
        <w:t xml:space="preserve">    </w:t>
      </w:r>
      <w:r>
        <w:rPr>
          <w:rFonts w:hint="eastAsia" w:ascii="方正楷体_GBK" w:hAnsi="宋体" w:eastAsia="方正楷体_GBK"/>
          <w:b/>
          <w:bCs/>
          <w:color w:val="auto"/>
          <w:sz w:val="32"/>
          <w:szCs w:val="32"/>
          <w:highlight w:val="none"/>
        </w:rPr>
        <w:t>第八条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各二级学院根据辅导员（班主任）实际工作开展情况，于每月</w:t>
      </w:r>
      <w:r>
        <w:rPr>
          <w:rFonts w:hint="eastAsia" w:ascii="方正仿宋_GBK" w:hAnsi="宋体" w:eastAsia="方正仿宋_GBK"/>
          <w:color w:val="auto"/>
          <w:sz w:val="32"/>
          <w:szCs w:val="32"/>
          <w:highlight w:val="none"/>
          <w:lang w:val="en-US" w:eastAsia="zh-CN"/>
        </w:rPr>
        <w:t>月底</w:t>
      </w:r>
      <w:r>
        <w:rPr>
          <w:rFonts w:hint="eastAsia" w:ascii="方正仿宋_GBK" w:hAnsi="宋体" w:eastAsia="方正仿宋_GBK"/>
          <w:color w:val="auto"/>
          <w:sz w:val="32"/>
          <w:szCs w:val="32"/>
          <w:highlight w:val="none"/>
        </w:rPr>
        <w:t>前3个工作日，完成辅导员（班主任）个人述职及学院测评得分，并将二级学院学生工作负责人审核签字的量化</w:t>
      </w:r>
      <w:r>
        <w:rPr>
          <w:rFonts w:hint="eastAsia" w:ascii="方正仿宋_GBK" w:hAnsi="宋体" w:eastAsia="方正仿宋_GBK"/>
          <w:color w:val="auto"/>
          <w:sz w:val="32"/>
          <w:szCs w:val="32"/>
          <w:highlight w:val="none"/>
          <w:lang w:val="en-US" w:eastAsia="zh-CN"/>
        </w:rPr>
        <w:t>考核材料（</w:t>
      </w:r>
      <w:r>
        <w:rPr>
          <w:rFonts w:hint="eastAsia" w:ascii="方正仿宋_GBK" w:hAnsi="宋体" w:eastAsia="方正仿宋_GBK"/>
          <w:color w:val="auto"/>
          <w:sz w:val="32"/>
          <w:szCs w:val="32"/>
          <w:highlight w:val="none"/>
        </w:rPr>
        <w:t>电子版和纸质版各1份</w:t>
      </w:r>
      <w:r>
        <w:rPr>
          <w:rFonts w:hint="eastAsia" w:ascii="方正仿宋_GBK" w:hAnsi="宋体" w:eastAsia="方正仿宋_GBK"/>
          <w:color w:val="auto"/>
          <w:sz w:val="32"/>
          <w:szCs w:val="32"/>
          <w:highlight w:val="none"/>
          <w:lang w:val="en-US" w:eastAsia="zh-CN"/>
        </w:rPr>
        <w:t>）</w:t>
      </w:r>
      <w:r>
        <w:rPr>
          <w:rFonts w:hint="eastAsia" w:ascii="方正仿宋_GBK" w:hAnsi="宋体" w:eastAsia="方正仿宋_GBK"/>
          <w:color w:val="auto"/>
          <w:sz w:val="32"/>
          <w:szCs w:val="32"/>
          <w:highlight w:val="none"/>
        </w:rPr>
        <w:t>交至学生工作处。</w:t>
      </w:r>
    </w:p>
    <w:p>
      <w:pPr>
        <w:widowControl/>
        <w:spacing w:before="156" w:beforeLines="50" w:after="156" w:afterLines="50" w:line="560" w:lineRule="exact"/>
        <w:rPr>
          <w:rFonts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 xml:space="preserve">    </w:t>
      </w:r>
      <w:r>
        <w:rPr>
          <w:rFonts w:hint="eastAsia" w:ascii="方正楷体_GBK" w:hAnsi="宋体" w:eastAsia="方正楷体_GBK"/>
          <w:b/>
          <w:bCs/>
          <w:color w:val="auto"/>
          <w:sz w:val="32"/>
          <w:szCs w:val="32"/>
          <w:highlight w:val="none"/>
        </w:rPr>
        <w:t>第九条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学生工作处汇同学校人力资源处，完成辅导员（班主任）学生测评及行政职能部门测评部分，在本月最后</w:t>
      </w:r>
      <w:r>
        <w:rPr>
          <w:rFonts w:hint="eastAsia" w:ascii="方正仿宋_GBK" w:hAnsi="宋体" w:eastAsia="方正仿宋_GBK"/>
          <w:color w:val="auto"/>
          <w:sz w:val="32"/>
          <w:szCs w:val="32"/>
          <w:highlight w:val="none"/>
          <w:lang w:val="en-US" w:eastAsia="zh-CN"/>
        </w:rPr>
        <w:t>1</w:t>
      </w:r>
      <w:r>
        <w:rPr>
          <w:rFonts w:hint="eastAsia" w:ascii="方正仿宋_GBK" w:hAnsi="宋体" w:eastAsia="方正仿宋_GBK"/>
          <w:color w:val="auto"/>
          <w:sz w:val="32"/>
          <w:szCs w:val="32"/>
          <w:highlight w:val="none"/>
        </w:rPr>
        <w:t>个工作日完成本月的考核数据审核与汇总，报辅导员（班主任）月考核专项工作领导小组同意后，完成当月辅导员（班主任）考核。</w:t>
      </w:r>
    </w:p>
    <w:p>
      <w:pPr>
        <w:widowControl/>
        <w:spacing w:before="156" w:beforeLines="50" w:after="156" w:afterLines="50" w:line="560" w:lineRule="exact"/>
        <w:ind w:firstLine="630"/>
        <w:rPr>
          <w:rFonts w:ascii="方正黑体_GBK" w:hAnsi="宋体" w:eastAsia="方正黑体_GBK" w:cs="宋体"/>
          <w:color w:val="auto"/>
          <w:kern w:val="0"/>
          <w:sz w:val="32"/>
          <w:szCs w:val="32"/>
          <w:highlight w:val="none"/>
        </w:rPr>
      </w:pPr>
      <w:r>
        <w:rPr>
          <w:rFonts w:hint="eastAsia" w:ascii="方正楷体_GBK" w:hAnsi="宋体" w:eastAsia="方正楷体_GBK"/>
          <w:b/>
          <w:bCs/>
          <w:color w:val="auto"/>
          <w:sz w:val="32"/>
          <w:szCs w:val="32"/>
          <w:highlight w:val="none"/>
        </w:rPr>
        <w:t>第十条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考评基础分为</w:t>
      </w:r>
      <w:r>
        <w:rPr>
          <w:rFonts w:hint="eastAsia" w:ascii="方正仿宋_GBK" w:hAnsi="宋体" w:eastAsia="方正仿宋_GBK"/>
          <w:color w:val="auto"/>
          <w:sz w:val="32"/>
          <w:szCs w:val="32"/>
          <w:highlight w:val="none"/>
          <w:lang w:val="en-US" w:eastAsia="zh-CN"/>
        </w:rPr>
        <w:t>110</w:t>
      </w:r>
      <w:r>
        <w:rPr>
          <w:rFonts w:hint="eastAsia" w:ascii="方正仿宋_GBK" w:hAnsi="宋体" w:eastAsia="方正仿宋_GBK"/>
          <w:color w:val="auto"/>
          <w:sz w:val="32"/>
          <w:szCs w:val="32"/>
          <w:highlight w:val="none"/>
        </w:rPr>
        <w:t>分，</w:t>
      </w:r>
      <w:r>
        <w:rPr>
          <w:rFonts w:hint="eastAsia" w:ascii="方正仿宋_GBK" w:hAnsi="宋体" w:eastAsia="方正仿宋_GBK"/>
          <w:color w:val="auto"/>
          <w:sz w:val="32"/>
          <w:szCs w:val="32"/>
          <w:highlight w:val="none"/>
          <w:lang w:val="en-US" w:eastAsia="zh-CN"/>
        </w:rPr>
        <w:t>包含</w:t>
      </w:r>
      <w:r>
        <w:rPr>
          <w:rFonts w:hint="eastAsia" w:ascii="方正仿宋_GBK" w:hAnsi="宋体" w:eastAsia="方正仿宋_GBK"/>
          <w:color w:val="auto"/>
          <w:sz w:val="32"/>
          <w:szCs w:val="32"/>
          <w:highlight w:val="none"/>
        </w:rPr>
        <w:t>德、能、勤、廉、协同和创新。辅导员（班主任）最终得分根据实际工作情况在基础分上进行加减，可进行负向减分。</w:t>
      </w:r>
    </w:p>
    <w:p>
      <w:pPr>
        <w:widowControl/>
        <w:spacing w:before="156" w:beforeLines="50" w:after="156" w:afterLines="50" w:line="560" w:lineRule="exact"/>
        <w:jc w:val="center"/>
        <w:rPr>
          <w:rFonts w:ascii="黑体" w:hAnsi="黑体" w:eastAsia="黑体" w:cs="黑体"/>
          <w:b/>
          <w:bCs/>
          <w:color w:val="auto"/>
          <w:kern w:val="0"/>
          <w:sz w:val="32"/>
          <w:szCs w:val="32"/>
          <w:highlight w:val="none"/>
        </w:rPr>
      </w:pPr>
    </w:p>
    <w:p>
      <w:pPr>
        <w:widowControl/>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bookmarkStart w:id="20" w:name="_Toc19457"/>
      <w:bookmarkStart w:id="21" w:name="_Toc16498"/>
      <w:bookmarkStart w:id="22" w:name="_Toc27207"/>
      <w:bookmarkStart w:id="23" w:name="_Toc19054"/>
      <w:bookmarkStart w:id="24" w:name="_Toc24590"/>
      <w:bookmarkStart w:id="25" w:name="_Toc2671"/>
      <w:r>
        <w:rPr>
          <w:rFonts w:hint="eastAsia" w:ascii="方正黑体_GBK" w:hAnsi="方正黑体_GBK" w:eastAsia="方正黑体_GBK" w:cs="方正黑体_GBK"/>
          <w:b/>
          <w:bCs/>
          <w:color w:val="auto"/>
          <w:kern w:val="0"/>
          <w:sz w:val="32"/>
          <w:szCs w:val="32"/>
          <w:highlight w:val="none"/>
        </w:rPr>
        <w:t>第四章 考核标准</w:t>
      </w:r>
      <w:bookmarkEnd w:id="20"/>
      <w:bookmarkEnd w:id="21"/>
      <w:bookmarkEnd w:id="22"/>
      <w:bookmarkEnd w:id="23"/>
      <w:bookmarkEnd w:id="24"/>
      <w:bookmarkEnd w:id="25"/>
    </w:p>
    <w:p>
      <w:pPr>
        <w:widowControl/>
        <w:spacing w:before="156" w:beforeLines="50" w:after="156" w:afterLines="50" w:line="560" w:lineRule="exact"/>
        <w:rPr>
          <w:rFonts w:ascii="黑体" w:hAnsi="黑体" w:eastAsia="黑体" w:cs="黑体"/>
          <w:b/>
          <w:bCs/>
          <w:color w:val="auto"/>
          <w:kern w:val="0"/>
          <w:sz w:val="32"/>
          <w:szCs w:val="32"/>
          <w:highlight w:val="none"/>
        </w:rPr>
      </w:pP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第十一条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b/>
          <w:color w:val="auto"/>
          <w:sz w:val="32"/>
          <w:szCs w:val="32"/>
          <w:highlight w:val="none"/>
        </w:rPr>
        <w:t xml:space="preserve"> </w:t>
      </w:r>
      <w:r>
        <w:rPr>
          <w:rFonts w:hint="eastAsia" w:ascii="方正仿宋_GBK" w:hAnsi="宋体" w:eastAsia="方正仿宋_GBK"/>
          <w:color w:val="auto"/>
          <w:sz w:val="32"/>
          <w:szCs w:val="32"/>
          <w:highlight w:val="none"/>
        </w:rPr>
        <w:t>考核分为“优秀”</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lang w:val="en-US" w:eastAsia="zh-CN"/>
        </w:rPr>
        <w:t>良好</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“合格”</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“不合格”</w:t>
      </w:r>
      <w:r>
        <w:rPr>
          <w:rFonts w:hint="eastAsia" w:ascii="方正仿宋_GBK" w:hAnsi="宋体" w:eastAsia="方正仿宋_GBK"/>
          <w:color w:val="auto"/>
          <w:sz w:val="32"/>
          <w:szCs w:val="32"/>
          <w:highlight w:val="none"/>
          <w:lang w:val="en-US" w:eastAsia="zh-CN"/>
        </w:rPr>
        <w:t>四</w:t>
      </w:r>
      <w:r>
        <w:rPr>
          <w:rFonts w:hint="eastAsia" w:ascii="方正仿宋_GBK" w:hAnsi="宋体" w:eastAsia="方正仿宋_GBK"/>
          <w:color w:val="auto"/>
          <w:sz w:val="32"/>
          <w:szCs w:val="32"/>
          <w:highlight w:val="none"/>
        </w:rPr>
        <w:t>个等级及“一票否决”。</w:t>
      </w:r>
    </w:p>
    <w:p>
      <w:pPr>
        <w:spacing w:line="560" w:lineRule="exact"/>
        <w:ind w:firstLine="640" w:firstLineChars="200"/>
        <w:rPr>
          <w:rFonts w:hint="eastAsia"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rPr>
        <w:t>（一）“优秀”等级。“优秀”等级按考核最后得分情况由高到低确定，各二级学院“优秀”名额应控制在学院辅导员（班主任）总数的15%。</w:t>
      </w:r>
    </w:p>
    <w:p>
      <w:pPr>
        <w:spacing w:line="560" w:lineRule="exact"/>
        <w:ind w:firstLine="640" w:firstLineChars="200"/>
        <w:rPr>
          <w:rFonts w:hint="eastAsia"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lang w:val="en-US" w:eastAsia="zh-CN"/>
        </w:rPr>
        <w:t>二</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rPr>
        <w:t>“</w:t>
      </w:r>
      <w:r>
        <w:rPr>
          <w:rFonts w:hint="eastAsia" w:ascii="方正仿宋_GBK" w:hAnsi="宋体" w:eastAsia="方正仿宋_GBK" w:cs="Times New Roman"/>
          <w:color w:val="auto"/>
          <w:sz w:val="32"/>
          <w:szCs w:val="32"/>
          <w:highlight w:val="none"/>
          <w:lang w:val="en-US" w:eastAsia="zh-CN"/>
        </w:rPr>
        <w:t>良好</w:t>
      </w:r>
      <w:r>
        <w:rPr>
          <w:rFonts w:hint="eastAsia" w:ascii="方正仿宋_GBK" w:hAnsi="宋体" w:eastAsia="方正仿宋_GBK" w:cs="Times New Roman"/>
          <w:color w:val="auto"/>
          <w:sz w:val="32"/>
          <w:szCs w:val="32"/>
          <w:highlight w:val="none"/>
        </w:rPr>
        <w:t>”等级。“</w:t>
      </w:r>
      <w:r>
        <w:rPr>
          <w:rFonts w:hint="eastAsia" w:ascii="方正仿宋_GBK" w:hAnsi="宋体" w:eastAsia="方正仿宋_GBK" w:cs="Times New Roman"/>
          <w:color w:val="auto"/>
          <w:sz w:val="32"/>
          <w:szCs w:val="32"/>
          <w:highlight w:val="none"/>
          <w:lang w:val="en-US" w:eastAsia="zh-CN"/>
        </w:rPr>
        <w:t>良好</w:t>
      </w:r>
      <w:r>
        <w:rPr>
          <w:rFonts w:hint="eastAsia" w:ascii="方正仿宋_GBK" w:hAnsi="宋体" w:eastAsia="方正仿宋_GBK" w:cs="Times New Roman"/>
          <w:color w:val="auto"/>
          <w:sz w:val="32"/>
          <w:szCs w:val="32"/>
          <w:highlight w:val="none"/>
        </w:rPr>
        <w:t>”等级按考核最后得分情况由高到低确定，各二级学院“</w:t>
      </w:r>
      <w:r>
        <w:rPr>
          <w:rFonts w:hint="eastAsia" w:ascii="方正仿宋_GBK" w:hAnsi="宋体" w:eastAsia="方正仿宋_GBK" w:cs="Times New Roman"/>
          <w:color w:val="auto"/>
          <w:sz w:val="32"/>
          <w:szCs w:val="32"/>
          <w:highlight w:val="none"/>
          <w:lang w:val="en-US" w:eastAsia="zh-CN"/>
        </w:rPr>
        <w:t>良好</w:t>
      </w:r>
      <w:r>
        <w:rPr>
          <w:rFonts w:hint="eastAsia" w:ascii="方正仿宋_GBK" w:hAnsi="宋体" w:eastAsia="方正仿宋_GBK" w:cs="Times New Roman"/>
          <w:color w:val="auto"/>
          <w:sz w:val="32"/>
          <w:szCs w:val="32"/>
          <w:highlight w:val="none"/>
        </w:rPr>
        <w:t>”名额应控制在学院辅导员（班主任）总数的</w:t>
      </w:r>
      <w:r>
        <w:rPr>
          <w:rFonts w:hint="eastAsia" w:ascii="方正仿宋_GBK" w:hAnsi="宋体" w:eastAsia="方正仿宋_GBK" w:cs="Times New Roman"/>
          <w:color w:val="auto"/>
          <w:sz w:val="32"/>
          <w:szCs w:val="32"/>
          <w:highlight w:val="none"/>
          <w:lang w:val="en-US" w:eastAsia="zh-CN"/>
        </w:rPr>
        <w:t>40</w:t>
      </w:r>
      <w:r>
        <w:rPr>
          <w:rFonts w:hint="eastAsia" w:ascii="方正仿宋_GBK" w:hAnsi="宋体" w:eastAsia="方正仿宋_GBK" w:cs="Times New Roman"/>
          <w:color w:val="auto"/>
          <w:sz w:val="32"/>
          <w:szCs w:val="32"/>
          <w:highlight w:val="none"/>
        </w:rPr>
        <w:t>%。</w:t>
      </w:r>
    </w:p>
    <w:p>
      <w:pPr>
        <w:spacing w:line="560" w:lineRule="exact"/>
        <w:ind w:firstLine="640" w:firstLineChars="200"/>
        <w:rPr>
          <w:rFonts w:hint="eastAsia"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lang w:val="en-US" w:eastAsia="zh-CN"/>
        </w:rPr>
        <w:t>三</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rPr>
        <w:t>“</w:t>
      </w:r>
      <w:r>
        <w:rPr>
          <w:rFonts w:hint="eastAsia" w:ascii="方正仿宋_GBK" w:hAnsi="宋体" w:eastAsia="方正仿宋_GBK" w:cs="Times New Roman"/>
          <w:color w:val="auto"/>
          <w:sz w:val="32"/>
          <w:szCs w:val="32"/>
          <w:highlight w:val="none"/>
          <w:lang w:val="en-US" w:eastAsia="zh-CN"/>
        </w:rPr>
        <w:t>合格</w:t>
      </w:r>
      <w:r>
        <w:rPr>
          <w:rFonts w:hint="eastAsia" w:ascii="方正仿宋_GBK" w:hAnsi="宋体" w:eastAsia="方正仿宋_GBK" w:cs="Times New Roman"/>
          <w:color w:val="auto"/>
          <w:sz w:val="32"/>
          <w:szCs w:val="32"/>
          <w:highlight w:val="none"/>
        </w:rPr>
        <w:t>”等级。“</w:t>
      </w:r>
      <w:r>
        <w:rPr>
          <w:rFonts w:hint="eastAsia" w:ascii="方正仿宋_GBK" w:hAnsi="宋体" w:eastAsia="方正仿宋_GBK" w:cs="Times New Roman"/>
          <w:color w:val="auto"/>
          <w:sz w:val="32"/>
          <w:szCs w:val="32"/>
          <w:highlight w:val="none"/>
          <w:lang w:val="en-US" w:eastAsia="zh-CN"/>
        </w:rPr>
        <w:t>合格</w:t>
      </w:r>
      <w:r>
        <w:rPr>
          <w:rFonts w:hint="eastAsia" w:ascii="方正仿宋_GBK" w:hAnsi="宋体" w:eastAsia="方正仿宋_GBK" w:cs="Times New Roman"/>
          <w:color w:val="auto"/>
          <w:sz w:val="32"/>
          <w:szCs w:val="32"/>
          <w:highlight w:val="none"/>
        </w:rPr>
        <w:t>”等级按考核最后得分情况由高到低确定，各二级学院“</w:t>
      </w:r>
      <w:r>
        <w:rPr>
          <w:rFonts w:hint="eastAsia" w:ascii="方正仿宋_GBK" w:hAnsi="宋体" w:eastAsia="方正仿宋_GBK" w:cs="Times New Roman"/>
          <w:color w:val="auto"/>
          <w:sz w:val="32"/>
          <w:szCs w:val="32"/>
          <w:highlight w:val="none"/>
          <w:lang w:val="en-US" w:eastAsia="zh-CN"/>
        </w:rPr>
        <w:t>合格</w:t>
      </w:r>
      <w:r>
        <w:rPr>
          <w:rFonts w:hint="eastAsia" w:ascii="方正仿宋_GBK" w:hAnsi="宋体" w:eastAsia="方正仿宋_GBK" w:cs="Times New Roman"/>
          <w:color w:val="auto"/>
          <w:sz w:val="32"/>
          <w:szCs w:val="32"/>
          <w:highlight w:val="none"/>
        </w:rPr>
        <w:t>”名额应控制在学院辅导员（班主任）总数的</w:t>
      </w:r>
      <w:r>
        <w:rPr>
          <w:rFonts w:hint="eastAsia" w:ascii="方正仿宋_GBK" w:hAnsi="宋体" w:eastAsia="方正仿宋_GBK" w:cs="Times New Roman"/>
          <w:color w:val="auto"/>
          <w:sz w:val="32"/>
          <w:szCs w:val="32"/>
          <w:highlight w:val="none"/>
          <w:lang w:val="en-US" w:eastAsia="zh-CN"/>
        </w:rPr>
        <w:t>30</w:t>
      </w:r>
      <w:r>
        <w:rPr>
          <w:rFonts w:hint="eastAsia" w:ascii="方正仿宋_GBK" w:hAnsi="宋体" w:eastAsia="方正仿宋_GBK" w:cs="Times New Roman"/>
          <w:color w:val="auto"/>
          <w:sz w:val="32"/>
          <w:szCs w:val="32"/>
          <w:highlight w:val="none"/>
        </w:rPr>
        <w:t>%。</w:t>
      </w:r>
    </w:p>
    <w:p>
      <w:pPr>
        <w:spacing w:line="560" w:lineRule="exact"/>
        <w:ind w:firstLine="640" w:firstLineChars="200"/>
        <w:rPr>
          <w:rFonts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rPr>
        <w:t>（</w:t>
      </w:r>
      <w:r>
        <w:rPr>
          <w:rFonts w:hint="eastAsia" w:ascii="方正仿宋_GBK" w:hAnsi="宋体" w:eastAsia="方正仿宋_GBK" w:cs="Times New Roman"/>
          <w:color w:val="auto"/>
          <w:sz w:val="32"/>
          <w:szCs w:val="32"/>
          <w:highlight w:val="none"/>
          <w:lang w:val="en-US" w:eastAsia="zh-CN"/>
        </w:rPr>
        <w:t>四</w:t>
      </w:r>
      <w:r>
        <w:rPr>
          <w:rFonts w:hint="eastAsia" w:ascii="方正仿宋_GBK" w:hAnsi="宋体" w:eastAsia="方正仿宋_GBK" w:cs="Times New Roman"/>
          <w:color w:val="auto"/>
          <w:sz w:val="32"/>
          <w:szCs w:val="32"/>
          <w:highlight w:val="none"/>
        </w:rPr>
        <w:t>）“不合格”等级。</w:t>
      </w:r>
      <w:r>
        <w:rPr>
          <w:rFonts w:hint="eastAsia" w:ascii="方正楷体_GBK" w:hAnsi="宋体" w:eastAsia="方正楷体_GBK"/>
          <w:color w:val="auto"/>
          <w:sz w:val="32"/>
          <w:szCs w:val="32"/>
          <w:highlight w:val="none"/>
        </w:rPr>
        <w:t>“</w:t>
      </w:r>
      <w:r>
        <w:rPr>
          <w:rFonts w:hint="eastAsia" w:ascii="方正仿宋_GBK" w:hAnsi="宋体" w:eastAsia="方正仿宋_GBK" w:cs="Times New Roman"/>
          <w:color w:val="auto"/>
          <w:sz w:val="32"/>
          <w:szCs w:val="32"/>
          <w:highlight w:val="none"/>
        </w:rPr>
        <w:t>不合格”按考核最后得分情况由低到高确定，各二级学院“不合格”名额原则上应控制在学院辅导员（班主任）总数的1</w:t>
      </w:r>
      <w:r>
        <w:rPr>
          <w:rFonts w:hint="eastAsia" w:ascii="方正仿宋_GBK" w:hAnsi="宋体" w:eastAsia="方正仿宋_GBK" w:cs="Times New Roman"/>
          <w:color w:val="auto"/>
          <w:sz w:val="32"/>
          <w:szCs w:val="32"/>
          <w:highlight w:val="none"/>
          <w:lang w:val="en-US" w:eastAsia="zh-CN"/>
        </w:rPr>
        <w:t>5</w:t>
      </w:r>
      <w:r>
        <w:rPr>
          <w:rFonts w:hint="eastAsia" w:ascii="方正仿宋_GBK" w:hAnsi="宋体" w:eastAsia="方正仿宋_GBK" w:cs="Times New Roman"/>
          <w:color w:val="auto"/>
          <w:sz w:val="32"/>
          <w:szCs w:val="32"/>
          <w:highlight w:val="none"/>
        </w:rPr>
        <w:t>%</w:t>
      </w:r>
      <w:r>
        <w:rPr>
          <w:rFonts w:hint="eastAsia" w:ascii="方正仿宋_GBK" w:hAnsi="宋体" w:eastAsia="方正仿宋_GBK"/>
          <w:color w:val="auto"/>
          <w:sz w:val="32"/>
          <w:szCs w:val="32"/>
          <w:highlight w:val="none"/>
        </w:rPr>
        <w:t>。</w:t>
      </w:r>
    </w:p>
    <w:p>
      <w:pPr>
        <w:spacing w:line="560" w:lineRule="exact"/>
        <w:ind w:firstLine="643" w:firstLineChars="200"/>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bCs/>
          <w:color w:val="auto"/>
          <w:sz w:val="32"/>
          <w:szCs w:val="32"/>
          <w:highlight w:val="none"/>
        </w:rPr>
        <w:t xml:space="preserve">第十二条  </w:t>
      </w:r>
      <w:r>
        <w:rPr>
          <w:rFonts w:hint="eastAsia" w:ascii="方正仿宋_GBK" w:hAnsi="宋体" w:eastAsia="方正仿宋_GBK" w:cs="Times New Roman"/>
          <w:color w:val="auto"/>
          <w:sz w:val="32"/>
          <w:szCs w:val="32"/>
          <w:highlight w:val="none"/>
        </w:rPr>
        <w:t>考核当月如有以下情况之一者，认定为“一票否决”：</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（一）因缺乏政治敏感性和鉴别力，在班会、课堂、通知、推文或宣传等过程中出现失误</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rPr>
        <w:t>情节严重的；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二</w:t>
      </w:r>
      <w:r>
        <w:rPr>
          <w:rFonts w:hint="eastAsia" w:ascii="方正仿宋_GBK" w:hAnsi="宋体" w:eastAsia="方正仿宋_GBK" w:cs="宋体"/>
          <w:color w:val="auto"/>
          <w:kern w:val="0"/>
          <w:sz w:val="32"/>
          <w:szCs w:val="32"/>
          <w:highlight w:val="none"/>
        </w:rPr>
        <w:t>）辅导员（班主任）存在违法犯罪行为</w:t>
      </w:r>
      <w:r>
        <w:rPr>
          <w:rFonts w:hint="eastAsia" w:ascii="方正仿宋_GBK" w:hAnsi="宋体" w:eastAsia="方正仿宋_GBK" w:cs="宋体"/>
          <w:color w:val="auto"/>
          <w:kern w:val="0"/>
          <w:sz w:val="32"/>
          <w:szCs w:val="32"/>
          <w:highlight w:val="none"/>
          <w:lang w:val="en-US" w:eastAsia="zh-CN"/>
        </w:rPr>
        <w:t>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三</w:t>
      </w:r>
      <w:r>
        <w:rPr>
          <w:rFonts w:hint="eastAsia" w:ascii="方正仿宋_GBK" w:hAnsi="宋体" w:eastAsia="方正仿宋_GBK" w:cs="宋体"/>
          <w:color w:val="auto"/>
          <w:kern w:val="0"/>
          <w:sz w:val="32"/>
          <w:szCs w:val="32"/>
          <w:highlight w:val="none"/>
        </w:rPr>
        <w:t>）因失职、渎职或者重大工作失误导致学生投诉的；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四</w:t>
      </w: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不</w:t>
      </w:r>
      <w:r>
        <w:rPr>
          <w:rFonts w:hint="eastAsia" w:ascii="方正仿宋_GBK" w:hAnsi="宋体" w:eastAsia="方正仿宋_GBK" w:cs="宋体"/>
          <w:color w:val="auto"/>
          <w:kern w:val="0"/>
          <w:sz w:val="32"/>
          <w:szCs w:val="32"/>
          <w:highlight w:val="none"/>
        </w:rPr>
        <w:t>遵守工作群管理规定，发表影响工作及同事的言论</w:t>
      </w:r>
      <w:r>
        <w:rPr>
          <w:rFonts w:hint="eastAsia" w:ascii="方正仿宋_GBK" w:hAnsi="宋体" w:eastAsia="方正仿宋_GBK" w:cs="宋体"/>
          <w:color w:val="auto"/>
          <w:kern w:val="0"/>
          <w:sz w:val="32"/>
          <w:szCs w:val="32"/>
          <w:highlight w:val="none"/>
          <w:lang w:val="en-US" w:eastAsia="zh-CN"/>
        </w:rPr>
        <w:t>的行为的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五</w:t>
      </w: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有</w:t>
      </w:r>
      <w:r>
        <w:rPr>
          <w:rFonts w:hint="eastAsia" w:ascii="方正仿宋_GBK" w:hAnsi="宋体" w:eastAsia="方正仿宋_GBK" w:cs="宋体"/>
          <w:color w:val="auto"/>
          <w:kern w:val="0"/>
          <w:sz w:val="32"/>
          <w:szCs w:val="32"/>
          <w:highlight w:val="none"/>
        </w:rPr>
        <w:t>违反校纪校规行为</w:t>
      </w:r>
      <w:r>
        <w:rPr>
          <w:rFonts w:hint="eastAsia" w:ascii="方正仿宋_GBK" w:hAnsi="宋体" w:eastAsia="方正仿宋_GBK" w:cs="宋体"/>
          <w:color w:val="auto"/>
          <w:kern w:val="0"/>
          <w:sz w:val="32"/>
          <w:szCs w:val="32"/>
          <w:highlight w:val="none"/>
          <w:lang w:val="en-US" w:eastAsia="zh-CN"/>
        </w:rPr>
        <w:t>的</w:t>
      </w:r>
      <w:r>
        <w:rPr>
          <w:rFonts w:hint="eastAsia" w:ascii="方正仿宋_GBK" w:hAnsi="宋体" w:eastAsia="方正仿宋_GBK" w:cs="宋体"/>
          <w:color w:val="auto"/>
          <w:kern w:val="0"/>
          <w:sz w:val="32"/>
          <w:szCs w:val="32"/>
          <w:highlight w:val="none"/>
        </w:rPr>
        <w:t>；</w:t>
      </w:r>
    </w:p>
    <w:p>
      <w:pPr>
        <w:spacing w:line="560" w:lineRule="exact"/>
        <w:ind w:firstLine="640" w:firstLineChars="200"/>
        <w:rPr>
          <w:rFonts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val="en-US" w:eastAsia="zh-CN"/>
        </w:rPr>
        <w:t>六</w:t>
      </w:r>
      <w:r>
        <w:rPr>
          <w:rFonts w:hint="eastAsia" w:ascii="方正仿宋_GBK" w:hAnsi="宋体" w:eastAsia="方正仿宋_GBK"/>
          <w:color w:val="auto"/>
          <w:sz w:val="32"/>
          <w:szCs w:val="32"/>
          <w:highlight w:val="none"/>
        </w:rPr>
        <w:t>）与学生谈恋爱和发生不正当关系</w:t>
      </w:r>
      <w:r>
        <w:rPr>
          <w:rFonts w:hint="eastAsia" w:ascii="方正仿宋_GBK" w:hAnsi="宋体" w:eastAsia="方正仿宋_GBK"/>
          <w:color w:val="auto"/>
          <w:sz w:val="32"/>
          <w:szCs w:val="32"/>
          <w:highlight w:val="none"/>
          <w:lang w:val="en-US" w:eastAsia="zh-CN"/>
        </w:rPr>
        <w:t>的</w:t>
      </w:r>
      <w:r>
        <w:rPr>
          <w:rFonts w:hint="eastAsia" w:ascii="方正仿宋_GBK" w:hAnsi="宋体" w:eastAsia="方正仿宋_GBK"/>
          <w:color w:val="auto"/>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七</w:t>
      </w:r>
      <w:r>
        <w:rPr>
          <w:rFonts w:hint="eastAsia" w:ascii="方正仿宋_GBK" w:hAnsi="宋体" w:eastAsia="方正仿宋_GBK" w:cs="宋体"/>
          <w:color w:val="auto"/>
          <w:kern w:val="0"/>
          <w:sz w:val="32"/>
          <w:szCs w:val="32"/>
          <w:highlight w:val="none"/>
        </w:rPr>
        <w:t>）学生奖、助、贷、补、免等评选工作</w:t>
      </w:r>
      <w:r>
        <w:rPr>
          <w:rFonts w:hint="eastAsia" w:ascii="方正仿宋_GBK" w:hAnsi="宋体" w:eastAsia="方正仿宋_GBK" w:cs="宋体"/>
          <w:color w:val="auto"/>
          <w:kern w:val="0"/>
          <w:sz w:val="32"/>
          <w:szCs w:val="32"/>
          <w:highlight w:val="none"/>
          <w:lang w:val="en-US" w:eastAsia="zh-CN"/>
        </w:rPr>
        <w:t>中</w:t>
      </w:r>
      <w:r>
        <w:rPr>
          <w:rFonts w:hint="eastAsia" w:ascii="方正仿宋_GBK" w:hAnsi="宋体" w:eastAsia="方正仿宋_GBK" w:cs="宋体"/>
          <w:color w:val="auto"/>
          <w:kern w:val="0"/>
          <w:sz w:val="32"/>
          <w:szCs w:val="32"/>
          <w:highlight w:val="none"/>
        </w:rPr>
        <w:t>出现错漏情节严重的；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八</w:t>
      </w:r>
      <w:r>
        <w:rPr>
          <w:rFonts w:hint="eastAsia" w:ascii="方正仿宋_GBK" w:hAnsi="宋体" w:eastAsia="方正仿宋_GBK" w:cs="宋体"/>
          <w:color w:val="auto"/>
          <w:kern w:val="0"/>
          <w:sz w:val="32"/>
          <w:szCs w:val="32"/>
          <w:highlight w:val="none"/>
        </w:rPr>
        <w:t>）所带学生存在发布有损国家、学校或他人不实言论，造成负面影响的；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九</w:t>
      </w:r>
      <w:r>
        <w:rPr>
          <w:rFonts w:hint="eastAsia" w:ascii="方正仿宋_GBK" w:hAnsi="宋体" w:eastAsia="方正仿宋_GBK" w:cs="宋体"/>
          <w:color w:val="auto"/>
          <w:kern w:val="0"/>
          <w:sz w:val="32"/>
          <w:szCs w:val="32"/>
          <w:highlight w:val="none"/>
        </w:rPr>
        <w:t>）遇校园危机事件</w:t>
      </w:r>
      <w:r>
        <w:rPr>
          <w:rFonts w:hint="eastAsia" w:ascii="方正仿宋_GBK" w:hAnsi="宋体" w:eastAsia="方正仿宋_GBK" w:cs="宋体"/>
          <w:color w:val="auto"/>
          <w:kern w:val="0"/>
          <w:sz w:val="32"/>
          <w:szCs w:val="32"/>
          <w:highlight w:val="none"/>
          <w:lang w:val="en-US" w:eastAsia="zh-CN"/>
        </w:rPr>
        <w:t>未在</w:t>
      </w:r>
      <w:r>
        <w:rPr>
          <w:rFonts w:hint="eastAsia" w:ascii="方正仿宋_GBK" w:hAnsi="宋体" w:eastAsia="方正仿宋_GBK" w:cs="宋体"/>
          <w:color w:val="auto"/>
          <w:kern w:val="0"/>
          <w:sz w:val="32"/>
          <w:szCs w:val="32"/>
          <w:highlight w:val="none"/>
        </w:rPr>
        <w:t>接到通知后的15分钟内到达现场，2小时内提交书面情况报告</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rPr>
        <w:t>情节严重的</w:t>
      </w:r>
      <w:r>
        <w:rPr>
          <w:rFonts w:hint="eastAsia" w:ascii="方正仿宋_GBK" w:hAnsi="宋体" w:eastAsia="方正仿宋_GBK" w:cs="宋体"/>
          <w:color w:val="auto"/>
          <w:kern w:val="0"/>
          <w:sz w:val="32"/>
          <w:szCs w:val="32"/>
          <w:highlight w:val="none"/>
          <w:lang w:val="en-US" w:eastAsia="zh-CN"/>
        </w:rPr>
        <w:t>以及处理方式方式不当，导致事件扩大，事后不能提供相关的安全教育痕迹的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（十）就业去向落实率</w:t>
      </w:r>
      <w:r>
        <w:rPr>
          <w:rFonts w:hint="eastAsia" w:ascii="方正仿宋_GBK" w:hAnsi="宋体" w:eastAsia="方正仿宋_GBK" w:cs="宋体"/>
          <w:color w:val="auto"/>
          <w:kern w:val="0"/>
          <w:sz w:val="32"/>
          <w:szCs w:val="32"/>
          <w:highlight w:val="none"/>
          <w:lang w:val="en-US" w:eastAsia="zh-CN"/>
        </w:rPr>
        <w:t>未</w:t>
      </w:r>
      <w:r>
        <w:rPr>
          <w:rFonts w:hint="eastAsia" w:ascii="方正仿宋_GBK" w:hAnsi="宋体" w:eastAsia="方正仿宋_GBK" w:cs="宋体"/>
          <w:color w:val="auto"/>
          <w:kern w:val="0"/>
          <w:sz w:val="32"/>
          <w:szCs w:val="32"/>
          <w:highlight w:val="none"/>
        </w:rPr>
        <w:t>达到要求、就业材料</w:t>
      </w:r>
      <w:r>
        <w:rPr>
          <w:rFonts w:hint="eastAsia" w:ascii="方正仿宋_GBK" w:hAnsi="宋体" w:eastAsia="方正仿宋_GBK" w:cs="宋体"/>
          <w:color w:val="auto"/>
          <w:kern w:val="0"/>
          <w:sz w:val="32"/>
          <w:szCs w:val="32"/>
          <w:highlight w:val="none"/>
          <w:lang w:val="en-US" w:eastAsia="zh-CN"/>
        </w:rPr>
        <w:t>不规范</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lang w:val="en-US" w:eastAsia="zh-CN"/>
        </w:rPr>
        <w:t>情节严重的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（十</w:t>
      </w:r>
      <w:r>
        <w:rPr>
          <w:rFonts w:hint="eastAsia" w:ascii="方正仿宋_GBK" w:hAnsi="宋体" w:eastAsia="方正仿宋_GBK" w:cs="宋体"/>
          <w:color w:val="auto"/>
          <w:kern w:val="0"/>
          <w:sz w:val="32"/>
          <w:szCs w:val="32"/>
          <w:highlight w:val="none"/>
          <w:lang w:val="en-US" w:eastAsia="zh-CN"/>
        </w:rPr>
        <w:t>一</w:t>
      </w:r>
      <w:r>
        <w:rPr>
          <w:rFonts w:hint="eastAsia" w:ascii="方正仿宋_GBK" w:hAnsi="宋体" w:eastAsia="方正仿宋_GBK" w:cs="宋体"/>
          <w:color w:val="auto"/>
          <w:kern w:val="0"/>
          <w:sz w:val="32"/>
          <w:szCs w:val="32"/>
          <w:highlight w:val="none"/>
        </w:rPr>
        <w:t>）出现</w:t>
      </w:r>
      <w:r>
        <w:rPr>
          <w:rFonts w:hint="eastAsia" w:ascii="方正仿宋_GBK" w:hAnsi="宋体" w:eastAsia="方正仿宋_GBK" w:cs="宋体"/>
          <w:color w:val="auto"/>
          <w:kern w:val="0"/>
          <w:sz w:val="32"/>
          <w:szCs w:val="32"/>
          <w:highlight w:val="none"/>
          <w:lang w:val="en-US" w:eastAsia="zh-CN"/>
        </w:rPr>
        <w:t>旷工、</w:t>
      </w:r>
      <w:r>
        <w:rPr>
          <w:rFonts w:hint="eastAsia" w:ascii="方正仿宋_GBK" w:hAnsi="宋体" w:eastAsia="方正仿宋_GBK" w:cs="宋体"/>
          <w:color w:val="auto"/>
          <w:kern w:val="0"/>
          <w:sz w:val="32"/>
          <w:szCs w:val="32"/>
          <w:highlight w:val="none"/>
          <w:lang w:eastAsia="zh-CN"/>
        </w:rPr>
        <w:t>值班及在岗期间擅自离校的；校、院组织或受派遣参加的业务培训和有关会议、活动</w:t>
      </w:r>
      <w:r>
        <w:rPr>
          <w:rFonts w:hint="eastAsia" w:ascii="方正仿宋_GBK" w:hAnsi="宋体" w:eastAsia="方正仿宋_GBK" w:cs="宋体"/>
          <w:color w:val="auto"/>
          <w:kern w:val="0"/>
          <w:sz w:val="32"/>
          <w:szCs w:val="32"/>
          <w:highlight w:val="none"/>
          <w:lang w:val="en-US" w:eastAsia="zh-CN"/>
        </w:rPr>
        <w:t>缺席的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（十</w:t>
      </w:r>
      <w:r>
        <w:rPr>
          <w:rFonts w:hint="eastAsia" w:ascii="方正仿宋_GBK" w:hAnsi="宋体" w:eastAsia="方正仿宋_GBK" w:cs="宋体"/>
          <w:color w:val="auto"/>
          <w:kern w:val="0"/>
          <w:sz w:val="32"/>
          <w:szCs w:val="32"/>
          <w:highlight w:val="none"/>
          <w:lang w:val="en-US" w:eastAsia="zh-CN"/>
        </w:rPr>
        <w:t>二</w:t>
      </w:r>
      <w:r>
        <w:rPr>
          <w:rFonts w:hint="eastAsia" w:ascii="方正仿宋_GBK" w:hAnsi="宋体" w:eastAsia="方正仿宋_GBK" w:cs="宋体"/>
          <w:color w:val="auto"/>
          <w:kern w:val="0"/>
          <w:sz w:val="32"/>
          <w:szCs w:val="32"/>
          <w:highlight w:val="none"/>
        </w:rPr>
        <w:t>）所带学生违纪违法，隐瞒不报或知情拖延汇报</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lang w:val="en-US" w:eastAsia="zh-CN"/>
        </w:rPr>
        <w:t>情节严重的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（十</w:t>
      </w:r>
      <w:r>
        <w:rPr>
          <w:rFonts w:hint="eastAsia" w:ascii="方正仿宋_GBK" w:hAnsi="宋体" w:eastAsia="方正仿宋_GBK" w:cs="宋体"/>
          <w:color w:val="auto"/>
          <w:kern w:val="0"/>
          <w:sz w:val="32"/>
          <w:szCs w:val="32"/>
          <w:highlight w:val="none"/>
          <w:lang w:val="en-US" w:eastAsia="zh-CN"/>
        </w:rPr>
        <w:t>三</w:t>
      </w:r>
      <w:r>
        <w:rPr>
          <w:rFonts w:hint="eastAsia" w:ascii="方正仿宋_GBK" w:hAnsi="宋体" w:eastAsia="方正仿宋_GBK" w:cs="宋体"/>
          <w:color w:val="auto"/>
          <w:kern w:val="0"/>
          <w:sz w:val="32"/>
          <w:szCs w:val="32"/>
          <w:highlight w:val="none"/>
        </w:rPr>
        <w:t>）通讯不畅，15分钟内联系不上的；</w:t>
      </w:r>
    </w:p>
    <w:p>
      <w:pPr>
        <w:autoSpaceDE w:val="0"/>
        <w:autoSpaceDN w:val="0"/>
        <w:adjustRightInd w:val="0"/>
        <w:spacing w:line="560" w:lineRule="exact"/>
        <w:ind w:firstLine="640" w:firstLineChars="200"/>
        <w:rPr>
          <w:rFonts w:hint="default" w:ascii="方正仿宋_GBK" w:hAnsi="宋体" w:eastAsia="方正仿宋_GBK" w:cs="宋体"/>
          <w:color w:val="auto"/>
          <w:kern w:val="0"/>
          <w:sz w:val="32"/>
          <w:szCs w:val="32"/>
          <w:highlight w:val="none"/>
          <w:lang w:val="en-US" w:eastAsia="zh-CN"/>
        </w:rPr>
      </w:pPr>
      <w:r>
        <w:rPr>
          <w:rFonts w:hint="eastAsia" w:ascii="方正仿宋_GBK" w:hAnsi="宋体" w:eastAsia="方正仿宋_GBK" w:cs="宋体"/>
          <w:color w:val="auto"/>
          <w:kern w:val="0"/>
          <w:sz w:val="32"/>
          <w:szCs w:val="32"/>
          <w:highlight w:val="none"/>
        </w:rPr>
        <w:t>（十</w:t>
      </w:r>
      <w:r>
        <w:rPr>
          <w:rFonts w:hint="eastAsia" w:ascii="方正仿宋_GBK" w:hAnsi="宋体" w:eastAsia="方正仿宋_GBK" w:cs="宋体"/>
          <w:color w:val="auto"/>
          <w:kern w:val="0"/>
          <w:sz w:val="32"/>
          <w:szCs w:val="32"/>
          <w:highlight w:val="none"/>
          <w:lang w:val="en-US" w:eastAsia="zh-CN"/>
        </w:rPr>
        <w:t>四</w:t>
      </w:r>
      <w:r>
        <w:rPr>
          <w:rFonts w:hint="eastAsia" w:ascii="方正仿宋_GBK" w:hAnsi="宋体" w:eastAsia="方正仿宋_GBK" w:cs="宋体"/>
          <w:color w:val="auto"/>
          <w:kern w:val="0"/>
          <w:sz w:val="32"/>
          <w:szCs w:val="32"/>
          <w:highlight w:val="none"/>
        </w:rPr>
        <w:t>）所带学生违纪违法，隐瞒不报或知情拖延汇报</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lang w:val="en-US" w:eastAsia="zh-CN"/>
        </w:rPr>
        <w:t>情节严重的；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lang w:val="en-US" w:eastAsia="zh-CN"/>
        </w:rPr>
        <w:t>十五</w:t>
      </w: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rPr>
        <w:t>因工作不当或失职，造成重大责任事故或学生发生重伤、死亡，对学校造成严重影响的；</w:t>
      </w:r>
    </w:p>
    <w:p>
      <w:pPr>
        <w:autoSpaceDE w:val="0"/>
        <w:autoSpaceDN w:val="0"/>
        <w:adjustRightInd w:val="0"/>
        <w:spacing w:line="560" w:lineRule="exact"/>
        <w:ind w:firstLine="640" w:firstLineChars="200"/>
        <w:rPr>
          <w:rFonts w:hint="eastAsia" w:ascii="方正仿宋_GBK" w:hAnsi="宋体" w:eastAsia="方正仿宋_GBK" w:cs="宋体"/>
          <w:color w:val="auto"/>
          <w:kern w:val="0"/>
          <w:sz w:val="32"/>
          <w:szCs w:val="32"/>
          <w:highlight w:val="none"/>
          <w:lang w:val="en-US" w:eastAsia="zh-CN"/>
        </w:rPr>
      </w:pPr>
      <w:r>
        <w:rPr>
          <w:rFonts w:hint="eastAsia" w:ascii="方正仿宋_GBK" w:hAnsi="宋体" w:eastAsia="方正仿宋_GBK" w:cs="宋体"/>
          <w:color w:val="auto"/>
          <w:kern w:val="0"/>
          <w:sz w:val="32"/>
          <w:szCs w:val="32"/>
          <w:highlight w:val="none"/>
        </w:rPr>
        <w:t>（十六）被学校或学院</w:t>
      </w:r>
      <w:r>
        <w:rPr>
          <w:rFonts w:hint="eastAsia" w:ascii="方正仿宋_GBK" w:hAnsi="宋体" w:eastAsia="方正仿宋_GBK" w:cs="宋体"/>
          <w:color w:val="auto"/>
          <w:kern w:val="0"/>
          <w:sz w:val="32"/>
          <w:szCs w:val="32"/>
          <w:highlight w:val="none"/>
          <w:lang w:val="en-US" w:eastAsia="zh-CN"/>
        </w:rPr>
        <w:t>以书面形式</w:t>
      </w:r>
      <w:r>
        <w:rPr>
          <w:rFonts w:hint="eastAsia" w:ascii="方正仿宋_GBK" w:hAnsi="宋体" w:eastAsia="方正仿宋_GBK" w:cs="宋体"/>
          <w:color w:val="auto"/>
          <w:kern w:val="0"/>
          <w:sz w:val="32"/>
          <w:szCs w:val="32"/>
          <w:highlight w:val="none"/>
        </w:rPr>
        <w:t>通报批评</w:t>
      </w:r>
      <w:r>
        <w:rPr>
          <w:rFonts w:hint="eastAsia" w:ascii="方正仿宋_GBK" w:hAnsi="宋体" w:eastAsia="方正仿宋_GBK" w:cs="宋体"/>
          <w:color w:val="auto"/>
          <w:kern w:val="0"/>
          <w:sz w:val="32"/>
          <w:szCs w:val="32"/>
          <w:highlight w:val="none"/>
          <w:lang w:val="en-US" w:eastAsia="zh-CN"/>
        </w:rPr>
        <w:t>的；</w:t>
      </w:r>
    </w:p>
    <w:p>
      <w:pPr>
        <w:autoSpaceDE w:val="0"/>
        <w:autoSpaceDN w:val="0"/>
        <w:adjustRightInd w:val="0"/>
        <w:spacing w:line="560" w:lineRule="exact"/>
        <w:ind w:firstLine="640" w:firstLineChars="200"/>
        <w:rPr>
          <w:rFonts w:hint="eastAsia" w:ascii="方正仿宋_GBK" w:hAnsi="宋体" w:eastAsia="方正仿宋_GBK" w:cs="宋体"/>
          <w:color w:val="auto"/>
          <w:kern w:val="0"/>
          <w:sz w:val="32"/>
          <w:szCs w:val="32"/>
          <w:highlight w:val="none"/>
          <w:lang w:eastAsia="zh-CN"/>
        </w:rPr>
      </w:pPr>
      <w:r>
        <w:rPr>
          <w:rFonts w:hint="eastAsia" w:ascii="方正仿宋_GBK" w:hAnsi="宋体" w:eastAsia="方正仿宋_GBK" w:cs="宋体"/>
          <w:color w:val="auto"/>
          <w:kern w:val="0"/>
          <w:sz w:val="32"/>
          <w:szCs w:val="32"/>
          <w:highlight w:val="none"/>
          <w:lang w:val="en-US" w:eastAsia="zh-CN"/>
        </w:rPr>
        <w:t>（十七）</w:t>
      </w:r>
      <w:r>
        <w:rPr>
          <w:rFonts w:hint="eastAsia" w:ascii="方正仿宋_GBK" w:hAnsi="宋体" w:eastAsia="方正仿宋_GBK" w:cs="宋体"/>
          <w:color w:val="auto"/>
          <w:kern w:val="0"/>
          <w:sz w:val="32"/>
          <w:szCs w:val="32"/>
          <w:highlight w:val="none"/>
        </w:rPr>
        <w:t>被新闻媒体负面报道的</w:t>
      </w:r>
      <w:r>
        <w:rPr>
          <w:rFonts w:hint="eastAsia" w:ascii="方正仿宋_GBK" w:hAnsi="宋体" w:eastAsia="方正仿宋_GBK" w:cs="宋体"/>
          <w:color w:val="auto"/>
          <w:kern w:val="0"/>
          <w:sz w:val="32"/>
          <w:szCs w:val="32"/>
          <w:highlight w:val="none"/>
          <w:lang w:eastAsia="zh-CN"/>
        </w:rPr>
        <w:t>；</w:t>
      </w:r>
    </w:p>
    <w:p>
      <w:pPr>
        <w:autoSpaceDE w:val="0"/>
        <w:autoSpaceDN w:val="0"/>
        <w:adjustRightInd w:val="0"/>
        <w:spacing w:line="560" w:lineRule="exact"/>
        <w:ind w:firstLine="640" w:firstLineChars="200"/>
        <w:rPr>
          <w:rFonts w:hint="eastAsia"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（十</w:t>
      </w:r>
      <w:r>
        <w:rPr>
          <w:rFonts w:hint="eastAsia" w:ascii="方正仿宋_GBK" w:hAnsi="宋体" w:eastAsia="方正仿宋_GBK" w:cs="宋体"/>
          <w:color w:val="auto"/>
          <w:kern w:val="0"/>
          <w:sz w:val="32"/>
          <w:szCs w:val="32"/>
          <w:highlight w:val="none"/>
          <w:lang w:val="en-US" w:eastAsia="zh-CN"/>
        </w:rPr>
        <w:t>八</w:t>
      </w:r>
      <w:r>
        <w:rPr>
          <w:rFonts w:hint="eastAsia" w:ascii="方正仿宋_GBK" w:hAnsi="宋体" w:eastAsia="方正仿宋_GBK" w:cs="宋体"/>
          <w:color w:val="auto"/>
          <w:kern w:val="0"/>
          <w:sz w:val="32"/>
          <w:szCs w:val="32"/>
          <w:highlight w:val="none"/>
        </w:rPr>
        <w:t>）在工作中收受学生及家长等利害关系人财物</w:t>
      </w:r>
      <w:r>
        <w:rPr>
          <w:rFonts w:hint="eastAsia" w:ascii="方正仿宋_GBK" w:hAnsi="宋体" w:eastAsia="方正仿宋_GBK" w:cs="宋体"/>
          <w:color w:val="auto"/>
          <w:kern w:val="0"/>
          <w:sz w:val="32"/>
          <w:szCs w:val="32"/>
          <w:highlight w:val="none"/>
          <w:lang w:val="en-US" w:eastAsia="zh-CN"/>
        </w:rPr>
        <w:t>的</w:t>
      </w:r>
      <w:r>
        <w:rPr>
          <w:rFonts w:hint="eastAsia" w:ascii="方正仿宋_GBK" w:hAnsi="宋体" w:eastAsia="方正仿宋_GBK" w:cs="宋体"/>
          <w:color w:val="auto"/>
          <w:kern w:val="0"/>
          <w:sz w:val="32"/>
          <w:szCs w:val="32"/>
          <w:highlight w:val="none"/>
        </w:rPr>
        <w:t>；</w:t>
      </w:r>
    </w:p>
    <w:p>
      <w:pPr>
        <w:autoSpaceDE w:val="0"/>
        <w:autoSpaceDN w:val="0"/>
        <w:adjustRightInd w:val="0"/>
        <w:spacing w:line="560" w:lineRule="exact"/>
        <w:ind w:firstLine="640" w:firstLineChars="200"/>
        <w:rPr>
          <w:rFonts w:hint="eastAsia" w:ascii="方正仿宋_GBK" w:hAnsi="宋体" w:eastAsia="方正仿宋_GBK" w:cs="宋体"/>
          <w:color w:val="auto"/>
          <w:kern w:val="0"/>
          <w:sz w:val="32"/>
          <w:szCs w:val="32"/>
          <w:highlight w:val="none"/>
          <w:lang w:val="en-US" w:eastAsia="zh-CN"/>
        </w:rPr>
      </w:pPr>
      <w:r>
        <w:rPr>
          <w:rFonts w:hint="eastAsia" w:ascii="方正仿宋_GBK" w:hAnsi="宋体" w:eastAsia="方正仿宋_GBK" w:cs="宋体"/>
          <w:color w:val="auto"/>
          <w:kern w:val="0"/>
          <w:sz w:val="32"/>
          <w:szCs w:val="32"/>
          <w:highlight w:val="none"/>
          <w:lang w:eastAsia="zh-CN"/>
        </w:rPr>
        <w:t>（</w:t>
      </w:r>
      <w:r>
        <w:rPr>
          <w:rFonts w:hint="eastAsia" w:ascii="方正仿宋_GBK" w:hAnsi="宋体" w:eastAsia="方正仿宋_GBK" w:cs="宋体"/>
          <w:color w:val="auto"/>
          <w:kern w:val="0"/>
          <w:sz w:val="32"/>
          <w:szCs w:val="32"/>
          <w:highlight w:val="none"/>
          <w:lang w:val="en-US" w:eastAsia="zh-CN"/>
        </w:rPr>
        <w:t>十九</w:t>
      </w:r>
      <w:r>
        <w:rPr>
          <w:rFonts w:hint="eastAsia" w:ascii="方正仿宋_GBK" w:hAnsi="宋体" w:eastAsia="方正仿宋_GBK" w:cs="宋体"/>
          <w:color w:val="auto"/>
          <w:kern w:val="0"/>
          <w:sz w:val="32"/>
          <w:szCs w:val="32"/>
          <w:highlight w:val="none"/>
          <w:lang w:eastAsia="zh-CN"/>
        </w:rPr>
        <w:t>）涉及学生切身利益的材料不符合</w:t>
      </w:r>
      <w:r>
        <w:rPr>
          <w:rFonts w:hint="eastAsia" w:ascii="方正仿宋_GBK" w:hAnsi="宋体" w:eastAsia="方正仿宋_GBK" w:cs="宋体"/>
          <w:color w:val="auto"/>
          <w:kern w:val="0"/>
          <w:sz w:val="32"/>
          <w:szCs w:val="32"/>
          <w:highlight w:val="none"/>
          <w:lang w:val="en-US" w:eastAsia="zh-CN"/>
        </w:rPr>
        <w:t>规定的；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w:t>
      </w:r>
      <w:r>
        <w:rPr>
          <w:rFonts w:hint="eastAsia" w:ascii="方正仿宋_GBK" w:hAnsi="宋体" w:eastAsia="方正仿宋_GBK" w:cs="宋体"/>
          <w:color w:val="auto"/>
          <w:kern w:val="0"/>
          <w:sz w:val="32"/>
          <w:szCs w:val="32"/>
          <w:highlight w:val="none"/>
          <w:lang w:val="en-US" w:eastAsia="zh-CN"/>
        </w:rPr>
        <w:t>二十</w:t>
      </w:r>
      <w:r>
        <w:rPr>
          <w:rFonts w:hint="eastAsia" w:ascii="方正仿宋_GBK" w:hAnsi="宋体" w:eastAsia="方正仿宋_GBK" w:cs="宋体"/>
          <w:color w:val="auto"/>
          <w:kern w:val="0"/>
          <w:sz w:val="32"/>
          <w:szCs w:val="32"/>
          <w:highlight w:val="none"/>
        </w:rPr>
        <w:t>）在学生日常管理工作中，侮辱、殴打或歧视学生。侮辱、殴打或歧视学生的；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（二十</w:t>
      </w:r>
      <w:r>
        <w:rPr>
          <w:rFonts w:hint="eastAsia" w:ascii="方正仿宋_GBK" w:hAnsi="宋体" w:eastAsia="方正仿宋_GBK" w:cs="宋体"/>
          <w:color w:val="auto"/>
          <w:kern w:val="0"/>
          <w:sz w:val="32"/>
          <w:szCs w:val="32"/>
          <w:highlight w:val="none"/>
          <w:lang w:val="en-US" w:eastAsia="zh-CN"/>
        </w:rPr>
        <w:t>一</w:t>
      </w:r>
      <w:r>
        <w:rPr>
          <w:rFonts w:hint="eastAsia" w:ascii="方正仿宋_GBK" w:hAnsi="宋体" w:eastAsia="方正仿宋_GBK" w:cs="宋体"/>
          <w:color w:val="auto"/>
          <w:kern w:val="0"/>
          <w:sz w:val="32"/>
          <w:szCs w:val="32"/>
          <w:highlight w:val="none"/>
        </w:rPr>
        <w:t>）受到二级学院及以上部门通报的；</w:t>
      </w:r>
    </w:p>
    <w:p>
      <w:pPr>
        <w:autoSpaceDE w:val="0"/>
        <w:autoSpaceDN w:val="0"/>
        <w:adjustRightInd w:val="0"/>
        <w:spacing w:line="560" w:lineRule="exact"/>
        <w:ind w:firstLine="640" w:firstLineChars="200"/>
        <w:rPr>
          <w:rFonts w:ascii="方正仿宋_GBK" w:hAnsi="宋体" w:eastAsia="方正仿宋_GBK" w:cs="宋体"/>
          <w:color w:val="auto"/>
          <w:kern w:val="0"/>
          <w:sz w:val="32"/>
          <w:szCs w:val="32"/>
          <w:highlight w:val="none"/>
        </w:rPr>
      </w:pPr>
      <w:r>
        <w:rPr>
          <w:rFonts w:hint="eastAsia" w:ascii="方正仿宋_GBK" w:hAnsi="宋体" w:eastAsia="方正仿宋_GBK" w:cs="宋体"/>
          <w:color w:val="auto"/>
          <w:kern w:val="0"/>
          <w:sz w:val="32"/>
          <w:szCs w:val="32"/>
          <w:highlight w:val="none"/>
        </w:rPr>
        <w:t>（二十</w:t>
      </w:r>
      <w:r>
        <w:rPr>
          <w:rFonts w:hint="eastAsia" w:ascii="方正仿宋_GBK" w:hAnsi="宋体" w:eastAsia="方正仿宋_GBK" w:cs="宋体"/>
          <w:color w:val="auto"/>
          <w:kern w:val="0"/>
          <w:sz w:val="32"/>
          <w:szCs w:val="32"/>
          <w:highlight w:val="none"/>
          <w:lang w:val="en-US" w:eastAsia="zh-CN"/>
        </w:rPr>
        <w:t>二</w:t>
      </w:r>
      <w:r>
        <w:rPr>
          <w:rFonts w:hint="eastAsia" w:ascii="方正仿宋_GBK" w:hAnsi="宋体" w:eastAsia="方正仿宋_GBK" w:cs="宋体"/>
          <w:color w:val="auto"/>
          <w:kern w:val="0"/>
          <w:sz w:val="32"/>
          <w:szCs w:val="32"/>
          <w:highlight w:val="none"/>
        </w:rPr>
        <w:t>）其他可以被认定为“一票否决”的事项。</w:t>
      </w:r>
    </w:p>
    <w:p>
      <w:pPr>
        <w:widowControl/>
        <w:spacing w:before="156" w:beforeLines="50" w:after="156" w:afterLines="50" w:line="560" w:lineRule="exact"/>
        <w:ind w:firstLine="643" w:firstLineChars="200"/>
        <w:jc w:val="center"/>
        <w:rPr>
          <w:rFonts w:ascii="黑体" w:hAnsi="黑体" w:eastAsia="黑体" w:cs="黑体"/>
          <w:b/>
          <w:bCs/>
          <w:color w:val="auto"/>
          <w:kern w:val="0"/>
          <w:sz w:val="32"/>
          <w:szCs w:val="32"/>
          <w:highlight w:val="none"/>
        </w:rPr>
      </w:pPr>
    </w:p>
    <w:p>
      <w:pPr>
        <w:widowControl/>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bookmarkStart w:id="26" w:name="_Toc23314"/>
      <w:bookmarkStart w:id="27" w:name="_Toc8369"/>
      <w:bookmarkStart w:id="28" w:name="_Toc14589"/>
      <w:bookmarkStart w:id="29" w:name="_Toc2465"/>
      <w:bookmarkStart w:id="30" w:name="_Toc7357"/>
      <w:bookmarkStart w:id="31" w:name="_Toc31181"/>
      <w:r>
        <w:rPr>
          <w:rFonts w:hint="eastAsia" w:ascii="方正黑体_GBK" w:hAnsi="方正黑体_GBK" w:eastAsia="方正黑体_GBK" w:cs="方正黑体_GBK"/>
          <w:b/>
          <w:bCs/>
          <w:color w:val="auto"/>
          <w:kern w:val="0"/>
          <w:sz w:val="32"/>
          <w:szCs w:val="32"/>
          <w:highlight w:val="none"/>
        </w:rPr>
        <w:t>第五章 考核结果及奖惩</w:t>
      </w:r>
      <w:bookmarkEnd w:id="26"/>
      <w:bookmarkEnd w:id="27"/>
      <w:bookmarkEnd w:id="28"/>
      <w:bookmarkEnd w:id="29"/>
      <w:bookmarkEnd w:id="30"/>
      <w:bookmarkEnd w:id="31"/>
    </w:p>
    <w:p>
      <w:pPr>
        <w:widowControl/>
        <w:spacing w:before="156" w:beforeLines="50" w:after="156" w:afterLines="50" w:line="560" w:lineRule="exact"/>
        <w:rPr>
          <w:rFonts w:ascii="黑体" w:hAnsi="黑体" w:eastAsia="黑体" w:cs="黑体"/>
          <w:b/>
          <w:bCs/>
          <w:color w:val="auto"/>
          <w:kern w:val="0"/>
          <w:sz w:val="32"/>
          <w:szCs w:val="32"/>
          <w:highlight w:val="none"/>
        </w:rPr>
      </w:pP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第十三条</w:t>
      </w:r>
      <w:r>
        <w:rPr>
          <w:rFonts w:hint="eastAsia" w:ascii="方正楷体_GBK" w:hAnsi="宋体" w:eastAsia="方正楷体_GBK"/>
          <w:color w:val="auto"/>
          <w:sz w:val="32"/>
          <w:szCs w:val="32"/>
          <w:highlight w:val="none"/>
        </w:rPr>
        <w:t xml:space="preserve"> </w:t>
      </w:r>
      <w:r>
        <w:rPr>
          <w:rFonts w:hint="eastAsia" w:ascii="方正仿宋_GBK" w:hAnsi="仿宋" w:eastAsia="方正仿宋_GBK"/>
          <w:color w:val="auto"/>
          <w:sz w:val="32"/>
          <w:szCs w:val="32"/>
          <w:highlight w:val="none"/>
        </w:rPr>
        <w:t xml:space="preserve"> </w:t>
      </w:r>
      <w:r>
        <w:rPr>
          <w:rFonts w:hint="eastAsia" w:ascii="方正仿宋_GBK" w:hAnsi="宋体" w:eastAsia="方正仿宋_GBK"/>
          <w:color w:val="auto"/>
          <w:sz w:val="32"/>
          <w:szCs w:val="32"/>
          <w:highlight w:val="none"/>
        </w:rPr>
        <w:t>对于</w:t>
      </w:r>
      <w:r>
        <w:rPr>
          <w:rFonts w:hint="eastAsia" w:ascii="方正仿宋_GBK" w:hAnsi="仿宋" w:eastAsia="方正仿宋_GBK"/>
          <w:color w:val="auto"/>
          <w:sz w:val="32"/>
          <w:szCs w:val="32"/>
          <w:highlight w:val="none"/>
        </w:rPr>
        <w:t>因玩忽职守、失职渎职、严重不负责任造成严重后果的</w:t>
      </w:r>
      <w:r>
        <w:rPr>
          <w:rFonts w:hint="eastAsia" w:ascii="方正仿宋_GBK" w:hAnsi="宋体" w:eastAsia="方正仿宋_GBK"/>
          <w:color w:val="auto"/>
          <w:sz w:val="32"/>
          <w:szCs w:val="32"/>
          <w:highlight w:val="none"/>
        </w:rPr>
        <w:t>辅导员（班主任），二级学院及学校相关部门可以提出“一票否决”建议，“一票否决”不受比例限制，但应从严把握。被“一票否决”的辅导员（班主任）当月考核分数及排名保留，评定等级确定为“一票否决”。</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第十四条</w:t>
      </w:r>
      <w:r>
        <w:rPr>
          <w:rFonts w:hint="eastAsia" w:ascii="方正仿宋_GBK" w:hAnsi="宋体" w:eastAsia="方正仿宋_GBK"/>
          <w:b/>
          <w:color w:val="auto"/>
          <w:sz w:val="32"/>
          <w:szCs w:val="32"/>
          <w:highlight w:val="none"/>
        </w:rPr>
        <w:t xml:space="preserve">  </w:t>
      </w:r>
      <w:r>
        <w:rPr>
          <w:rFonts w:hint="eastAsia" w:ascii="方正仿宋_GBK" w:hAnsi="宋体" w:eastAsia="方正仿宋_GBK"/>
          <w:color w:val="auto"/>
          <w:sz w:val="32"/>
          <w:szCs w:val="32"/>
          <w:highlight w:val="none"/>
        </w:rPr>
        <w:t>当月考</w:t>
      </w:r>
      <w:r>
        <w:rPr>
          <w:rFonts w:hint="eastAsia" w:ascii="方正仿宋_GBK" w:hAnsi="仿宋" w:eastAsia="方正仿宋_GBK"/>
          <w:color w:val="auto"/>
          <w:sz w:val="32"/>
          <w:szCs w:val="32"/>
          <w:highlight w:val="none"/>
        </w:rPr>
        <w:t>核等级为“不合格”或者被“一票否决”的辅导员（班主任），由二级学院学生工作负责人对其进行诫勉谈话，并要求其以书面形式做整改。</w:t>
      </w:r>
    </w:p>
    <w:p>
      <w:pPr>
        <w:spacing w:line="560" w:lineRule="exact"/>
        <w:ind w:firstLine="643" w:firstLineChars="200"/>
        <w:rPr>
          <w:rFonts w:hint="eastAsia" w:ascii="方正仿宋_GBK" w:hAnsi="仿宋" w:eastAsia="方正仿宋_GBK"/>
          <w:color w:val="auto"/>
          <w:sz w:val="32"/>
          <w:szCs w:val="32"/>
          <w:highlight w:val="none"/>
        </w:rPr>
      </w:pPr>
      <w:r>
        <w:rPr>
          <w:rFonts w:hint="eastAsia" w:ascii="方正楷体_GBK" w:hAnsi="宋体" w:eastAsia="方正楷体_GBK"/>
          <w:b/>
          <w:bCs/>
          <w:color w:val="auto"/>
          <w:sz w:val="32"/>
          <w:szCs w:val="32"/>
          <w:highlight w:val="none"/>
        </w:rPr>
        <w:t>第十五条</w:t>
      </w:r>
      <w:r>
        <w:rPr>
          <w:rFonts w:hint="eastAsia" w:ascii="方正仿宋_GBK" w:hAnsi="宋体" w:eastAsia="方正仿宋_GBK"/>
          <w:b/>
          <w:color w:val="auto"/>
          <w:sz w:val="32"/>
          <w:szCs w:val="32"/>
          <w:highlight w:val="none"/>
        </w:rPr>
        <w:t xml:space="preserve">  </w:t>
      </w:r>
      <w:r>
        <w:rPr>
          <w:rFonts w:hint="eastAsia" w:ascii="方正仿宋_GBK" w:hAnsi="仿宋" w:eastAsia="方正仿宋_GBK"/>
          <w:color w:val="auto"/>
          <w:sz w:val="32"/>
          <w:szCs w:val="32"/>
          <w:highlight w:val="none"/>
        </w:rPr>
        <w:t>连续三次月度考核不合格或“一票否决”的，或年度累计四次月度考核不合格者或“一票否决”的，予以辞退；年度连续两次月度考核不合格者或“一票否决”的，当年不得参与年终评优。</w:t>
      </w:r>
    </w:p>
    <w:p>
      <w:pPr>
        <w:spacing w:line="560" w:lineRule="exact"/>
        <w:ind w:firstLine="640" w:firstLineChars="200"/>
        <w:rPr>
          <w:rFonts w:hint="eastAsia" w:ascii="方正仿宋_GBK" w:hAnsi="仿宋" w:eastAsia="方正仿宋_GBK"/>
          <w:color w:val="auto"/>
          <w:sz w:val="32"/>
          <w:szCs w:val="32"/>
          <w:highlight w:val="none"/>
        </w:rPr>
      </w:pPr>
    </w:p>
    <w:p>
      <w:pPr>
        <w:widowControl/>
        <w:numPr>
          <w:ilvl w:val="0"/>
          <w:numId w:val="3"/>
        </w:numPr>
        <w:spacing w:before="156" w:beforeLines="50" w:after="156" w:afterLines="50" w:line="560" w:lineRule="exact"/>
        <w:jc w:val="center"/>
        <w:outlineLvl w:val="0"/>
        <w:rPr>
          <w:rFonts w:hint="eastAsia" w:ascii="方正黑体_GBK" w:hAnsi="方正黑体_GBK" w:eastAsia="方正黑体_GBK" w:cs="方正黑体_GBK"/>
          <w:b/>
          <w:bCs/>
          <w:color w:val="auto"/>
          <w:kern w:val="0"/>
          <w:sz w:val="32"/>
          <w:szCs w:val="32"/>
          <w:highlight w:val="none"/>
        </w:rPr>
      </w:pPr>
      <w:bookmarkStart w:id="32" w:name="_Toc6688"/>
      <w:bookmarkStart w:id="33" w:name="_Toc26850"/>
      <w:bookmarkStart w:id="34" w:name="_Toc8700"/>
      <w:bookmarkStart w:id="35" w:name="_Toc29433"/>
      <w:bookmarkStart w:id="36" w:name="_Toc3879"/>
      <w:bookmarkStart w:id="37" w:name="_Toc9924"/>
      <w:r>
        <w:rPr>
          <w:rFonts w:hint="eastAsia" w:ascii="方正黑体_GBK" w:hAnsi="方正黑体_GBK" w:eastAsia="方正黑体_GBK" w:cs="方正黑体_GBK"/>
          <w:b/>
          <w:bCs/>
          <w:color w:val="auto"/>
          <w:kern w:val="0"/>
          <w:sz w:val="32"/>
          <w:szCs w:val="32"/>
          <w:highlight w:val="none"/>
        </w:rPr>
        <w:t>申诉及处理</w:t>
      </w:r>
      <w:bookmarkEnd w:id="32"/>
      <w:bookmarkEnd w:id="33"/>
      <w:bookmarkEnd w:id="34"/>
      <w:bookmarkEnd w:id="35"/>
      <w:bookmarkEnd w:id="36"/>
      <w:bookmarkEnd w:id="37"/>
    </w:p>
    <w:p>
      <w:pPr>
        <w:widowControl/>
        <w:spacing w:before="156" w:beforeLines="50" w:after="156" w:afterLines="50" w:line="560" w:lineRule="exact"/>
        <w:ind w:firstLine="643" w:firstLineChars="200"/>
        <w:rPr>
          <w:rFonts w:hint="eastAsia" w:ascii="方正楷体_GBK" w:hAnsi="宋体" w:eastAsia="方正楷体_GBK"/>
          <w:b/>
          <w:bCs/>
          <w:color w:val="auto"/>
          <w:sz w:val="32"/>
          <w:szCs w:val="32"/>
          <w:highlight w:val="none"/>
        </w:rPr>
      </w:pPr>
    </w:p>
    <w:p>
      <w:pPr>
        <w:widowControl/>
        <w:spacing w:before="156" w:beforeLines="50" w:after="156" w:afterLines="50"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bCs/>
          <w:color w:val="auto"/>
          <w:sz w:val="32"/>
          <w:szCs w:val="32"/>
          <w:highlight w:val="none"/>
        </w:rPr>
        <w:t>第十六条</w:t>
      </w:r>
      <w:r>
        <w:rPr>
          <w:rFonts w:hint="eastAsia" w:ascii="方正仿宋_GBK" w:hAnsi="仿宋" w:eastAsia="方正仿宋_GBK"/>
          <w:b/>
          <w:color w:val="auto"/>
          <w:sz w:val="32"/>
          <w:szCs w:val="32"/>
          <w:highlight w:val="none"/>
        </w:rPr>
        <w:t xml:space="preserve">  </w:t>
      </w:r>
      <w:r>
        <w:rPr>
          <w:rFonts w:hint="eastAsia" w:ascii="方正仿宋_GBK" w:hAnsi="仿宋" w:eastAsia="方正仿宋_GBK"/>
          <w:color w:val="auto"/>
          <w:sz w:val="32"/>
          <w:szCs w:val="32"/>
          <w:highlight w:val="none"/>
        </w:rPr>
        <w:t>辅导员（班主任）对考核等级有异议的，可以在二级学院公示期间向学生工作处提出书面申诉，申诉以1次为限。公示期间未提出申诉的视为放弃申诉，学校不再受理其提出的申诉。</w:t>
      </w:r>
    </w:p>
    <w:p>
      <w:pPr>
        <w:widowControl/>
        <w:spacing w:before="156" w:beforeLines="50" w:after="156" w:afterLines="50"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bCs/>
          <w:color w:val="auto"/>
          <w:sz w:val="32"/>
          <w:szCs w:val="32"/>
          <w:highlight w:val="none"/>
        </w:rPr>
        <w:t>第十七条</w:t>
      </w:r>
      <w:r>
        <w:rPr>
          <w:rFonts w:hint="eastAsia" w:ascii="方正仿宋_GBK" w:hAnsi="仿宋" w:eastAsia="方正仿宋_GBK"/>
          <w:b/>
          <w:color w:val="auto"/>
          <w:sz w:val="32"/>
          <w:szCs w:val="32"/>
          <w:highlight w:val="none"/>
        </w:rPr>
        <w:t xml:space="preserve">  </w:t>
      </w:r>
      <w:r>
        <w:rPr>
          <w:rFonts w:hint="eastAsia" w:ascii="方正仿宋_GBK" w:hAnsi="宋体" w:eastAsia="方正仿宋_GBK"/>
          <w:color w:val="auto"/>
          <w:sz w:val="32"/>
          <w:szCs w:val="32"/>
          <w:highlight w:val="none"/>
        </w:rPr>
        <w:t>辅导员（班主任）月考核专项工作领导小组</w:t>
      </w:r>
      <w:r>
        <w:rPr>
          <w:rFonts w:hint="eastAsia" w:ascii="方正仿宋_GBK" w:hAnsi="仿宋" w:eastAsia="方正仿宋_GBK"/>
          <w:color w:val="auto"/>
          <w:sz w:val="32"/>
          <w:szCs w:val="32"/>
          <w:highlight w:val="none"/>
        </w:rPr>
        <w:t>在处理因二级学院对辅导员（班主任）考核等级有异议提起的申诉时，应当</w:t>
      </w:r>
      <w:r>
        <w:rPr>
          <w:rFonts w:hint="eastAsia" w:ascii="方正仿宋_GBK" w:hAnsi="仿宋" w:eastAsia="方正仿宋_GBK"/>
          <w:color w:val="auto"/>
          <w:sz w:val="32"/>
          <w:szCs w:val="32"/>
          <w:highlight w:val="none"/>
          <w:lang w:val="en-US" w:eastAsia="zh-CN"/>
        </w:rPr>
        <w:t>指定专人</w:t>
      </w:r>
      <w:r>
        <w:rPr>
          <w:rFonts w:hint="eastAsia" w:ascii="方正仿宋_GBK" w:hAnsi="仿宋" w:eastAsia="方正仿宋_GBK"/>
          <w:color w:val="auto"/>
          <w:sz w:val="32"/>
          <w:szCs w:val="32"/>
          <w:highlight w:val="none"/>
        </w:rPr>
        <w:t>听取辅导员（班主任）和二级学院的意见，根据需要进行必要的调查，调查反馈意见应在</w:t>
      </w:r>
      <w:r>
        <w:rPr>
          <w:rFonts w:hint="eastAsia" w:ascii="方正仿宋_GBK" w:hAnsi="仿宋" w:eastAsia="方正仿宋_GBK"/>
          <w:color w:val="auto"/>
          <w:sz w:val="32"/>
          <w:szCs w:val="32"/>
          <w:highlight w:val="none"/>
          <w:lang w:val="en-US" w:eastAsia="zh-CN"/>
        </w:rPr>
        <w:t>薪酬发放</w:t>
      </w:r>
      <w:r>
        <w:rPr>
          <w:rFonts w:hint="eastAsia" w:ascii="方正仿宋_GBK" w:hAnsi="仿宋" w:eastAsia="方正仿宋_GBK"/>
          <w:color w:val="auto"/>
          <w:sz w:val="32"/>
          <w:szCs w:val="32"/>
          <w:highlight w:val="none"/>
        </w:rPr>
        <w:t>前做出并周知相关人员。</w:t>
      </w:r>
    </w:p>
    <w:p>
      <w:pPr>
        <w:widowControl/>
        <w:spacing w:before="156" w:beforeLines="50" w:after="156" w:afterLines="50" w:line="560" w:lineRule="exact"/>
        <w:jc w:val="both"/>
        <w:rPr>
          <w:rFonts w:ascii="黑体" w:hAnsi="黑体" w:eastAsia="黑体" w:cs="黑体"/>
          <w:b/>
          <w:bCs/>
          <w:color w:val="auto"/>
          <w:kern w:val="0"/>
          <w:sz w:val="32"/>
          <w:szCs w:val="32"/>
          <w:highlight w:val="none"/>
        </w:rPr>
      </w:pPr>
    </w:p>
    <w:p>
      <w:pPr>
        <w:widowControl/>
        <w:spacing w:before="156" w:beforeLines="50" w:after="156" w:afterLines="50" w:line="560" w:lineRule="exact"/>
        <w:jc w:val="center"/>
        <w:outlineLvl w:val="0"/>
        <w:rPr>
          <w:rFonts w:ascii="方正黑体_GBK" w:hAnsi="方正黑体_GBK" w:eastAsia="方正黑体_GBK" w:cs="方正黑体_GBK"/>
          <w:b/>
          <w:bCs/>
          <w:color w:val="auto"/>
          <w:kern w:val="0"/>
          <w:sz w:val="32"/>
          <w:szCs w:val="32"/>
          <w:highlight w:val="none"/>
        </w:rPr>
      </w:pPr>
      <w:bookmarkStart w:id="38" w:name="_Toc14079"/>
      <w:bookmarkStart w:id="39" w:name="_Toc20313"/>
      <w:bookmarkStart w:id="40" w:name="_Toc31970"/>
      <w:bookmarkStart w:id="41" w:name="_Toc22304"/>
      <w:bookmarkStart w:id="42" w:name="_Toc13416"/>
      <w:bookmarkStart w:id="43" w:name="_Toc2830"/>
      <w:r>
        <w:rPr>
          <w:rFonts w:hint="eastAsia" w:ascii="方正黑体_GBK" w:hAnsi="方正黑体_GBK" w:eastAsia="方正黑体_GBK" w:cs="方正黑体_GBK"/>
          <w:b/>
          <w:bCs/>
          <w:color w:val="auto"/>
          <w:kern w:val="0"/>
          <w:sz w:val="32"/>
          <w:szCs w:val="32"/>
          <w:highlight w:val="none"/>
        </w:rPr>
        <w:t>第七章 附  则</w:t>
      </w:r>
      <w:bookmarkEnd w:id="38"/>
      <w:bookmarkEnd w:id="39"/>
      <w:bookmarkEnd w:id="40"/>
      <w:bookmarkEnd w:id="41"/>
      <w:bookmarkEnd w:id="42"/>
      <w:bookmarkEnd w:id="43"/>
    </w:p>
    <w:p>
      <w:pPr>
        <w:widowControl/>
        <w:spacing w:before="156" w:beforeLines="50" w:after="156" w:afterLines="50" w:line="560" w:lineRule="exact"/>
        <w:rPr>
          <w:rFonts w:ascii="黑体" w:hAnsi="黑体" w:eastAsia="黑体" w:cs="黑体"/>
          <w:b/>
          <w:bCs/>
          <w:color w:val="auto"/>
          <w:kern w:val="0"/>
          <w:sz w:val="32"/>
          <w:szCs w:val="32"/>
          <w:highlight w:val="none"/>
        </w:rPr>
      </w:pP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第十八条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本办法由学生工作处负责解释。</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bCs/>
          <w:color w:val="auto"/>
          <w:sz w:val="32"/>
          <w:szCs w:val="32"/>
          <w:highlight w:val="none"/>
        </w:rPr>
        <w:t>第十九条</w:t>
      </w:r>
      <w:r>
        <w:rPr>
          <w:rFonts w:hint="eastAsia" w:ascii="方正楷体_GBK" w:hAnsi="宋体" w:eastAsia="方正楷体_GBK"/>
          <w:color w:val="auto"/>
          <w:sz w:val="32"/>
          <w:szCs w:val="32"/>
          <w:highlight w:val="none"/>
        </w:rPr>
        <w:t xml:space="preserve">  </w:t>
      </w:r>
      <w:r>
        <w:rPr>
          <w:rFonts w:hint="eastAsia" w:ascii="方正仿宋_GBK" w:hAnsi="宋体" w:eastAsia="方正仿宋_GBK"/>
          <w:color w:val="auto"/>
          <w:sz w:val="32"/>
          <w:szCs w:val="32"/>
          <w:highlight w:val="none"/>
        </w:rPr>
        <w:t>本办法自202</w:t>
      </w:r>
      <w:r>
        <w:rPr>
          <w:rFonts w:hint="eastAsia" w:ascii="方正仿宋_GBK" w:hAnsi="宋体" w:eastAsia="方正仿宋_GBK"/>
          <w:color w:val="auto"/>
          <w:sz w:val="32"/>
          <w:szCs w:val="32"/>
          <w:highlight w:val="none"/>
          <w:lang w:val="en-US" w:eastAsia="zh-CN"/>
        </w:rPr>
        <w:t>2</w:t>
      </w:r>
      <w:r>
        <w:rPr>
          <w:rFonts w:hint="eastAsia" w:ascii="方正仿宋_GBK" w:hAnsi="宋体" w:eastAsia="方正仿宋_GBK"/>
          <w:color w:val="auto"/>
          <w:sz w:val="32"/>
          <w:szCs w:val="32"/>
          <w:highlight w:val="none"/>
        </w:rPr>
        <w:t>年9月1日起施行。</w:t>
      </w:r>
    </w:p>
    <w:p>
      <w:pPr>
        <w:spacing w:line="560" w:lineRule="exact"/>
        <w:rPr>
          <w:rFonts w:ascii="方正仿宋_GBK" w:eastAsia="方正仿宋_GBK"/>
          <w:color w:val="auto"/>
          <w:sz w:val="32"/>
          <w:szCs w:val="32"/>
          <w:highlight w:val="none"/>
        </w:rPr>
      </w:pPr>
    </w:p>
    <w:p>
      <w:pPr>
        <w:pStyle w:val="2"/>
        <w:spacing w:before="156" w:line="560" w:lineRule="exact"/>
        <w:ind w:firstLine="0" w:firstLineChars="0"/>
        <w:rPr>
          <w:rFonts w:ascii="方正小标宋_GBK" w:hAnsi="方正小标宋_GBK" w:eastAsia="方正小标宋_GBK" w:cs="方正小标宋_GBK"/>
          <w:color w:val="auto"/>
          <w:highlight w:val="none"/>
        </w:rPr>
      </w:pPr>
      <w:bookmarkStart w:id="44" w:name="_Toc26357"/>
      <w:r>
        <w:rPr>
          <w:rFonts w:hint="eastAsia" w:ascii="方正小标宋_GBK" w:hAnsi="方正小标宋_GBK" w:eastAsia="方正小标宋_GBK" w:cs="方正小标宋_GBK"/>
          <w:color w:val="auto"/>
          <w:highlight w:val="none"/>
        </w:rPr>
        <w:t>云南城市建设职业学院二级学院学生工作负责人考核实施办法（试行）</w:t>
      </w:r>
      <w:bookmarkEnd w:id="44"/>
    </w:p>
    <w:p>
      <w:pPr>
        <w:spacing w:line="560" w:lineRule="exact"/>
        <w:jc w:val="center"/>
        <w:rPr>
          <w:rFonts w:ascii="仿宋" w:hAnsi="仿宋" w:eastAsia="仿宋" w:cs="仿宋"/>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45" w:name="_Toc15398607"/>
      <w:bookmarkStart w:id="46" w:name="_Toc15874"/>
      <w:r>
        <w:rPr>
          <w:rFonts w:hint="eastAsia" w:ascii="方正黑体_GBK" w:hAnsi="方正黑体_GBK" w:eastAsia="方正黑体_GBK" w:cs="方正黑体_GBK"/>
          <w:b/>
          <w:bCs w:val="0"/>
          <w:color w:val="auto"/>
          <w:highlight w:val="none"/>
        </w:rPr>
        <w:t>第一章  总则</w:t>
      </w:r>
      <w:bookmarkEnd w:id="45"/>
      <w:bookmarkEnd w:id="46"/>
    </w:p>
    <w:p>
      <w:pPr>
        <w:spacing w:line="560" w:lineRule="exact"/>
        <w:rPr>
          <w:rFonts w:ascii="仿宋" w:hAnsi="仿宋" w:eastAsia="仿宋" w:cs="仿宋"/>
          <w:b/>
          <w:bCs/>
          <w:color w:val="auto"/>
          <w:sz w:val="32"/>
          <w:szCs w:val="32"/>
          <w:highlight w:val="none"/>
        </w:rPr>
      </w:pP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仿宋" w:eastAsia="方正楷体_GBK" w:cs="仿宋"/>
          <w:b/>
          <w:bCs/>
          <w:color w:val="auto"/>
          <w:sz w:val="32"/>
          <w:szCs w:val="32"/>
          <w:highlight w:val="none"/>
        </w:rPr>
        <w:t>第一条</w:t>
      </w:r>
      <w:r>
        <w:rPr>
          <w:rFonts w:hint="eastAsia" w:ascii="仿宋" w:hAnsi="仿宋" w:eastAsia="仿宋" w:cs="仿宋"/>
          <w:b/>
          <w:color w:val="auto"/>
          <w:sz w:val="32"/>
          <w:szCs w:val="32"/>
          <w:highlight w:val="none"/>
        </w:rPr>
        <w:t xml:space="preserve">  </w:t>
      </w:r>
      <w:r>
        <w:rPr>
          <w:rFonts w:hint="eastAsia" w:ascii="方正仿宋_GBK" w:hAnsi="仿宋" w:eastAsia="方正仿宋_GBK" w:cs="仿宋"/>
          <w:color w:val="auto"/>
          <w:sz w:val="32"/>
          <w:szCs w:val="32"/>
          <w:highlight w:val="none"/>
        </w:rPr>
        <w:t>为切实加强学生工作队伍建设和管理，全面准确地评价二级学院学生工作，发挥激励机制在学校学生工作中的作用，激发二级学院学生工作的主动性和积极性，激励和促进二级学院学生工作负责人不断提高综合素质和业务水平，认真履行岗位职责，创造性地开展工作，推进我校学生管理工作向规范化、科学化方向发展，结合学校实际，制定本办法。</w:t>
      </w:r>
    </w:p>
    <w:p>
      <w:pPr>
        <w:autoSpaceDE w:val="0"/>
        <w:autoSpaceDN w:val="0"/>
        <w:adjustRightInd w:val="0"/>
        <w:spacing w:line="560" w:lineRule="exact"/>
        <w:ind w:firstLine="643" w:firstLineChars="200"/>
        <w:rPr>
          <w:rFonts w:ascii="方正仿宋_GBK" w:hAnsi="宋体" w:eastAsia="方正仿宋_GBK"/>
          <w:color w:val="auto"/>
          <w:sz w:val="32"/>
          <w:szCs w:val="32"/>
          <w:highlight w:val="none"/>
        </w:rPr>
      </w:pPr>
      <w:r>
        <w:rPr>
          <w:rFonts w:hint="eastAsia" w:ascii="方正楷体_GBK" w:hAnsi="仿宋" w:eastAsia="方正楷体_GBK" w:cs="仿宋"/>
          <w:b/>
          <w:bCs/>
          <w:color w:val="auto"/>
          <w:sz w:val="32"/>
          <w:szCs w:val="32"/>
          <w:highlight w:val="none"/>
        </w:rPr>
        <w:t>第二条</w:t>
      </w:r>
      <w:r>
        <w:rPr>
          <w:rFonts w:hint="eastAsia" w:ascii="仿宋" w:hAnsi="仿宋" w:eastAsia="仿宋" w:cs="仿宋"/>
          <w:color w:val="auto"/>
          <w:sz w:val="32"/>
          <w:szCs w:val="32"/>
          <w:highlight w:val="none"/>
        </w:rPr>
        <w:t xml:space="preserve">  </w:t>
      </w:r>
      <w:r>
        <w:rPr>
          <w:rFonts w:hint="eastAsia" w:ascii="方正仿宋_GBK" w:hAnsi="宋体" w:eastAsia="方正仿宋_GBK" w:cs="宋体"/>
          <w:bCs/>
          <w:color w:val="auto"/>
          <w:kern w:val="0"/>
          <w:sz w:val="32"/>
          <w:szCs w:val="32"/>
          <w:highlight w:val="none"/>
        </w:rPr>
        <w:t>二级学院学生工作负责人考核主要以学校规定的工作职责和工作实绩等为主要内容。主要包括自身思想政治素质和政策理论水平，以及从事学生思想政治教育工作的实绩和能力，重点是考核其履行岗位职责以及在重大任务中的表现。</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仿宋" w:eastAsia="方正楷体_GBK" w:cs="仿宋"/>
          <w:b/>
          <w:bCs/>
          <w:color w:val="auto"/>
          <w:sz w:val="32"/>
          <w:szCs w:val="32"/>
          <w:highlight w:val="none"/>
        </w:rPr>
        <w:t>第三条</w:t>
      </w:r>
      <w:r>
        <w:rPr>
          <w:rFonts w:hint="eastAsia" w:ascii="方正楷体_GBK" w:hAnsi="仿宋" w:eastAsia="方正楷体_GBK" w:cs="仿宋"/>
          <w:b/>
          <w:bCs/>
          <w:color w:val="auto"/>
          <w:sz w:val="32"/>
          <w:szCs w:val="32"/>
          <w:highlight w:val="none"/>
          <w:lang w:val="en-US" w:eastAsia="zh-CN"/>
        </w:rPr>
        <w:t xml:space="preserve">  </w:t>
      </w:r>
      <w:r>
        <w:rPr>
          <w:rFonts w:hint="eastAsia" w:ascii="方正仿宋_GBK" w:hAnsi="仿宋" w:eastAsia="方正仿宋_GBK" w:cs="仿宋"/>
          <w:color w:val="auto"/>
          <w:sz w:val="32"/>
          <w:szCs w:val="32"/>
          <w:highlight w:val="none"/>
        </w:rPr>
        <w:t>本办法所称的二级学院学生工作负责人是指二级学院分管学生工作的书记/副院长，主持二级学院学生工作的主管。</w:t>
      </w:r>
    </w:p>
    <w:p>
      <w:pPr>
        <w:spacing w:line="560" w:lineRule="exact"/>
        <w:ind w:firstLine="640" w:firstLineChars="200"/>
        <w:rPr>
          <w:rFonts w:ascii="仿宋" w:hAnsi="仿宋" w:eastAsia="仿宋" w:cs="仿宋"/>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47" w:name="_Toc15398608"/>
      <w:bookmarkStart w:id="48" w:name="_Toc20811"/>
      <w:r>
        <w:rPr>
          <w:rFonts w:hint="eastAsia" w:ascii="方正黑体_GBK" w:hAnsi="方正黑体_GBK" w:eastAsia="方正黑体_GBK" w:cs="方正黑体_GBK"/>
          <w:b/>
          <w:bCs w:val="0"/>
          <w:color w:val="auto"/>
          <w:highlight w:val="none"/>
        </w:rPr>
        <w:t>第二章  考核原则</w:t>
      </w:r>
      <w:bookmarkEnd w:id="47"/>
      <w:bookmarkEnd w:id="48"/>
    </w:p>
    <w:p>
      <w:pPr>
        <w:spacing w:line="560" w:lineRule="exact"/>
        <w:ind w:left="1215"/>
        <w:rPr>
          <w:rFonts w:ascii="仿宋" w:hAnsi="仿宋" w:eastAsia="仿宋" w:cs="仿宋"/>
          <w:b/>
          <w:bCs/>
          <w:color w:val="auto"/>
          <w:sz w:val="32"/>
          <w:szCs w:val="32"/>
          <w:highlight w:val="none"/>
        </w:rPr>
      </w:pP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color w:val="auto"/>
          <w:sz w:val="32"/>
          <w:szCs w:val="32"/>
          <w:highlight w:val="none"/>
        </w:rPr>
        <w:t>第四条</w:t>
      </w:r>
      <w:r>
        <w:rPr>
          <w:rFonts w:hint="eastAsia" w:ascii="方正楷体_GBK" w:hAnsi="宋体" w:eastAsia="方正楷体_GBK"/>
          <w:b/>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常规工作和创新工作相结合的原则。既注重常规性的日常工作，也注重开拓性的创新工作。</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color w:val="auto"/>
          <w:sz w:val="32"/>
          <w:szCs w:val="32"/>
          <w:highlight w:val="none"/>
        </w:rPr>
        <w:t>第五条</w:t>
      </w:r>
      <w:r>
        <w:rPr>
          <w:rFonts w:hint="eastAsia" w:ascii="方正仿宋_GBK" w:hAnsi="宋体" w:eastAsia="方正仿宋_GBK"/>
          <w:b/>
          <w:color w:val="auto"/>
          <w:sz w:val="32"/>
          <w:szCs w:val="32"/>
          <w:highlight w:val="none"/>
        </w:rPr>
        <w:t xml:space="preserve"> </w:t>
      </w:r>
      <w:r>
        <w:rPr>
          <w:rFonts w:hint="eastAsia" w:ascii="方正仿宋_GBK" w:hAnsi="宋体" w:eastAsia="方正仿宋_GBK"/>
          <w:color w:val="auto"/>
          <w:sz w:val="32"/>
          <w:szCs w:val="32"/>
          <w:highlight w:val="none"/>
        </w:rPr>
        <w:t xml:space="preserve"> 过程与结果相结合的原则。既考察工作过程中的努力程度，也考察工作中实际取得的阶段性结果及最终效果。</w:t>
      </w:r>
    </w:p>
    <w:p>
      <w:pPr>
        <w:spacing w:line="560" w:lineRule="exact"/>
        <w:ind w:firstLine="643" w:firstLineChars="200"/>
        <w:rPr>
          <w:rFonts w:ascii="方正仿宋_GBK" w:hAnsi="宋体" w:eastAsia="方正仿宋_GBK"/>
          <w:color w:val="auto"/>
          <w:kern w:val="0"/>
          <w:sz w:val="32"/>
          <w:szCs w:val="32"/>
          <w:highlight w:val="none"/>
        </w:rPr>
      </w:pPr>
      <w:r>
        <w:rPr>
          <w:rFonts w:hint="eastAsia" w:ascii="方正楷体_GBK" w:hAnsi="宋体" w:eastAsia="方正楷体_GBK"/>
          <w:b/>
          <w:color w:val="auto"/>
          <w:sz w:val="32"/>
          <w:szCs w:val="32"/>
          <w:highlight w:val="none"/>
        </w:rPr>
        <w:t>第六条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kern w:val="0"/>
          <w:sz w:val="32"/>
          <w:szCs w:val="32"/>
          <w:highlight w:val="none"/>
        </w:rPr>
        <w:t>坚持定量考核和定性考核相结合、自我评价与组织考核相结合的原则。学校</w:t>
      </w:r>
      <w:r>
        <w:rPr>
          <w:rFonts w:hint="eastAsia" w:ascii="方正仿宋_GBK" w:hAnsi="宋体" w:eastAsia="方正仿宋_GBK"/>
          <w:color w:val="auto"/>
          <w:sz w:val="32"/>
          <w:szCs w:val="32"/>
          <w:highlight w:val="none"/>
        </w:rPr>
        <w:t>维护考核结果的严肃性，</w:t>
      </w:r>
      <w:r>
        <w:rPr>
          <w:rFonts w:hint="eastAsia" w:ascii="方正仿宋_GBK" w:hAnsi="宋体" w:eastAsia="方正仿宋_GBK"/>
          <w:color w:val="auto"/>
          <w:kern w:val="0"/>
          <w:sz w:val="32"/>
          <w:szCs w:val="32"/>
          <w:highlight w:val="none"/>
        </w:rPr>
        <w:t>考核工作应当公开、公正、公平。</w:t>
      </w:r>
    </w:p>
    <w:p>
      <w:pPr>
        <w:spacing w:line="560" w:lineRule="exact"/>
        <w:rPr>
          <w:rFonts w:ascii="仿宋" w:hAnsi="仿宋" w:eastAsia="仿宋" w:cs="仿宋"/>
          <w:b/>
          <w:bCs/>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49" w:name="_Toc24691"/>
      <w:bookmarkStart w:id="50" w:name="_Toc15398609"/>
      <w:r>
        <w:rPr>
          <w:rFonts w:hint="eastAsia" w:ascii="方正黑体_GBK" w:hAnsi="方正黑体_GBK" w:eastAsia="方正黑体_GBK" w:cs="方正黑体_GBK"/>
          <w:b/>
          <w:bCs w:val="0"/>
          <w:color w:val="auto"/>
          <w:highlight w:val="none"/>
        </w:rPr>
        <w:t>第三章  考核程序</w:t>
      </w:r>
      <w:bookmarkEnd w:id="49"/>
      <w:bookmarkEnd w:id="50"/>
    </w:p>
    <w:p>
      <w:pPr>
        <w:spacing w:line="560" w:lineRule="exact"/>
        <w:ind w:firstLine="643" w:firstLineChars="200"/>
        <w:jc w:val="center"/>
        <w:rPr>
          <w:rFonts w:ascii="仿宋" w:hAnsi="仿宋" w:eastAsia="仿宋" w:cs="仿宋"/>
          <w:b/>
          <w:bCs/>
          <w:color w:val="auto"/>
          <w:sz w:val="32"/>
          <w:szCs w:val="32"/>
          <w:highlight w:val="none"/>
        </w:rPr>
      </w:pP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仿宋" w:eastAsia="方正楷体_GBK" w:cs="仿宋"/>
          <w:b/>
          <w:bCs/>
          <w:color w:val="auto"/>
          <w:sz w:val="32"/>
          <w:szCs w:val="32"/>
          <w:highlight w:val="none"/>
        </w:rPr>
        <w:t>第七条</w:t>
      </w:r>
      <w:r>
        <w:rPr>
          <w:rFonts w:hint="eastAsia" w:ascii="方正仿宋_GBK" w:hAnsi="宋体" w:eastAsia="方正仿宋_GBK"/>
          <w:b/>
          <w:color w:val="auto"/>
          <w:sz w:val="32"/>
          <w:szCs w:val="32"/>
          <w:highlight w:val="none"/>
        </w:rPr>
        <w:t xml:space="preserve">  </w:t>
      </w:r>
      <w:r>
        <w:rPr>
          <w:rFonts w:hint="eastAsia" w:ascii="方正仿宋_GBK" w:hAnsi="仿宋" w:eastAsia="方正仿宋_GBK" w:cs="仿宋"/>
          <w:color w:val="auto"/>
          <w:sz w:val="32"/>
          <w:szCs w:val="32"/>
          <w:highlight w:val="none"/>
        </w:rPr>
        <w:t>在学校的统一领导下，学生工作处会同学校人事部门根据本办法及学校相关要求，对二级学院学生工作负责人进行量化考核。</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仿宋" w:eastAsia="方正楷体_GBK" w:cs="仿宋"/>
          <w:b/>
          <w:bCs/>
          <w:color w:val="auto"/>
          <w:sz w:val="32"/>
          <w:szCs w:val="32"/>
          <w:highlight w:val="none"/>
        </w:rPr>
        <w:t>第八条</w:t>
      </w:r>
      <w:r>
        <w:rPr>
          <w:rFonts w:hint="eastAsia" w:ascii="方正楷体_GBK" w:hAnsi="宋体" w:eastAsia="方正楷体_GBK"/>
          <w:b/>
          <w:color w:val="auto"/>
          <w:sz w:val="32"/>
          <w:szCs w:val="32"/>
          <w:highlight w:val="none"/>
        </w:rPr>
        <w:t xml:space="preserve"> </w:t>
      </w:r>
      <w:r>
        <w:rPr>
          <w:rFonts w:hint="eastAsia" w:ascii="方正楷体_GBK" w:hAnsi="宋体" w:eastAsia="方正楷体_GBK"/>
          <w:color w:val="auto"/>
          <w:sz w:val="32"/>
          <w:szCs w:val="32"/>
          <w:highlight w:val="none"/>
        </w:rPr>
        <w:t xml:space="preserve"> </w:t>
      </w:r>
      <w:r>
        <w:rPr>
          <w:rFonts w:hint="eastAsia" w:ascii="方正仿宋_GBK" w:hAnsi="仿宋" w:eastAsia="方正仿宋_GBK" w:cs="仿宋"/>
          <w:color w:val="auto"/>
          <w:sz w:val="32"/>
          <w:szCs w:val="32"/>
          <w:highlight w:val="none"/>
        </w:rPr>
        <w:t>二级学院学生工作负责人的考核</w:t>
      </w:r>
      <w:r>
        <w:rPr>
          <w:rFonts w:hint="eastAsia" w:ascii="方正仿宋_GBK" w:hAnsi="宋体" w:eastAsia="方正仿宋_GBK"/>
          <w:color w:val="auto"/>
          <w:sz w:val="32"/>
          <w:szCs w:val="32"/>
          <w:highlight w:val="none"/>
        </w:rPr>
        <w:t>以月为单位，每个正常教学月考核一次，当月末对本月工作进行考核。年终考核方案由学校另行制定。</w:t>
      </w:r>
    </w:p>
    <w:p>
      <w:pPr>
        <w:spacing w:line="560" w:lineRule="exact"/>
        <w:ind w:firstLine="643" w:firstLineChars="200"/>
        <w:rPr>
          <w:rFonts w:ascii="方正仿宋_GBK" w:hAnsi="宋体" w:eastAsia="方正仿宋_GBK"/>
          <w:color w:val="auto"/>
          <w:sz w:val="32"/>
          <w:szCs w:val="32"/>
          <w:highlight w:val="none"/>
        </w:rPr>
      </w:pPr>
      <w:r>
        <w:rPr>
          <w:rFonts w:hint="eastAsia" w:ascii="方正楷体_GBK" w:hAnsi="宋体" w:eastAsia="方正楷体_GBK"/>
          <w:b/>
          <w:color w:val="auto"/>
          <w:sz w:val="32"/>
          <w:szCs w:val="32"/>
          <w:highlight w:val="none"/>
        </w:rPr>
        <w:t>第</w:t>
      </w:r>
      <w:r>
        <w:rPr>
          <w:rFonts w:hint="eastAsia" w:ascii="方正楷体_GBK" w:hAnsi="仿宋" w:eastAsia="方正楷体_GBK" w:cs="仿宋"/>
          <w:b/>
          <w:bCs/>
          <w:color w:val="auto"/>
          <w:sz w:val="32"/>
          <w:szCs w:val="32"/>
          <w:highlight w:val="none"/>
        </w:rPr>
        <w:t>九</w:t>
      </w:r>
      <w:r>
        <w:rPr>
          <w:rFonts w:hint="eastAsia" w:ascii="方正楷体_GBK" w:hAnsi="宋体" w:eastAsia="方正楷体_GBK"/>
          <w:b/>
          <w:color w:val="auto"/>
          <w:sz w:val="32"/>
          <w:szCs w:val="32"/>
          <w:highlight w:val="none"/>
        </w:rPr>
        <w:t xml:space="preserve">条  </w:t>
      </w:r>
      <w:r>
        <w:rPr>
          <w:rFonts w:hint="eastAsia" w:ascii="方正仿宋_GBK" w:hAnsi="宋体" w:eastAsia="方正仿宋_GBK"/>
          <w:color w:val="auto"/>
          <w:sz w:val="32"/>
          <w:szCs w:val="32"/>
          <w:highlight w:val="none"/>
        </w:rPr>
        <w:t>学生工作处应当结合工作实际会同学校人事部门按照百分制分值制定考核实施细则。</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 xml:space="preserve">第十条 </w:t>
      </w:r>
      <w:r>
        <w:rPr>
          <w:rFonts w:hint="eastAsia" w:ascii="方正仿宋_GBK" w:hAnsi="宋体" w:eastAsia="方正仿宋_GBK"/>
          <w:color w:val="auto"/>
          <w:sz w:val="32"/>
          <w:szCs w:val="32"/>
          <w:highlight w:val="none"/>
        </w:rPr>
        <w:t xml:space="preserve"> </w:t>
      </w:r>
      <w:r>
        <w:rPr>
          <w:rFonts w:hint="eastAsia" w:ascii="方正仿宋_GBK" w:hAnsi="仿宋" w:eastAsia="方正仿宋_GBK" w:cs="仿宋"/>
          <w:color w:val="auto"/>
          <w:sz w:val="32"/>
          <w:szCs w:val="32"/>
          <w:highlight w:val="none"/>
        </w:rPr>
        <w:t>在二级学院学生工作负责人个人述职的基础上，学校相关职能部门共同参与考核工作。</w:t>
      </w:r>
    </w:p>
    <w:p>
      <w:pPr>
        <w:autoSpaceDE w:val="0"/>
        <w:autoSpaceDN w:val="0"/>
        <w:adjustRightInd w:val="0"/>
        <w:spacing w:line="560" w:lineRule="exact"/>
        <w:ind w:left="1" w:firstLine="643" w:firstLineChars="200"/>
        <w:jc w:val="left"/>
        <w:rPr>
          <w:rFonts w:ascii="方正仿宋_GBK" w:hAnsi="仿宋" w:eastAsia="方正仿宋_GBK" w:cs="仿宋"/>
          <w:color w:val="auto"/>
          <w:sz w:val="32"/>
          <w:szCs w:val="32"/>
          <w:highlight w:val="none"/>
        </w:rPr>
      </w:pPr>
      <w:r>
        <w:rPr>
          <w:rFonts w:hint="eastAsia" w:ascii="方正仿宋_GBK" w:hAnsi="仿宋" w:eastAsia="方正仿宋_GBK" w:cs="仿宋"/>
          <w:b/>
          <w:color w:val="auto"/>
          <w:sz w:val="32"/>
          <w:szCs w:val="32"/>
          <w:highlight w:val="none"/>
        </w:rPr>
        <w:t>（一）个人述职：</w:t>
      </w:r>
      <w:r>
        <w:rPr>
          <w:rFonts w:hint="eastAsia" w:ascii="方正仿宋_GBK" w:hAnsi="仿宋" w:eastAsia="方正仿宋_GBK" w:cs="仿宋"/>
          <w:color w:val="auto"/>
          <w:sz w:val="32"/>
          <w:szCs w:val="32"/>
          <w:highlight w:val="none"/>
        </w:rPr>
        <w:t>占比 40％。二级学院学生工作负责人对本人当月工作进行全面总结，对照考核细则的相关要求，向学生工作处提交本月考核材料。</w:t>
      </w:r>
    </w:p>
    <w:p>
      <w:pPr>
        <w:autoSpaceDE w:val="0"/>
        <w:autoSpaceDN w:val="0"/>
        <w:adjustRightInd w:val="0"/>
        <w:spacing w:line="560" w:lineRule="exact"/>
        <w:ind w:left="1" w:firstLine="643" w:firstLineChars="200"/>
        <w:jc w:val="left"/>
        <w:rPr>
          <w:rFonts w:ascii="方正仿宋_GBK" w:hAnsi="仿宋" w:eastAsia="方正仿宋_GBK" w:cs="仿宋"/>
          <w:color w:val="auto"/>
          <w:sz w:val="32"/>
          <w:szCs w:val="32"/>
          <w:highlight w:val="none"/>
        </w:rPr>
      </w:pPr>
      <w:r>
        <w:rPr>
          <w:rFonts w:hint="eastAsia" w:ascii="方正仿宋_GBK" w:hAnsi="仿宋" w:eastAsia="方正仿宋_GBK" w:cs="仿宋"/>
          <w:b/>
          <w:color w:val="auto"/>
          <w:sz w:val="32"/>
          <w:szCs w:val="32"/>
          <w:highlight w:val="none"/>
        </w:rPr>
        <w:t>（二）职能部门测评：</w:t>
      </w:r>
      <w:r>
        <w:rPr>
          <w:rFonts w:hint="eastAsia" w:ascii="方正仿宋_GBK" w:hAnsi="仿宋" w:eastAsia="方正仿宋_GBK" w:cs="仿宋"/>
          <w:color w:val="auto"/>
          <w:sz w:val="32"/>
          <w:szCs w:val="32"/>
          <w:highlight w:val="none"/>
        </w:rPr>
        <w:t>占比60％。学生工作处根据相关行政职能部门当月对学生工作负责人履职情况以及日常管理工作的反馈，形成测评分值。</w:t>
      </w:r>
    </w:p>
    <w:p>
      <w:pPr>
        <w:autoSpaceDE w:val="0"/>
        <w:autoSpaceDN w:val="0"/>
        <w:adjustRightInd w:val="0"/>
        <w:spacing w:line="560" w:lineRule="exact"/>
        <w:ind w:left="1" w:firstLine="643" w:firstLineChars="200"/>
        <w:jc w:val="left"/>
        <w:rPr>
          <w:rFonts w:ascii="方正仿宋_GBK" w:hAnsi="宋体" w:eastAsia="方正仿宋_GBK" w:cs="宋体"/>
          <w:color w:val="auto"/>
          <w:kern w:val="0"/>
          <w:sz w:val="32"/>
          <w:szCs w:val="32"/>
          <w:highlight w:val="none"/>
        </w:rPr>
      </w:pPr>
      <w:r>
        <w:rPr>
          <w:rFonts w:hint="eastAsia" w:ascii="方正仿宋_GBK" w:hAnsi="宋体" w:eastAsia="方正仿宋_GBK" w:cs="宋体"/>
          <w:b/>
          <w:color w:val="auto"/>
          <w:kern w:val="0"/>
          <w:sz w:val="32"/>
          <w:szCs w:val="32"/>
          <w:highlight w:val="none"/>
        </w:rPr>
        <w:t>（三）公示上报：</w:t>
      </w:r>
      <w:r>
        <w:rPr>
          <w:rFonts w:hint="eastAsia" w:ascii="方正仿宋_GBK" w:hAnsi="宋体" w:eastAsia="方正仿宋_GBK" w:cs="宋体"/>
          <w:color w:val="auto"/>
          <w:kern w:val="0"/>
          <w:sz w:val="32"/>
          <w:szCs w:val="32"/>
          <w:highlight w:val="none"/>
        </w:rPr>
        <w:t>学生工作处会同学校人事部门在当月末对测评结果进行汇总并</w:t>
      </w:r>
      <w:r>
        <w:rPr>
          <w:rFonts w:hint="eastAsia" w:ascii="方正仿宋_GBK" w:hAnsi="宋体" w:eastAsia="方正仿宋_GBK"/>
          <w:color w:val="auto"/>
          <w:sz w:val="32"/>
          <w:szCs w:val="32"/>
          <w:highlight w:val="none"/>
        </w:rPr>
        <w:t>审核</w:t>
      </w:r>
      <w:r>
        <w:rPr>
          <w:rFonts w:hint="eastAsia" w:ascii="方正仿宋_GBK" w:hAnsi="宋体" w:eastAsia="方正仿宋_GBK" w:cs="宋体"/>
          <w:color w:val="auto"/>
          <w:kern w:val="0"/>
          <w:sz w:val="32"/>
          <w:szCs w:val="32"/>
          <w:highlight w:val="none"/>
        </w:rPr>
        <w:t>，在</w:t>
      </w:r>
      <w:r>
        <w:rPr>
          <w:rFonts w:hint="eastAsia" w:ascii="方正仿宋_GBK" w:hAnsi="宋体" w:eastAsia="方正仿宋_GBK"/>
          <w:color w:val="auto"/>
          <w:sz w:val="32"/>
          <w:szCs w:val="32"/>
          <w:highlight w:val="none"/>
        </w:rPr>
        <w:t>学生工作管理范围</w:t>
      </w:r>
      <w:r>
        <w:rPr>
          <w:rFonts w:hint="eastAsia" w:ascii="方正仿宋_GBK" w:hAnsi="宋体" w:eastAsia="方正仿宋_GBK" w:cs="宋体"/>
          <w:color w:val="auto"/>
          <w:kern w:val="0"/>
          <w:sz w:val="32"/>
          <w:szCs w:val="32"/>
          <w:highlight w:val="none"/>
        </w:rPr>
        <w:t>内公示至少1个工作日，公示无异议后将结果提交学校审定。</w:t>
      </w:r>
    </w:p>
    <w:p>
      <w:pPr>
        <w:autoSpaceDE w:val="0"/>
        <w:autoSpaceDN w:val="0"/>
        <w:adjustRightInd w:val="0"/>
        <w:spacing w:line="560" w:lineRule="exact"/>
        <w:jc w:val="left"/>
        <w:rPr>
          <w:rFonts w:ascii="方正仿宋_GBK" w:hAnsi="仿宋" w:eastAsia="方正仿宋_GBK" w:cs="仿宋"/>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51" w:name="_Toc25893"/>
      <w:bookmarkStart w:id="52" w:name="_Toc15398610"/>
      <w:r>
        <w:rPr>
          <w:rFonts w:hint="eastAsia" w:ascii="方正黑体_GBK" w:hAnsi="方正黑体_GBK" w:eastAsia="方正黑体_GBK" w:cs="方正黑体_GBK"/>
          <w:b/>
          <w:color w:val="auto"/>
          <w:highlight w:val="none"/>
        </w:rPr>
        <w:t>第四章  考核标准</w:t>
      </w:r>
      <w:bookmarkEnd w:id="51"/>
      <w:bookmarkEnd w:id="52"/>
    </w:p>
    <w:p>
      <w:pPr>
        <w:autoSpaceDE w:val="0"/>
        <w:autoSpaceDN w:val="0"/>
        <w:adjustRightInd w:val="0"/>
        <w:spacing w:line="560" w:lineRule="exact"/>
        <w:ind w:left="1" w:firstLine="640" w:firstLineChars="200"/>
        <w:jc w:val="center"/>
        <w:rPr>
          <w:rFonts w:ascii="黑体" w:hAnsi="黑体" w:eastAsia="黑体" w:cs="黑体"/>
          <w:color w:val="auto"/>
          <w:sz w:val="32"/>
          <w:szCs w:val="32"/>
          <w:highlight w:val="none"/>
        </w:rPr>
      </w:pPr>
    </w:p>
    <w:p>
      <w:pPr>
        <w:widowControl/>
        <w:spacing w:before="156" w:beforeLines="50" w:after="156" w:afterLines="50"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第十一条</w:t>
      </w:r>
      <w:r>
        <w:rPr>
          <w:rFonts w:hint="eastAsia" w:ascii="方正楷体_GBK" w:hAnsi="宋体" w:eastAsia="方正楷体_GBK"/>
          <w:b/>
          <w:color w:val="auto"/>
          <w:sz w:val="32"/>
          <w:szCs w:val="32"/>
          <w:highlight w:val="none"/>
          <w:lang w:val="en-US" w:eastAsia="zh-CN"/>
        </w:rPr>
        <w:t xml:space="preserve">  </w:t>
      </w:r>
      <w:r>
        <w:rPr>
          <w:rFonts w:hint="eastAsia" w:ascii="方正仿宋_GBK" w:hAnsi="仿宋" w:eastAsia="方正仿宋_GBK" w:cs="仿宋"/>
          <w:color w:val="auto"/>
          <w:sz w:val="32"/>
          <w:szCs w:val="32"/>
          <w:highlight w:val="none"/>
        </w:rPr>
        <w:t>考核结果按照各项总分情况排名，考核等级分为：优秀、良好、合格、不合格四个档次。</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第十二条</w:t>
      </w:r>
      <w:r>
        <w:rPr>
          <w:rFonts w:hint="eastAsia" w:ascii="方正楷体_GBK" w:hAnsi="宋体" w:eastAsia="方正楷体_GBK"/>
          <w:color w:val="auto"/>
          <w:sz w:val="32"/>
          <w:szCs w:val="32"/>
          <w:highlight w:val="none"/>
        </w:rPr>
        <w:t xml:space="preserve">  </w:t>
      </w:r>
      <w:r>
        <w:rPr>
          <w:rFonts w:hint="eastAsia" w:ascii="方正仿宋_GBK" w:hAnsi="仿宋" w:eastAsia="方正仿宋_GBK" w:cs="仿宋"/>
          <w:color w:val="auto"/>
          <w:sz w:val="32"/>
          <w:szCs w:val="32"/>
          <w:highlight w:val="none"/>
        </w:rPr>
        <w:t>按照全校二级学院学生工作负责人总数的25％的比例确定“优秀”等级。被认定为“优秀”等级的二级学院学生工作负责人给予精神奖励并奖励当月绩效工资200%；在年度考核、评优、晋级和晋升职称职务时给予优先考虑。</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 xml:space="preserve">第十三条  </w:t>
      </w:r>
      <w:r>
        <w:rPr>
          <w:rFonts w:hint="eastAsia" w:ascii="方正仿宋_GBK" w:hAnsi="仿宋" w:eastAsia="方正仿宋_GBK" w:cs="仿宋"/>
          <w:color w:val="auto"/>
          <w:sz w:val="32"/>
          <w:szCs w:val="32"/>
          <w:highlight w:val="none"/>
        </w:rPr>
        <w:t>按照全校二级学院学生工作负责人总数的25％的比例确定“良好”等级。被认定为“良好”等级的二级学院学生工作负责人奖励当月绩效工资150%；在年度考核、评优时给予优先考虑。</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第十四条</w:t>
      </w:r>
      <w:r>
        <w:rPr>
          <w:rFonts w:hint="eastAsia" w:ascii="仿宋_GB2312" w:hAnsi="宋体" w:eastAsia="仿宋_GB2312"/>
          <w:color w:val="auto"/>
          <w:sz w:val="32"/>
          <w:szCs w:val="32"/>
          <w:highlight w:val="none"/>
        </w:rPr>
        <w:t xml:space="preserve">  </w:t>
      </w:r>
      <w:r>
        <w:rPr>
          <w:rFonts w:hint="eastAsia" w:ascii="方正仿宋_GBK" w:hAnsi="仿宋" w:eastAsia="方正仿宋_GBK" w:cs="仿宋"/>
          <w:color w:val="auto"/>
          <w:sz w:val="32"/>
          <w:szCs w:val="32"/>
          <w:highlight w:val="none"/>
        </w:rPr>
        <w:t>按照全校二级学院学生工作负责人总数的25％的比例确定“合格”等级。被认定为“合格”等级的二级学院学生工作负责人正常发放当月绩效工资。</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第十五条</w:t>
      </w:r>
      <w:r>
        <w:rPr>
          <w:rFonts w:hint="eastAsia" w:ascii="仿宋_GB2312" w:hAnsi="宋体" w:eastAsia="仿宋_GB2312"/>
          <w:color w:val="auto"/>
          <w:sz w:val="32"/>
          <w:szCs w:val="32"/>
          <w:highlight w:val="none"/>
        </w:rPr>
        <w:t xml:space="preserve">  </w:t>
      </w:r>
      <w:r>
        <w:rPr>
          <w:rFonts w:hint="eastAsia" w:ascii="方正仿宋_GBK" w:hAnsi="仿宋" w:eastAsia="方正仿宋_GBK" w:cs="仿宋"/>
          <w:color w:val="auto"/>
          <w:sz w:val="32"/>
          <w:szCs w:val="32"/>
          <w:highlight w:val="none"/>
        </w:rPr>
        <w:t>按照全校二级学院学生工作负责人总数的25％的比例确定“不合格”等级。被认定为“不合格”等级的二级学院学生工作负责人扣发放当月绩效工资，由学生工作处对其进行诫勉谈话。</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第十六条</w:t>
      </w:r>
      <w:r>
        <w:rPr>
          <w:rFonts w:hint="eastAsia" w:ascii="方正楷体_GBK" w:hAnsi="宋体" w:eastAsia="方正楷体_GBK"/>
          <w:b/>
          <w:color w:val="auto"/>
          <w:sz w:val="32"/>
          <w:szCs w:val="32"/>
          <w:highlight w:val="none"/>
          <w:lang w:val="en-US" w:eastAsia="zh-CN"/>
        </w:rPr>
        <w:t xml:space="preserve">  </w:t>
      </w:r>
      <w:r>
        <w:rPr>
          <w:rFonts w:hint="eastAsia" w:ascii="方正仿宋_GBK" w:hAnsi="仿宋" w:eastAsia="方正仿宋_GBK" w:cs="仿宋"/>
          <w:color w:val="auto"/>
          <w:sz w:val="32"/>
          <w:szCs w:val="32"/>
          <w:highlight w:val="none"/>
        </w:rPr>
        <w:t>有以下情况之一的二级学院学生工作负责人考核得分及排名不变，考核结果认定为“不合格”：</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（一）因工作疏忽或补救不及时而出现重大安全责任事故且被学校及以上主管部门通报的；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（二）涉及学生切身利益事项，因工作疏忽造成严重后果的；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（三）所在学院辅导员（班主任）、学生出现违法或重大违纪行为，产生重大的社会负面影响的：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（四）所在学院辅导员（班主任）、学生出现反党反国家反社会主义言行、侮辱亵渎先烈的言行或其他不当言行，被媒体曝光的；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（五）因玩忽职守、失职渎职、严重不负责任造成学校及学生重大财产损失及人身伤亡的；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（六）考核中弄虚作假，提交虚假材料和数据的；</w:t>
      </w:r>
    </w:p>
    <w:p>
      <w:pPr>
        <w:spacing w:line="560" w:lineRule="exact"/>
        <w:ind w:firstLine="640" w:firstLineChars="200"/>
        <w:rPr>
          <w:rFonts w:ascii="方正仿宋_GBK" w:hAnsi="仿宋" w:eastAsia="方正仿宋_GBK" w:cs="仿宋"/>
          <w:color w:val="auto"/>
          <w:sz w:val="32"/>
          <w:szCs w:val="32"/>
          <w:highlight w:val="none"/>
        </w:rPr>
      </w:pPr>
      <w:r>
        <w:rPr>
          <w:rFonts w:hint="eastAsia" w:ascii="方正仿宋_GBK" w:hAnsi="仿宋" w:eastAsia="方正仿宋_GBK" w:cs="仿宋"/>
          <w:color w:val="auto"/>
          <w:sz w:val="32"/>
          <w:szCs w:val="32"/>
          <w:highlight w:val="none"/>
        </w:rPr>
        <w:t>（七）应当认定为考核不合格的其他情况。</w:t>
      </w:r>
    </w:p>
    <w:p>
      <w:pPr>
        <w:spacing w:line="560" w:lineRule="exact"/>
        <w:ind w:firstLine="643" w:firstLineChars="200"/>
        <w:rPr>
          <w:rFonts w:ascii="仿宋_GB2312" w:hAnsi="宋体" w:eastAsia="仿宋_GB2312"/>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53" w:name="_Toc15398611"/>
      <w:bookmarkStart w:id="54" w:name="_Toc22781"/>
      <w:r>
        <w:rPr>
          <w:rFonts w:hint="eastAsia" w:ascii="方正黑体_GBK" w:hAnsi="方正黑体_GBK" w:eastAsia="方正黑体_GBK" w:cs="方正黑体_GBK"/>
          <w:b/>
          <w:color w:val="auto"/>
          <w:highlight w:val="none"/>
        </w:rPr>
        <w:t>第五章  申诉及处理</w:t>
      </w:r>
      <w:bookmarkEnd w:id="53"/>
      <w:bookmarkEnd w:id="54"/>
    </w:p>
    <w:p>
      <w:pPr>
        <w:widowControl/>
        <w:spacing w:before="156" w:beforeLines="50" w:after="156" w:afterLines="50" w:line="560" w:lineRule="exact"/>
        <w:jc w:val="center"/>
        <w:rPr>
          <w:rFonts w:ascii="仿宋_GB2312" w:hAnsi="宋体" w:eastAsia="仿宋_GB2312" w:cs="宋体"/>
          <w:b/>
          <w:color w:val="auto"/>
          <w:kern w:val="0"/>
          <w:sz w:val="32"/>
          <w:szCs w:val="32"/>
          <w:highlight w:val="none"/>
        </w:rPr>
      </w:pPr>
    </w:p>
    <w:p>
      <w:pPr>
        <w:widowControl/>
        <w:spacing w:before="156" w:beforeLines="50" w:after="156" w:afterLines="50" w:line="560" w:lineRule="exact"/>
        <w:ind w:firstLine="630" w:firstLineChars="196"/>
        <w:rPr>
          <w:rFonts w:ascii="仿宋_GB2312" w:hAnsi="宋体" w:eastAsia="仿宋_GB2312"/>
          <w:color w:val="auto"/>
          <w:sz w:val="32"/>
          <w:szCs w:val="32"/>
          <w:highlight w:val="none"/>
        </w:rPr>
      </w:pPr>
      <w:r>
        <w:rPr>
          <w:rFonts w:hint="eastAsia" w:ascii="方正楷体_GBK" w:hAnsi="宋体" w:eastAsia="方正楷体_GBK"/>
          <w:b/>
          <w:color w:val="auto"/>
          <w:sz w:val="32"/>
          <w:szCs w:val="32"/>
          <w:highlight w:val="none"/>
        </w:rPr>
        <w:t>第十七条</w:t>
      </w:r>
      <w:r>
        <w:rPr>
          <w:rFonts w:hint="eastAsia" w:ascii="仿宋" w:hAnsi="仿宋" w:eastAsia="仿宋"/>
          <w:b/>
          <w:color w:val="auto"/>
          <w:sz w:val="32"/>
          <w:highlight w:val="none"/>
        </w:rPr>
        <w:t xml:space="preserve">  </w:t>
      </w:r>
      <w:r>
        <w:rPr>
          <w:rFonts w:hint="eastAsia" w:ascii="方正仿宋_GBK" w:hAnsi="仿宋" w:eastAsia="方正仿宋_GBK" w:cs="仿宋"/>
          <w:color w:val="auto"/>
          <w:sz w:val="32"/>
          <w:szCs w:val="32"/>
          <w:highlight w:val="none"/>
        </w:rPr>
        <w:t>二级学院学生工作负责人对考核结果有异议的，可以在公示期间向学校人事部门提出书面申诉，申诉以1次为限。公示期间未提出申诉的视为放弃申诉，学校不再受理其提出的申诉。</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 xml:space="preserve">第十八条  </w:t>
      </w:r>
      <w:r>
        <w:rPr>
          <w:rFonts w:hint="eastAsia" w:ascii="方正仿宋_GBK" w:hAnsi="仿宋" w:eastAsia="方正仿宋_GBK" w:cs="仿宋"/>
          <w:color w:val="auto"/>
          <w:sz w:val="32"/>
          <w:szCs w:val="32"/>
          <w:highlight w:val="none"/>
        </w:rPr>
        <w:t>学校人事部门在处理因二级学院学生工作负责人考核等级有异议提起的申诉时，应当听取辅导员（班主任）、学生工作处及分管校领导的意见，根据需要进行必要的调查，调查反馈意见应在上报学校前做出并周知相关人员。</w:t>
      </w:r>
    </w:p>
    <w:p>
      <w:pPr>
        <w:spacing w:line="560" w:lineRule="exact"/>
        <w:jc w:val="center"/>
        <w:rPr>
          <w:rFonts w:ascii="仿宋" w:hAnsi="仿宋" w:eastAsia="仿宋" w:cs="仿宋"/>
          <w:b/>
          <w:bCs/>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55" w:name="_Toc15398612"/>
      <w:bookmarkStart w:id="56" w:name="_Toc28251"/>
      <w:r>
        <w:rPr>
          <w:rFonts w:hint="eastAsia" w:ascii="方正黑体_GBK" w:hAnsi="方正黑体_GBK" w:eastAsia="方正黑体_GBK" w:cs="方正黑体_GBK"/>
          <w:b/>
          <w:bCs w:val="0"/>
          <w:color w:val="auto"/>
          <w:highlight w:val="none"/>
        </w:rPr>
        <w:t>第六章  附则</w:t>
      </w:r>
      <w:bookmarkEnd w:id="55"/>
      <w:bookmarkEnd w:id="56"/>
    </w:p>
    <w:p>
      <w:pPr>
        <w:spacing w:line="560" w:lineRule="exact"/>
        <w:jc w:val="center"/>
        <w:rPr>
          <w:rFonts w:ascii="方正黑体_GBK" w:hAnsi="仿宋" w:eastAsia="方正黑体_GBK" w:cs="仿宋"/>
          <w:b/>
          <w:bCs/>
          <w:color w:val="auto"/>
          <w:sz w:val="32"/>
          <w:szCs w:val="32"/>
          <w:highlight w:val="none"/>
        </w:rPr>
      </w:pP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第十九条</w:t>
      </w:r>
      <w:r>
        <w:rPr>
          <w:rFonts w:hint="eastAsia" w:ascii="仿宋_GB2312" w:hAnsi="宋体" w:eastAsia="仿宋_GB2312"/>
          <w:b/>
          <w:color w:val="auto"/>
          <w:sz w:val="32"/>
          <w:szCs w:val="32"/>
          <w:highlight w:val="none"/>
        </w:rPr>
        <w:t xml:space="preserve">  </w:t>
      </w:r>
      <w:r>
        <w:rPr>
          <w:rFonts w:hint="eastAsia" w:ascii="方正仿宋_GBK" w:hAnsi="仿宋" w:eastAsia="方正仿宋_GBK" w:cs="仿宋"/>
          <w:color w:val="auto"/>
          <w:sz w:val="32"/>
          <w:szCs w:val="32"/>
          <w:highlight w:val="none"/>
        </w:rPr>
        <w:t>本办法由学生工作处负责解释。</w:t>
      </w:r>
    </w:p>
    <w:p>
      <w:pPr>
        <w:spacing w:line="560" w:lineRule="exact"/>
        <w:ind w:firstLine="643" w:firstLineChars="200"/>
        <w:rPr>
          <w:rFonts w:ascii="方正仿宋_GBK" w:hAnsi="仿宋" w:eastAsia="方正仿宋_GBK" w:cs="仿宋"/>
          <w:color w:val="auto"/>
          <w:sz w:val="32"/>
          <w:szCs w:val="32"/>
          <w:highlight w:val="none"/>
        </w:rPr>
      </w:pPr>
      <w:r>
        <w:rPr>
          <w:rFonts w:hint="eastAsia" w:ascii="方正楷体_GBK" w:hAnsi="宋体" w:eastAsia="方正楷体_GBK"/>
          <w:b/>
          <w:color w:val="auto"/>
          <w:sz w:val="32"/>
          <w:szCs w:val="32"/>
          <w:highlight w:val="none"/>
        </w:rPr>
        <w:t>第二十条</w:t>
      </w:r>
      <w:r>
        <w:rPr>
          <w:rFonts w:hint="eastAsia" w:ascii="仿宋_GB2312" w:hAnsi="宋体" w:eastAsia="仿宋_GB2312"/>
          <w:b/>
          <w:color w:val="auto"/>
          <w:sz w:val="32"/>
          <w:szCs w:val="32"/>
          <w:highlight w:val="none"/>
        </w:rPr>
        <w:t xml:space="preserve">  </w:t>
      </w:r>
      <w:r>
        <w:rPr>
          <w:rFonts w:hint="eastAsia" w:ascii="方正仿宋_GBK" w:hAnsi="仿宋" w:eastAsia="方正仿宋_GBK" w:cs="仿宋"/>
          <w:color w:val="auto"/>
          <w:sz w:val="32"/>
          <w:szCs w:val="32"/>
          <w:highlight w:val="none"/>
        </w:rPr>
        <w:t>本办法自2019年9月1日起实施。</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color w:val="auto"/>
          <w:kern w:val="0"/>
          <w:sz w:val="32"/>
          <w:szCs w:val="32"/>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color w:val="auto"/>
          <w:kern w:val="0"/>
          <w:sz w:val="43"/>
          <w:szCs w:val="43"/>
          <w:highlight w:val="none"/>
          <w:lang w:val="en-US" w:eastAsia="zh-CN" w:bidi="ar"/>
        </w:rPr>
      </w:pPr>
      <w:bookmarkStart w:id="57" w:name="_Toc16551"/>
      <w:r>
        <w:rPr>
          <w:rFonts w:hint="eastAsia" w:ascii="方正小标宋_GBK" w:hAnsi="方正小标宋_GBK" w:eastAsia="方正小标宋_GBK" w:cs="方正小标宋_GBK"/>
          <w:b/>
          <w:color w:val="auto"/>
          <w:kern w:val="0"/>
          <w:sz w:val="36"/>
          <w:szCs w:val="36"/>
          <w:highlight w:val="none"/>
          <w:lang w:val="en-US" w:eastAsia="zh-CN" w:bidi="ar"/>
        </w:rPr>
        <w:t>云南城市建设职业学院第二班主任管理及考评办法（试行）</w:t>
      </w:r>
      <w:bookmarkEnd w:id="57"/>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auto"/>
          <w:kern w:val="0"/>
          <w:sz w:val="43"/>
          <w:szCs w:val="43"/>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为提高班级管理的质量和水平，促进学校发展。根据《云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南城市建设职业学院职称评定管理办法》的相关要求，特制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color w:val="auto"/>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定本办法。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方正黑体_GBK" w:hAnsi="方正黑体_GBK" w:eastAsia="方正黑体_GBK" w:cs="方正黑体_GBK"/>
          <w:b/>
          <w:bCs/>
          <w:color w:val="auto"/>
          <w:sz w:val="32"/>
          <w:szCs w:val="32"/>
          <w:highlight w:val="none"/>
        </w:rPr>
      </w:pPr>
      <w:bookmarkStart w:id="58" w:name="_Toc3357"/>
      <w:bookmarkStart w:id="59" w:name="_Toc1094"/>
      <w:bookmarkStart w:id="60" w:name="_Toc5166"/>
      <w:bookmarkStart w:id="61" w:name="_Toc5643"/>
      <w:bookmarkStart w:id="62" w:name="_Toc19321"/>
      <w:r>
        <w:rPr>
          <w:rFonts w:hint="eastAsia" w:ascii="方正黑体_GBK" w:hAnsi="方正黑体_GBK" w:eastAsia="方正黑体_GBK" w:cs="方正黑体_GBK"/>
          <w:b/>
          <w:bCs/>
          <w:color w:val="auto"/>
          <w:kern w:val="0"/>
          <w:sz w:val="32"/>
          <w:szCs w:val="32"/>
          <w:highlight w:val="none"/>
          <w:lang w:val="en-US" w:eastAsia="zh-CN" w:bidi="ar"/>
        </w:rPr>
        <w:t>一、目的和意义</w:t>
      </w:r>
      <w:bookmarkEnd w:id="58"/>
      <w:bookmarkEnd w:id="59"/>
      <w:bookmarkEnd w:id="60"/>
      <w:bookmarkEnd w:id="61"/>
      <w:bookmarkEnd w:id="62"/>
      <w:r>
        <w:rPr>
          <w:rFonts w:hint="eastAsia" w:ascii="方正黑体_GBK" w:hAnsi="方正黑体_GBK" w:eastAsia="方正黑体_GBK" w:cs="方正黑体_GBK"/>
          <w:b/>
          <w:bCs/>
          <w:color w:val="auto"/>
          <w:kern w:val="0"/>
          <w:sz w:val="32"/>
          <w:szCs w:val="32"/>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为深入贯彻落实全国高校思想政治工作会议精神和《中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共中央 国务院关于加强和改进新形势下高校思想政治工作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的意见》，以切实加强我校辅导员队伍专业化和职业化建设，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充分发挥第二班主任在我校思想政治教育中的骨干作用为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目标，以提升学生工作队伍综合素质为核心，以完善第二班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主任队伍建设机制为重点，全面提高学生工作队伍的政治素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质、专业水平和职业能力，不断改进第二班主任队伍的管理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和培养工作机制，努力建设一支政治强、业务精、纪律严、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作风正，敬业爱岗，结构合理，专业化水平较高的学生工作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队伍。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依据《普通高等学校辅导员队伍建设规定》（教育部第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43 号令）等有关规定。学校坚持把立德树人作为中心环节，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把第二班主任队伍建设作为教师队伍和管理队伍建设的重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要内容，整体规划、统筹安排，不断提高队伍的专业水平和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职业能力，保证第二班主任工作有条件、干事有平台、待遇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有保障、发展有空间。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方正黑体_GBK" w:hAnsi="方正黑体_GBK" w:eastAsia="方正黑体_GBK" w:cs="方正黑体_GBK"/>
          <w:b/>
          <w:bCs/>
          <w:color w:val="auto"/>
          <w:kern w:val="0"/>
          <w:sz w:val="32"/>
          <w:szCs w:val="32"/>
          <w:highlight w:val="none"/>
          <w:lang w:val="en-US" w:eastAsia="zh-CN" w:bidi="ar"/>
        </w:rPr>
      </w:pPr>
      <w:bookmarkStart w:id="63" w:name="_Toc16950"/>
      <w:bookmarkStart w:id="64" w:name="_Toc31927"/>
      <w:bookmarkStart w:id="65" w:name="_Toc17206"/>
      <w:bookmarkStart w:id="66" w:name="_Toc622"/>
      <w:bookmarkStart w:id="67" w:name="_Toc14881"/>
      <w:r>
        <w:rPr>
          <w:rFonts w:hint="eastAsia" w:ascii="方正黑体_GBK" w:hAnsi="方正黑体_GBK" w:eastAsia="方正黑体_GBK" w:cs="方正黑体_GBK"/>
          <w:b/>
          <w:bCs/>
          <w:color w:val="auto"/>
          <w:kern w:val="0"/>
          <w:sz w:val="32"/>
          <w:szCs w:val="32"/>
          <w:highlight w:val="none"/>
          <w:lang w:val="en-US" w:eastAsia="zh-CN" w:bidi="ar"/>
        </w:rPr>
        <w:t>二、组织领导</w:t>
      </w:r>
      <w:bookmarkEnd w:id="63"/>
      <w:bookmarkEnd w:id="64"/>
      <w:bookmarkEnd w:id="65"/>
      <w:bookmarkEnd w:id="66"/>
      <w:bookmarkEnd w:id="67"/>
      <w:r>
        <w:rPr>
          <w:rFonts w:hint="eastAsia" w:ascii="方正黑体_GBK" w:hAnsi="方正黑体_GBK" w:eastAsia="方正黑体_GBK" w:cs="方正黑体_GBK"/>
          <w:b/>
          <w:bCs/>
          <w:color w:val="auto"/>
          <w:kern w:val="0"/>
          <w:sz w:val="32"/>
          <w:szCs w:val="32"/>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学校成立第二班主任工作领导小组，组织、协调和领导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学校第二班主任管理和考评工作，具体组成人员如下：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kern w:val="0"/>
          <w:sz w:val="32"/>
          <w:szCs w:val="32"/>
          <w:highlight w:val="none"/>
          <w:lang w:val="en-US" w:eastAsia="zh-CN" w:bidi="ar"/>
        </w:rPr>
        <w:t>组  长：贾  瑞</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副组长：杨敏捷  苏兵兵</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成 员：各职能部门 二级学院负责人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领导小组办公室设在学校人力资源处，负责日常事务，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并接受第二班主任对考评结果的申诉及处理。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各二级学院成立以负责人为组长，学生工作负责人为副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组长，带班专职辅导员（班主任）为成员的第二班主任工作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小组，具体负责本学院的第二班主任管理和考评工作。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方正黑体_GBK" w:hAnsi="方正黑体_GBK" w:eastAsia="方正黑体_GBK" w:cs="方正黑体_GBK"/>
          <w:b/>
          <w:bCs/>
          <w:color w:val="auto"/>
          <w:kern w:val="0"/>
          <w:sz w:val="32"/>
          <w:szCs w:val="32"/>
          <w:highlight w:val="none"/>
          <w:lang w:val="en-US" w:eastAsia="zh-CN" w:bidi="ar"/>
        </w:rPr>
      </w:pPr>
      <w:bookmarkStart w:id="68" w:name="_Toc18094"/>
      <w:bookmarkStart w:id="69" w:name="_Toc4746"/>
      <w:bookmarkStart w:id="70" w:name="_Toc17973"/>
      <w:bookmarkStart w:id="71" w:name="_Toc5882"/>
      <w:bookmarkStart w:id="72" w:name="_Toc23985"/>
      <w:r>
        <w:rPr>
          <w:rFonts w:hint="eastAsia" w:ascii="方正黑体_GBK" w:hAnsi="方正黑体_GBK" w:eastAsia="方正黑体_GBK" w:cs="方正黑体_GBK"/>
          <w:b/>
          <w:bCs/>
          <w:color w:val="auto"/>
          <w:kern w:val="0"/>
          <w:sz w:val="32"/>
          <w:szCs w:val="32"/>
          <w:highlight w:val="none"/>
          <w:lang w:val="en-US" w:eastAsia="zh-CN" w:bidi="ar"/>
        </w:rPr>
        <w:t>三、选聘对象、岗位及流程</w:t>
      </w:r>
      <w:bookmarkEnd w:id="68"/>
      <w:bookmarkEnd w:id="69"/>
      <w:bookmarkEnd w:id="70"/>
      <w:bookmarkEnd w:id="71"/>
      <w:bookmarkEnd w:id="72"/>
      <w:r>
        <w:rPr>
          <w:rFonts w:hint="eastAsia" w:ascii="方正黑体_GBK" w:hAnsi="方正黑体_GBK" w:eastAsia="方正黑体_GBK" w:cs="方正黑体_GBK"/>
          <w:b/>
          <w:bCs/>
          <w:color w:val="auto"/>
          <w:kern w:val="0"/>
          <w:sz w:val="32"/>
          <w:szCs w:val="32"/>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1"/>
        <w:rPr>
          <w:rFonts w:hint="eastAsia" w:ascii="方正楷体_GBK" w:hAnsi="方正楷体_GBK" w:eastAsia="方正楷体_GBK" w:cs="方正楷体_GBK"/>
          <w:b/>
          <w:bCs w:val="0"/>
          <w:color w:val="auto"/>
          <w:highlight w:val="none"/>
        </w:rPr>
      </w:pPr>
      <w:r>
        <w:rPr>
          <w:rFonts w:hint="eastAsia" w:ascii="方正楷体_GBK" w:hAnsi="方正楷体_GBK" w:eastAsia="方正楷体_GBK" w:cs="方正楷体_GBK"/>
          <w:b/>
          <w:bCs w:val="0"/>
          <w:color w:val="auto"/>
          <w:kern w:val="0"/>
          <w:sz w:val="31"/>
          <w:szCs w:val="31"/>
          <w:highlight w:val="none"/>
          <w:lang w:val="en-US" w:eastAsia="zh-CN" w:bidi="ar"/>
        </w:rPr>
        <w:t xml:space="preserve">（一）选聘对象及基本条件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1.选聘对象。致力于我校学生管理与服务工作的各部门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在岗在编的专职教师、管理人员、行政人员。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2.选聘基本条件。（1）具有较高的政治素质和坚定的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理想信念，坚决贯彻执行党的基本路线和各项方针政策，有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较强的政治敏感性和政治辨别力；（2）具备本科以上学历，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热爱大学生思想政治教育事业，甘于奉献，潜心育人，具有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强烈的事业心和责任感；（3）具有从事思想政治教育工作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相关学科的宽口径知识储备，掌握思想政治教育工作相关学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科的基本原理和基础知识，掌握思想政治教育专业基本理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论、知识和方法，掌握马克思主义中国化相关理论和知识，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掌握大学生思想政治教育工作实务相关知识，掌握有关法律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法规知识；（4）具备较强的组织管理能力和语言、文字表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达能力，及教育引导能力、调查研究能力，具备开展思想理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论教育和价值引领工作的能力；（5）具有较强的纪律观念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和规矩意识，遵纪守法，为人正直，作风正派，廉洁自律。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1"/>
        <w:rPr>
          <w:rFonts w:hint="eastAsia" w:ascii="方正楷体_GBK" w:hAnsi="方正楷体_GBK" w:eastAsia="方正楷体_GBK" w:cs="方正楷体_GBK"/>
          <w:b/>
          <w:bCs w:val="0"/>
          <w:color w:val="auto"/>
          <w:kern w:val="0"/>
          <w:sz w:val="31"/>
          <w:szCs w:val="31"/>
          <w:highlight w:val="none"/>
          <w:lang w:val="en-US" w:eastAsia="zh-CN" w:bidi="ar"/>
        </w:rPr>
      </w:pPr>
      <w:r>
        <w:rPr>
          <w:rFonts w:hint="eastAsia" w:ascii="方正楷体_GBK" w:hAnsi="方正楷体_GBK" w:eastAsia="方正楷体_GBK" w:cs="方正楷体_GBK"/>
          <w:b/>
          <w:bCs w:val="0"/>
          <w:color w:val="auto"/>
          <w:kern w:val="0"/>
          <w:sz w:val="31"/>
          <w:szCs w:val="31"/>
          <w:highlight w:val="none"/>
          <w:lang w:val="en-US" w:eastAsia="zh-CN" w:bidi="ar"/>
        </w:rPr>
        <w:t xml:space="preserve">（二）选聘岗位及考评要求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val="0"/>
          <w:color w:val="auto"/>
          <w:kern w:val="0"/>
          <w:sz w:val="32"/>
          <w:szCs w:val="32"/>
          <w:highlight w:val="none"/>
          <w:lang w:val="en-US" w:eastAsia="zh-CN" w:bidi="ar"/>
        </w:rPr>
        <w:t>1.兼职第二班主任。</w:t>
      </w:r>
      <w:r>
        <w:rPr>
          <w:rFonts w:hint="eastAsia" w:ascii="方正仿宋_GBK" w:hAnsi="方正仿宋_GBK" w:eastAsia="方正仿宋_GBK" w:cs="方正仿宋_GBK"/>
          <w:color w:val="auto"/>
          <w:kern w:val="0"/>
          <w:sz w:val="32"/>
          <w:szCs w:val="32"/>
          <w:highlight w:val="none"/>
          <w:lang w:val="en-US" w:eastAsia="zh-CN" w:bidi="ar"/>
        </w:rPr>
        <w:t xml:space="preserve">协助我校专职辅导员（班主任）带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color w:val="auto"/>
          <w:highlight w:val="none"/>
        </w:rPr>
      </w:pPr>
      <w:r>
        <w:rPr>
          <w:rFonts w:hint="eastAsia" w:ascii="方正仿宋_GBK" w:hAnsi="方正仿宋_GBK" w:eastAsia="方正仿宋_GBK" w:cs="方正仿宋_GBK"/>
          <w:color w:val="auto"/>
          <w:kern w:val="0"/>
          <w:sz w:val="32"/>
          <w:szCs w:val="32"/>
          <w:highlight w:val="none"/>
          <w:lang w:val="en-US" w:eastAsia="zh-CN" w:bidi="ar"/>
        </w:rPr>
        <w:t>班，履行第二班主任岗位职责；考评按本办法相关要求执行。</w:t>
      </w:r>
      <w:r>
        <w:rPr>
          <w:rFonts w:hint="eastAsia" w:ascii="仿宋" w:hAnsi="仿宋" w:eastAsia="仿宋" w:cs="仿宋"/>
          <w:color w:val="auto"/>
          <w:kern w:val="0"/>
          <w:sz w:val="31"/>
          <w:szCs w:val="31"/>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val="0"/>
          <w:color w:val="auto"/>
          <w:kern w:val="0"/>
          <w:sz w:val="32"/>
          <w:szCs w:val="32"/>
          <w:highlight w:val="none"/>
          <w:lang w:val="en-US" w:eastAsia="zh-CN" w:bidi="ar"/>
        </w:rPr>
        <w:t>2.全职第二班主任。</w:t>
      </w:r>
      <w:r>
        <w:rPr>
          <w:rFonts w:hint="eastAsia" w:ascii="方正仿宋_GBK" w:hAnsi="方正仿宋_GBK" w:eastAsia="方正仿宋_GBK" w:cs="方正仿宋_GBK"/>
          <w:color w:val="auto"/>
          <w:kern w:val="0"/>
          <w:sz w:val="32"/>
          <w:szCs w:val="32"/>
          <w:highlight w:val="none"/>
          <w:lang w:val="en-US" w:eastAsia="zh-CN" w:bidi="ar"/>
        </w:rPr>
        <w:t xml:space="preserve">单独带 35 人以上班级至少 1 个，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履行我校专职辅导员（班主任）岗位职责；考评按我校专职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辅导员（班主任）考核办法执行。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1"/>
        <w:rPr>
          <w:rFonts w:hint="eastAsia" w:ascii="方正楷体_GBK" w:hAnsi="方正楷体_GBK" w:eastAsia="方正楷体_GBK" w:cs="方正楷体_GBK"/>
          <w:b/>
          <w:bCs w:val="0"/>
          <w:color w:val="auto"/>
          <w:kern w:val="0"/>
          <w:sz w:val="31"/>
          <w:szCs w:val="31"/>
          <w:highlight w:val="none"/>
          <w:lang w:val="en-US" w:eastAsia="zh-CN" w:bidi="ar"/>
        </w:rPr>
      </w:pPr>
      <w:r>
        <w:rPr>
          <w:rFonts w:hint="eastAsia" w:ascii="方正楷体_GBK" w:hAnsi="方正楷体_GBK" w:eastAsia="方正楷体_GBK" w:cs="方正楷体_GBK"/>
          <w:b/>
          <w:bCs w:val="0"/>
          <w:color w:val="auto"/>
          <w:kern w:val="0"/>
          <w:sz w:val="31"/>
          <w:szCs w:val="31"/>
          <w:highlight w:val="none"/>
          <w:lang w:val="en-US" w:eastAsia="zh-CN" w:bidi="ar"/>
        </w:rPr>
        <w:t xml:space="preserve">（三）选聘流程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1.每年 9 月或 3月初符合选聘条件的教职员工按要求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填写相关表格，并自行提供所需全部证明材料，向所在二级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学院第二班主任工作小组提出书面申请；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2.二级学院第二班主任工作小组对申报教职员工作资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格认定，举行笔试、面试等相关程序进行选拔，学校第二班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主任工作领导小组审定。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3.学校第二班主任工作领导小组审定后，根据选聘教职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工情况和班级分配情况，结合辅导员基本条件要求和实际岗位需要，确定拟同意选聘人员及所带班级并公告。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b/>
          <w:bCs w:val="0"/>
          <w:color w:val="auto"/>
          <w:kern w:val="0"/>
          <w:sz w:val="32"/>
          <w:szCs w:val="32"/>
          <w:highlight w:val="none"/>
          <w:lang w:val="en-US" w:eastAsia="zh-CN" w:bidi="ar"/>
        </w:rPr>
      </w:pPr>
      <w:r>
        <w:rPr>
          <w:rFonts w:hint="eastAsia" w:ascii="方正楷体_GBK" w:hAnsi="方正楷体_GBK" w:eastAsia="方正楷体_GBK" w:cs="方正楷体_GBK"/>
          <w:b/>
          <w:bCs w:val="0"/>
          <w:color w:val="auto"/>
          <w:kern w:val="0"/>
          <w:sz w:val="32"/>
          <w:szCs w:val="32"/>
          <w:highlight w:val="none"/>
          <w:lang w:val="en-US" w:eastAsia="zh-CN" w:bidi="ar"/>
        </w:rPr>
        <w:t xml:space="preserve">（四）选聘周期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第二班主任（全职、兼职）选拔周期原则为半学年（期）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选聘1次；聘用周期兼职为1年，专职原则上要带学生到毕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业或转段，但不少于1年。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方正黑体_GBK" w:hAnsi="方正黑体_GBK" w:eastAsia="方正黑体_GBK" w:cs="方正黑体_GBK"/>
          <w:color w:val="auto"/>
          <w:sz w:val="32"/>
          <w:szCs w:val="32"/>
          <w:highlight w:val="none"/>
        </w:rPr>
      </w:pPr>
      <w:bookmarkStart w:id="73" w:name="_Toc14105"/>
      <w:bookmarkStart w:id="74" w:name="_Toc8198"/>
      <w:bookmarkStart w:id="75" w:name="_Toc32094"/>
      <w:bookmarkStart w:id="76" w:name="_Toc12229"/>
      <w:bookmarkStart w:id="77" w:name="_Toc10899"/>
      <w:r>
        <w:rPr>
          <w:rFonts w:hint="eastAsia" w:ascii="方正黑体_GBK" w:hAnsi="方正黑体_GBK" w:eastAsia="方正黑体_GBK" w:cs="方正黑体_GBK"/>
          <w:color w:val="auto"/>
          <w:kern w:val="0"/>
          <w:sz w:val="32"/>
          <w:szCs w:val="32"/>
          <w:highlight w:val="none"/>
          <w:lang w:val="en-US" w:eastAsia="zh-CN" w:bidi="ar"/>
        </w:rPr>
        <w:t>四、第二班主任工作职责</w:t>
      </w:r>
      <w:bookmarkEnd w:id="73"/>
      <w:bookmarkEnd w:id="74"/>
      <w:bookmarkEnd w:id="75"/>
      <w:bookmarkEnd w:id="76"/>
      <w:bookmarkEnd w:id="77"/>
      <w:r>
        <w:rPr>
          <w:rFonts w:hint="eastAsia" w:ascii="方正黑体_GBK" w:hAnsi="方正黑体_GBK" w:eastAsia="方正黑体_GBK" w:cs="方正黑体_GBK"/>
          <w:color w:val="auto"/>
          <w:kern w:val="0"/>
          <w:sz w:val="32"/>
          <w:szCs w:val="32"/>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val="0"/>
          <w:color w:val="auto"/>
          <w:kern w:val="0"/>
          <w:sz w:val="32"/>
          <w:szCs w:val="32"/>
          <w:highlight w:val="none"/>
          <w:lang w:val="en-US" w:eastAsia="zh-CN" w:bidi="ar"/>
        </w:rPr>
        <w:t>全职</w:t>
      </w:r>
      <w:r>
        <w:rPr>
          <w:rFonts w:hint="eastAsia" w:ascii="方正仿宋_GBK" w:hAnsi="方正仿宋_GBK" w:eastAsia="方正仿宋_GBK" w:cs="方正仿宋_GBK"/>
          <w:color w:val="auto"/>
          <w:kern w:val="0"/>
          <w:sz w:val="32"/>
          <w:szCs w:val="32"/>
          <w:highlight w:val="none"/>
          <w:lang w:val="en-US" w:eastAsia="zh-CN" w:bidi="ar"/>
        </w:rPr>
        <w:t xml:space="preserve">第二班主任履行我校专职辅导员（班主任）岗位职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责。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color w:val="auto"/>
          <w:highlight w:val="none"/>
        </w:rPr>
      </w:pPr>
      <w:r>
        <w:rPr>
          <w:rFonts w:hint="eastAsia" w:ascii="方正仿宋_GBK" w:hAnsi="方正仿宋_GBK" w:eastAsia="方正仿宋_GBK" w:cs="方正仿宋_GBK"/>
          <w:b/>
          <w:bCs w:val="0"/>
          <w:color w:val="auto"/>
          <w:kern w:val="0"/>
          <w:sz w:val="32"/>
          <w:szCs w:val="32"/>
          <w:highlight w:val="none"/>
          <w:lang w:val="en-US" w:eastAsia="zh-CN" w:bidi="ar"/>
        </w:rPr>
        <w:t>兼职</w:t>
      </w:r>
      <w:r>
        <w:rPr>
          <w:rFonts w:hint="eastAsia" w:ascii="方正仿宋_GBK" w:hAnsi="方正仿宋_GBK" w:eastAsia="方正仿宋_GBK" w:cs="方正仿宋_GBK"/>
          <w:color w:val="auto"/>
          <w:kern w:val="0"/>
          <w:sz w:val="32"/>
          <w:szCs w:val="32"/>
          <w:highlight w:val="none"/>
          <w:lang w:val="en-US" w:eastAsia="zh-CN" w:bidi="ar"/>
        </w:rPr>
        <w:t xml:space="preserve">第二班主任工作职责如下：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（一）协助辅导员（班主任）对学生开展思想理论教育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和价值引领。引导学生深入学习习近平总书记系列重要讲话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精神和治国理政新理念、新思想、新战略，深入开展中国特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色社会主义、“中国梦”宣传教育和社会主义核心价值观教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育，帮助学生不断坚定中国特色社会主义道路自信、理论自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信、制度自信、文化自信，牢固树立正确的世界观、人生观、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价值观。掌握学生思想行为特点及思想政治状况，有针对性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地帮助学生处理好思想认识、价值取向、学习生活、择业交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友等方面的具体问题。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（二）协助辅导员（班主任）开展党团和班级建设。开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展学生骨干的遴选、培养、激励工作，开展学生入党积极分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子培养教育工作，开展学生党员发展和教育管理服务工作，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指导学生党支部和班团组织建设。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（三）协助辅导员（班主任）抓好学风建设。熟悉了解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学生所学专业的基本情况，激发学生学习兴趣，引导学生养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成良好的学习习惯，掌握正确的学习方法。指导学生开展课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外科技学术实践活动，营造浓厚学习氛围。每月单独组织召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开主题班会不少于1次。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（四）协助辅导员（班主任）做好学生日常事务管理。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开展入学教育、毕业生教育及相关管理和服务工作。组织开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展学生军事训练。组织评选各类奖学金、助学金。指导学生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办理助学贷款。组织学生开展勤工俭学活动，做好学生困难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帮扶。为学生提供生活指导，促进学生和谐相处、互帮互助。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每月走访学生宿舍不少于2次。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（五）协助辅导员（班主任）开展心理健康教育与咨询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工作。协助学校心理健康教育机构开展心理健康教育，对学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生心理问题进行初步排查和疏导，组织开展心理健康知识普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及宣传活动，培育学生理性平和、乐观向上的健康心态。每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月至少与4名学生进行谈心谈话并有工作记录。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（六）协助辅导员（班主任）做好网络思想政治教育。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运用新媒体新技术，推动思想政治工作传统优势与信息技术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高度融合。构建网络思想政治教育重要阵地，积极传播先进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文化。加强学生网络素养教育，积极培养校园好网民，引导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学生创作网络文化作品，弘扬主旋律，传播正能量。创新工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作路径，加强与学生的网上互动交流，运用网络新媒体对学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生开展思想引领、学习指导、生活辅导、心理咨询等。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（七）协助辅导员（班主任）应对校园危机事件。组织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开展基本安全教育。参与学校、院（系）危机事件工作预案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制定和执行。对校园危机事件进行初步处理，稳定局面控制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事态发展，及时掌握危机事件信息并按程序上报。参与危机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事件后期应对及总结研究分析。每月与至少4名学生家长进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行家校联系。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（八）协助辅导员（班主任）进行职业规划与就业创业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指导。为学生提供科学的职业生涯规划和就业指导以及相关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服务，帮助学生树立正确的就业观念，引导学生到基层、到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西部、到祖国最需要的地方建功立业。每月进行跟班听课不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少于2节次。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（九）主动开展理论和实践研究。努力学习思想政治教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育的基本理论和相关学科知识，参加相关学科领域学术交流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活动，参与校内外思想政治教育课题或项目研究。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0"/>
        <w:rPr>
          <w:rFonts w:hint="eastAsia" w:ascii="方正黑体_GBK" w:hAnsi="方正黑体_GBK" w:eastAsia="方正黑体_GBK" w:cs="方正黑体_GBK"/>
          <w:b/>
          <w:bCs/>
          <w:color w:val="auto"/>
          <w:highlight w:val="none"/>
        </w:rPr>
      </w:pPr>
      <w:bookmarkStart w:id="78" w:name="_Toc3381"/>
      <w:bookmarkStart w:id="79" w:name="_Toc8364"/>
      <w:bookmarkStart w:id="80" w:name="_Toc7353"/>
      <w:bookmarkStart w:id="81" w:name="_Toc4386"/>
      <w:bookmarkStart w:id="82" w:name="_Toc17159"/>
      <w:r>
        <w:rPr>
          <w:rFonts w:hint="eastAsia" w:ascii="方正黑体_GBK" w:hAnsi="方正黑体_GBK" w:eastAsia="方正黑体_GBK" w:cs="方正黑体_GBK"/>
          <w:b/>
          <w:bCs/>
          <w:color w:val="auto"/>
          <w:kern w:val="0"/>
          <w:sz w:val="31"/>
          <w:szCs w:val="31"/>
          <w:highlight w:val="none"/>
          <w:lang w:val="en-US" w:eastAsia="zh-CN" w:bidi="ar"/>
        </w:rPr>
        <w:t>五、第二班主任考评管理</w:t>
      </w:r>
      <w:bookmarkEnd w:id="78"/>
      <w:bookmarkEnd w:id="79"/>
      <w:bookmarkEnd w:id="80"/>
      <w:bookmarkEnd w:id="81"/>
      <w:bookmarkEnd w:id="82"/>
      <w:r>
        <w:rPr>
          <w:rFonts w:hint="eastAsia" w:ascii="方正黑体_GBK" w:hAnsi="方正黑体_GBK" w:eastAsia="方正黑体_GBK" w:cs="方正黑体_GBK"/>
          <w:b/>
          <w:bCs/>
          <w:color w:val="auto"/>
          <w:kern w:val="0"/>
          <w:sz w:val="31"/>
          <w:szCs w:val="31"/>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b/>
          <w:bCs w:val="0"/>
          <w:color w:val="auto"/>
          <w:kern w:val="0"/>
          <w:sz w:val="32"/>
          <w:szCs w:val="32"/>
          <w:highlight w:val="none"/>
          <w:lang w:val="en-US" w:eastAsia="zh-CN" w:bidi="ar"/>
        </w:rPr>
      </w:pPr>
      <w:r>
        <w:rPr>
          <w:rFonts w:hint="eastAsia" w:ascii="方正楷体_GBK" w:hAnsi="方正楷体_GBK" w:eastAsia="方正楷体_GBK" w:cs="方正楷体_GBK"/>
          <w:b/>
          <w:bCs w:val="0"/>
          <w:color w:val="auto"/>
          <w:kern w:val="0"/>
          <w:sz w:val="32"/>
          <w:szCs w:val="32"/>
          <w:highlight w:val="none"/>
          <w:lang w:val="en-US" w:eastAsia="zh-CN" w:bidi="ar"/>
        </w:rPr>
        <w:t xml:space="preserve">（一）工作考评原则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坚持公平、公正、公开的原则；坚持过程与结果相结合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的原则；坚持工作态度与工作实效相结合的原则；坚持考核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color w:val="auto"/>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结果与职称评定相结合的原则。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b/>
          <w:bCs w:val="0"/>
          <w:color w:val="auto"/>
          <w:kern w:val="0"/>
          <w:sz w:val="32"/>
          <w:szCs w:val="32"/>
          <w:highlight w:val="none"/>
          <w:lang w:val="en-US" w:eastAsia="zh-CN" w:bidi="ar"/>
        </w:rPr>
      </w:pPr>
      <w:r>
        <w:rPr>
          <w:rFonts w:hint="eastAsia" w:ascii="方正楷体_GBK" w:hAnsi="方正楷体_GBK" w:eastAsia="方正楷体_GBK" w:cs="方正楷体_GBK"/>
          <w:b/>
          <w:bCs w:val="0"/>
          <w:color w:val="auto"/>
          <w:kern w:val="0"/>
          <w:sz w:val="32"/>
          <w:szCs w:val="32"/>
          <w:highlight w:val="none"/>
          <w:lang w:val="en-US" w:eastAsia="zh-CN" w:bidi="ar"/>
        </w:rPr>
        <w:t xml:space="preserve">（二）考评程序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学校第二班主任工作领导小组负责全校第二班主任工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作考评，并指导各二级学院考评小组工作。全职第二班主任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工作考评程序与专职辅导员（班主任）月考评程序一致。兼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职第二班主任实行月考核制度，考评工作具体程序如下：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1.学习动员。二级学院负责组织本学院的第二班主任，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认真学习学校制定的《第二班主任工作管理及考评办法（试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行）》和学校关于学生管理工作等相关文件精神，对本学院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第二班主任考评工作进行安排。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2.专职辅导员（班主任）评分。专职辅导员（班主任）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根据所带班第二班主任的工作实际情况和工作痕迹支撑材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料，按照考评指标评分，并在工作痕迹支撑材料上签字给予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确认。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3.二级学院学生工作负责人评分。二级学院学生工作负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责人综合第二班主任的工作情况和表现给予评分。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4.学生工作处评分。学生工作处根据第二班主任工作实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际，按照考评指标给予评分。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5.人事部门评分。学校人力资源处根据职称评定办法的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相关规定，综合第二班主任工作实际给予评分，并提出最终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考核意见报学校考核领导小组审定。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6.学校考核领导小组审定。校级考评领导小组负责对第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二班主任工作考评结果及意见进行审定，并公布考评结果。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b/>
          <w:bCs w:val="0"/>
          <w:color w:val="auto"/>
          <w:sz w:val="32"/>
          <w:szCs w:val="32"/>
          <w:highlight w:val="none"/>
        </w:rPr>
      </w:pPr>
      <w:r>
        <w:rPr>
          <w:rFonts w:hint="eastAsia" w:ascii="方正楷体_GBK" w:hAnsi="方正楷体_GBK" w:eastAsia="方正楷体_GBK" w:cs="方正楷体_GBK"/>
          <w:b/>
          <w:bCs w:val="0"/>
          <w:color w:val="auto"/>
          <w:kern w:val="0"/>
          <w:sz w:val="32"/>
          <w:szCs w:val="32"/>
          <w:highlight w:val="none"/>
          <w:lang w:val="en-US" w:eastAsia="zh-CN" w:bidi="ar"/>
        </w:rPr>
        <w:t xml:space="preserve">（三）考评比例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1.兼职第二班主任考核得分=带班专职辅导员（班主任）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评分*40%+二级学院学生工作负责人评分*40%+学生工作处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评分*10%+学校人事部门评分*10%。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2.全职第二班主任工作考评分数比例与专职辅导员（班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主任）月考核分数比例一致。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b/>
          <w:color w:val="auto"/>
          <w:kern w:val="0"/>
          <w:sz w:val="32"/>
          <w:szCs w:val="32"/>
          <w:highlight w:val="none"/>
          <w:lang w:val="en-US" w:eastAsia="zh-CN" w:bidi="ar"/>
        </w:rPr>
        <w:t xml:space="preserve">（四）考评等级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1.兼职第二班主任考评等级为：优秀（90 分及以上）；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良好（80 分及以上）；合格（60 分及其以上）；不合格（60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分以下）；一票否决。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2.全职第二班主任考评等级与专职辅导员（班主任）考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color w:val="auto"/>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核等级一致。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楷体_GBK" w:hAnsi="方正楷体_GBK" w:eastAsia="方正楷体_GBK" w:cs="方正楷体_GBK"/>
          <w:b/>
          <w:color w:val="auto"/>
          <w:kern w:val="0"/>
          <w:sz w:val="32"/>
          <w:szCs w:val="32"/>
          <w:highlight w:val="none"/>
          <w:lang w:val="en-US" w:eastAsia="zh-CN" w:bidi="ar"/>
        </w:rPr>
      </w:pPr>
      <w:r>
        <w:rPr>
          <w:rFonts w:hint="eastAsia" w:ascii="方正楷体_GBK" w:hAnsi="方正楷体_GBK" w:eastAsia="方正楷体_GBK" w:cs="方正楷体_GBK"/>
          <w:b/>
          <w:color w:val="auto"/>
          <w:kern w:val="0"/>
          <w:sz w:val="32"/>
          <w:szCs w:val="32"/>
          <w:highlight w:val="none"/>
          <w:lang w:val="en-US" w:eastAsia="zh-CN" w:bidi="ar"/>
        </w:rPr>
        <w:t xml:space="preserve">（五）考评结果的运用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考核评价应由学工部门牵头，人力资源处、二级学院、 原班级辅导员（班主任）和学生共同参与。考核结果与辅导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员的职务聘任、奖惩、晋级、职称晋升等挂钩。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全职第二班主任带班费用的发放，无基本学生人数工作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量要求，根据所带学生发放超人数津贴，每月根据考核结果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随工资发放，兼职第二班主任无工作津贴。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1.涉及职称评定的，以本办法规定的考评结果为参考依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2.涉及绩效工资发放的，以专职辅导员（班主任）月考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核办法中的考核结果运用为参考依据。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1"/>
        <w:rPr>
          <w:color w:val="auto"/>
          <w:highlight w:val="none"/>
        </w:rPr>
      </w:pPr>
      <w:r>
        <w:rPr>
          <w:rFonts w:hint="eastAsia" w:ascii="楷体" w:hAnsi="楷体" w:eastAsia="楷体" w:cs="楷体"/>
          <w:b/>
          <w:color w:val="auto"/>
          <w:kern w:val="0"/>
          <w:sz w:val="31"/>
          <w:szCs w:val="31"/>
          <w:highlight w:val="none"/>
          <w:lang w:val="en-US" w:eastAsia="zh-CN" w:bidi="ar"/>
        </w:rPr>
        <w:t xml:space="preserve">（六）考评注意事项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1.当月考核结果为“不合格”等级的第二班主任，由所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带班级所属的二级学院学生工作负责人对其进行诫勉谈话。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2.每学期考核结果为累计 2 次为“不合格”等级的第二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班主任，学校人事部门负责人对其进行诫勉谈话并要求其以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书面形式做出工作整改方案。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3.对因玩忽职守、失职渎职造成严重后果的，取消其第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二班主任资格，并追究相关责任。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4.如出现工作痕迹及相关材料造假，即视为考评等级一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票否决，并进行通报。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5.第二班主任应主动积极开展学校海外课堂“微留学”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“专升硕”等工作，如个人完成该项工作的，即视为本学期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考评等级为“良好”。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outlineLvl w:val="0"/>
        <w:rPr>
          <w:color w:val="auto"/>
          <w:highlight w:val="none"/>
        </w:rPr>
      </w:pPr>
      <w:bookmarkStart w:id="83" w:name="_Toc14397"/>
      <w:bookmarkStart w:id="84" w:name="_Toc26034"/>
      <w:bookmarkStart w:id="85" w:name="_Toc32263"/>
      <w:bookmarkStart w:id="86" w:name="_Toc23076"/>
      <w:bookmarkStart w:id="87" w:name="_Toc9639"/>
      <w:r>
        <w:rPr>
          <w:rFonts w:hint="eastAsia" w:ascii="楷体" w:hAnsi="楷体" w:eastAsia="楷体" w:cs="楷体"/>
          <w:b/>
          <w:color w:val="auto"/>
          <w:kern w:val="0"/>
          <w:sz w:val="31"/>
          <w:szCs w:val="31"/>
          <w:highlight w:val="none"/>
          <w:lang w:val="en-US" w:eastAsia="zh-CN" w:bidi="ar"/>
        </w:rPr>
        <w:t>六、其他</w:t>
      </w:r>
      <w:bookmarkEnd w:id="83"/>
      <w:bookmarkEnd w:id="84"/>
      <w:bookmarkEnd w:id="85"/>
      <w:bookmarkEnd w:id="86"/>
      <w:bookmarkEnd w:id="87"/>
      <w:r>
        <w:rPr>
          <w:rFonts w:hint="eastAsia" w:ascii="黑体" w:hAnsi="宋体" w:eastAsia="黑体" w:cs="黑体"/>
          <w:color w:val="auto"/>
          <w:kern w:val="0"/>
          <w:sz w:val="31"/>
          <w:szCs w:val="31"/>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本办法适用于从事我校第二班主任的人员。由学生工作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处、人力资源处负责解释。自发布之日起执行，原《云南城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市建设职业学院第二班主任管理规定》同时废止。 </w:t>
      </w:r>
    </w:p>
    <w:p>
      <w:pPr>
        <w:keepNext w:val="0"/>
        <w:keepLines w:val="0"/>
        <w:pageBreakBefore w:val="0"/>
        <w:widowControl/>
        <w:kinsoku/>
        <w:wordWrap/>
        <w:overflowPunct/>
        <w:topLinePunct w:val="0"/>
        <w:autoSpaceDE/>
        <w:autoSpaceDN/>
        <w:bidi w:val="0"/>
        <w:adjustRightInd w:val="0"/>
        <w:snapToGrid w:val="0"/>
        <w:spacing w:after="80" w:line="560" w:lineRule="exact"/>
        <w:jc w:val="center"/>
        <w:textAlignment w:val="auto"/>
        <w:rPr>
          <w:rFonts w:hint="eastAsia" w:ascii="方正小标宋_GBK" w:hAnsi="方正小标宋_GBK" w:eastAsia="方正小标宋_GBK" w:cs="方正小标宋_GBK"/>
          <w:b/>
          <w:color w:val="auto"/>
          <w:sz w:val="32"/>
          <w:szCs w:val="32"/>
          <w:highlight w:val="none"/>
          <w:lang w:val="en-US" w:eastAsia="zh-CN"/>
        </w:rPr>
      </w:pPr>
    </w:p>
    <w:p>
      <w:pPr>
        <w:keepNext w:val="0"/>
        <w:keepLines w:val="0"/>
        <w:pageBreakBefore w:val="0"/>
        <w:kinsoku/>
        <w:wordWrap/>
        <w:overflowPunct/>
        <w:topLinePunct w:val="0"/>
        <w:autoSpaceDE/>
        <w:autoSpaceDN/>
        <w:bidi w:val="0"/>
        <w:spacing w:before="0" w:after="0" w:line="560" w:lineRule="exact"/>
        <w:ind w:left="0" w:right="0"/>
        <w:jc w:val="center"/>
        <w:textAlignment w:val="auto"/>
        <w:outlineLvl w:val="0"/>
        <w:rPr>
          <w:rFonts w:hint="eastAsia" w:ascii="方正小标宋_GBK" w:hAnsi="方正小标宋_GBK" w:eastAsia="方正小标宋_GBK" w:cs="方正小标宋_GBK"/>
          <w:b/>
          <w:bCs/>
          <w:color w:val="auto"/>
          <w:kern w:val="2"/>
          <w:sz w:val="36"/>
          <w:szCs w:val="36"/>
          <w:highlight w:val="none"/>
          <w:lang w:val="en-US" w:eastAsia="zh-CN" w:bidi="ar-SA"/>
        </w:rPr>
      </w:pPr>
      <w:bookmarkStart w:id="88" w:name="_Toc1458"/>
      <w:r>
        <w:rPr>
          <w:rFonts w:hint="eastAsia" w:ascii="方正小标宋_GBK" w:hAnsi="方正小标宋_GBK" w:eastAsia="方正小标宋_GBK" w:cs="方正小标宋_GBK"/>
          <w:b/>
          <w:bCs/>
          <w:color w:val="auto"/>
          <w:kern w:val="2"/>
          <w:sz w:val="36"/>
          <w:szCs w:val="36"/>
          <w:highlight w:val="none"/>
          <w:lang w:val="en-US" w:eastAsia="zh-CN" w:bidi="ar-SA"/>
        </w:rPr>
        <w:t>云南城市建设职业学院</w:t>
      </w:r>
      <w:r>
        <w:rPr>
          <w:rFonts w:hint="eastAsia" w:ascii="方正小标宋_GBK" w:hAnsi="方正小标宋_GBK" w:eastAsia="方正小标宋_GBK" w:cs="方正小标宋_GBK"/>
          <w:b/>
          <w:bCs/>
          <w:color w:val="auto"/>
          <w:kern w:val="2"/>
          <w:sz w:val="36"/>
          <w:szCs w:val="36"/>
          <w:highlight w:val="none"/>
          <w:lang w:val="en-US" w:bidi="ar-SA"/>
        </w:rPr>
        <w:t>教官</w:t>
      </w:r>
      <w:r>
        <w:rPr>
          <w:rFonts w:hint="eastAsia" w:ascii="方正小标宋_GBK" w:hAnsi="方正小标宋_GBK" w:eastAsia="方正小标宋_GBK" w:cs="方正小标宋_GBK"/>
          <w:b/>
          <w:bCs/>
          <w:color w:val="auto"/>
          <w:kern w:val="2"/>
          <w:sz w:val="36"/>
          <w:szCs w:val="36"/>
          <w:highlight w:val="none"/>
          <w:lang w:val="en-US" w:eastAsia="zh-CN" w:bidi="ar-SA"/>
        </w:rPr>
        <w:t>月考核办法（试行）</w:t>
      </w:r>
      <w:bookmarkEnd w:id="88"/>
    </w:p>
    <w:p>
      <w:pPr>
        <w:keepNext w:val="0"/>
        <w:keepLines w:val="0"/>
        <w:pageBreakBefore w:val="0"/>
        <w:widowControl/>
        <w:kinsoku/>
        <w:wordWrap/>
        <w:overflowPunct/>
        <w:topLinePunct w:val="0"/>
        <w:autoSpaceDE/>
        <w:autoSpaceDN/>
        <w:bidi w:val="0"/>
        <w:adjustRightInd w:val="0"/>
        <w:snapToGrid w:val="0"/>
        <w:spacing w:after="80" w:line="560" w:lineRule="exact"/>
        <w:ind w:firstLine="640" w:firstLineChars="200"/>
        <w:jc w:val="center"/>
        <w:textAlignment w:val="auto"/>
        <w:rPr>
          <w:rFonts w:hint="eastAsia" w:ascii="方正黑体_GBK" w:hAnsi="方正黑体_GBK" w:eastAsia="方正黑体_GBK" w:cs="方正黑体_GBK"/>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lang w:val="en-US" w:eastAsia="zh-CN"/>
        </w:rPr>
        <w:t xml:space="preserve">第一章  </w:t>
      </w:r>
      <w:r>
        <w:rPr>
          <w:rFonts w:hint="eastAsia" w:ascii="方正黑体_GBK" w:hAnsi="方正黑体_GBK" w:eastAsia="方正黑体_GBK" w:cs="方正黑体_GBK"/>
          <w:b/>
          <w:bCs/>
          <w:color w:val="auto"/>
          <w:sz w:val="32"/>
          <w:szCs w:val="32"/>
          <w:highlight w:val="none"/>
        </w:rPr>
        <w:t>总则</w:t>
      </w: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both"/>
        <w:textAlignment w:val="auto"/>
        <w:rPr>
          <w:rFonts w:hint="eastAsia" w:ascii="方正黑体_GBK" w:hAnsi="方正黑体_GBK" w:eastAsia="方正黑体_GBK" w:cs="方正黑体_GBK"/>
          <w:b/>
          <w:bCs/>
          <w:color w:val="auto"/>
          <w:sz w:val="32"/>
          <w:szCs w:val="32"/>
          <w:highlight w:val="none"/>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第一条  </w:t>
      </w:r>
      <w:r>
        <w:rPr>
          <w:rFonts w:hint="eastAsia" w:ascii="方正仿宋_GBK" w:hAnsi="方正仿宋_GBK" w:eastAsia="方正仿宋_GBK" w:cs="方正仿宋_GBK"/>
          <w:color w:val="auto"/>
          <w:kern w:val="0"/>
          <w:sz w:val="32"/>
          <w:szCs w:val="32"/>
          <w:highlight w:val="none"/>
          <w:lang w:val="en-US" w:eastAsia="zh-CN" w:bidi="ar"/>
        </w:rPr>
        <w:t>为切实加强教官队伍建设和管理，激励和促进学校教官不断提高政治素质和业务水平，认真履行岗位职责，建立良性的激励机制，根据学校实际，制定本办法。</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第二条  </w:t>
      </w:r>
      <w:r>
        <w:rPr>
          <w:rFonts w:hint="eastAsia" w:ascii="方正仿宋_GBK" w:hAnsi="方正仿宋_GBK" w:eastAsia="方正仿宋_GBK" w:cs="方正仿宋_GBK"/>
          <w:color w:val="auto"/>
          <w:kern w:val="0"/>
          <w:sz w:val="32"/>
          <w:szCs w:val="32"/>
          <w:highlight w:val="none"/>
          <w:lang w:val="en-US" w:eastAsia="zh-CN" w:bidi="ar"/>
        </w:rPr>
        <w:t>教官在校期间负责做好学生的德育工作，培养学生良好的行为习惯，处理学生违纪行为。</w:t>
      </w:r>
      <w:r>
        <w:rPr>
          <w:rFonts w:hint="default" w:ascii="方正仿宋_GBK" w:hAnsi="方正仿宋_GBK" w:eastAsia="方正仿宋_GBK" w:cs="方正仿宋_GBK"/>
          <w:color w:val="auto"/>
          <w:kern w:val="0"/>
          <w:sz w:val="32"/>
          <w:szCs w:val="32"/>
          <w:highlight w:val="none"/>
          <w:lang w:val="en-US" w:eastAsia="zh-CN" w:bidi="ar"/>
        </w:rPr>
        <w:t>负责学生日常校园文明督导</w:t>
      </w:r>
      <w:r>
        <w:rPr>
          <w:rFonts w:hint="eastAsia" w:ascii="方正仿宋_GBK" w:hAnsi="方正仿宋_GBK" w:eastAsia="方正仿宋_GBK" w:cs="方正仿宋_GBK"/>
          <w:color w:val="auto"/>
          <w:kern w:val="0"/>
          <w:sz w:val="32"/>
          <w:szCs w:val="32"/>
          <w:highlight w:val="none"/>
          <w:lang w:val="en-US" w:eastAsia="zh-CN" w:bidi="ar"/>
        </w:rPr>
        <w:t>、</w:t>
      </w:r>
      <w:r>
        <w:rPr>
          <w:rFonts w:hint="default" w:ascii="方正仿宋_GBK" w:hAnsi="方正仿宋_GBK" w:eastAsia="方正仿宋_GBK" w:cs="方正仿宋_GBK"/>
          <w:color w:val="auto"/>
          <w:kern w:val="0"/>
          <w:sz w:val="32"/>
          <w:szCs w:val="32"/>
          <w:highlight w:val="none"/>
          <w:lang w:val="en-US" w:eastAsia="zh-CN" w:bidi="ar"/>
        </w:rPr>
        <w:t>早中晚吹哨督学</w:t>
      </w:r>
      <w:r>
        <w:rPr>
          <w:rFonts w:hint="eastAsia" w:ascii="方正仿宋_GBK" w:hAnsi="方正仿宋_GBK" w:eastAsia="方正仿宋_GBK" w:cs="方正仿宋_GBK"/>
          <w:color w:val="auto"/>
          <w:kern w:val="0"/>
          <w:sz w:val="32"/>
          <w:szCs w:val="32"/>
          <w:highlight w:val="none"/>
          <w:lang w:val="en-US" w:eastAsia="zh-CN" w:bidi="ar"/>
        </w:rPr>
        <w:t>、</w:t>
      </w:r>
      <w:r>
        <w:rPr>
          <w:rFonts w:hint="default" w:ascii="方正仿宋_GBK" w:hAnsi="方正仿宋_GBK" w:eastAsia="方正仿宋_GBK" w:cs="方正仿宋_GBK"/>
          <w:color w:val="auto"/>
          <w:kern w:val="0"/>
          <w:sz w:val="32"/>
          <w:szCs w:val="32"/>
          <w:highlight w:val="none"/>
          <w:lang w:val="en-US" w:eastAsia="zh-CN" w:bidi="ar"/>
        </w:rPr>
        <w:t>校园控烟</w:t>
      </w:r>
      <w:r>
        <w:rPr>
          <w:rFonts w:hint="eastAsia" w:ascii="方正仿宋_GBK" w:hAnsi="方正仿宋_GBK" w:eastAsia="方正仿宋_GBK" w:cs="方正仿宋_GBK"/>
          <w:color w:val="auto"/>
          <w:kern w:val="0"/>
          <w:sz w:val="32"/>
          <w:szCs w:val="32"/>
          <w:highlight w:val="none"/>
          <w:lang w:val="en-US" w:eastAsia="zh-CN" w:bidi="ar"/>
        </w:rPr>
        <w:t>、</w:t>
      </w:r>
      <w:r>
        <w:rPr>
          <w:rFonts w:hint="default" w:ascii="方正仿宋_GBK" w:hAnsi="方正仿宋_GBK" w:eastAsia="方正仿宋_GBK" w:cs="方正仿宋_GBK"/>
          <w:color w:val="auto"/>
          <w:kern w:val="0"/>
          <w:sz w:val="32"/>
          <w:szCs w:val="32"/>
          <w:highlight w:val="none"/>
          <w:lang w:val="en-US" w:eastAsia="zh-CN" w:bidi="ar"/>
        </w:rPr>
        <w:t>学生宿舍区域秩序维护</w:t>
      </w:r>
      <w:r>
        <w:rPr>
          <w:rFonts w:hint="eastAsia" w:ascii="方正仿宋_GBK" w:hAnsi="方正仿宋_GBK" w:eastAsia="方正仿宋_GBK" w:cs="方正仿宋_GBK"/>
          <w:color w:val="auto"/>
          <w:kern w:val="0"/>
          <w:sz w:val="32"/>
          <w:szCs w:val="32"/>
          <w:highlight w:val="none"/>
          <w:lang w:val="en-US" w:eastAsia="zh-CN" w:bidi="ar"/>
        </w:rPr>
        <w:t>等工作。</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第三条  </w:t>
      </w:r>
      <w:r>
        <w:rPr>
          <w:rFonts w:hint="eastAsia" w:ascii="方正仿宋_GBK" w:hAnsi="方正仿宋_GBK" w:eastAsia="方正仿宋_GBK" w:cs="方正仿宋_GBK"/>
          <w:color w:val="auto"/>
          <w:kern w:val="0"/>
          <w:sz w:val="32"/>
          <w:szCs w:val="32"/>
          <w:highlight w:val="none"/>
          <w:lang w:val="en-US" w:eastAsia="zh-CN" w:bidi="ar"/>
        </w:rPr>
        <w:t>本办法适用于全校教官。</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0" w:firstLineChars="200"/>
        <w:jc w:val="left"/>
        <w:textAlignment w:val="auto"/>
        <w:rPr>
          <w:rFonts w:hint="eastAsia" w:ascii="方正仿宋_GBK" w:hAnsi="方正仿宋_GBK" w:eastAsia="方正仿宋_GBK" w:cs="方正仿宋_GBK"/>
          <w:color w:val="auto"/>
          <w:kern w:val="0"/>
          <w:sz w:val="31"/>
          <w:szCs w:val="31"/>
          <w:highlight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第二章  组织实施</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left"/>
        <w:textAlignment w:val="auto"/>
        <w:rPr>
          <w:rFonts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第四条  </w:t>
      </w:r>
      <w:r>
        <w:rPr>
          <w:rFonts w:hint="eastAsia" w:ascii="方正仿宋_GBK" w:hAnsi="方正仿宋_GBK" w:eastAsia="方正仿宋_GBK" w:cs="方正仿宋_GBK"/>
          <w:color w:val="auto"/>
          <w:kern w:val="0"/>
          <w:sz w:val="32"/>
          <w:szCs w:val="32"/>
          <w:highlight w:val="none"/>
          <w:lang w:val="en-US" w:eastAsia="zh-CN" w:bidi="ar"/>
        </w:rPr>
        <w:t xml:space="preserve">学校成立教官月考核工作领导小组。由分管学生工作校领导任组长，学生工作处、人力资源处、保卫处负责人任成员，全面负责教官月考核工作的组织协调、结果审定与争议处理。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1"/>
          <w:szCs w:val="31"/>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第五条  </w:t>
      </w:r>
      <w:r>
        <w:rPr>
          <w:rFonts w:hint="eastAsia" w:ascii="方正仿宋_GBK" w:hAnsi="方正仿宋_GBK" w:eastAsia="方正仿宋_GBK" w:cs="方正仿宋_GBK"/>
          <w:color w:val="auto"/>
          <w:kern w:val="0"/>
          <w:sz w:val="32"/>
          <w:szCs w:val="32"/>
          <w:highlight w:val="none"/>
          <w:lang w:val="en-US" w:eastAsia="zh-CN" w:bidi="ar"/>
        </w:rPr>
        <w:t>教官月考核工作主要分为个人述职（15%）、教官互评（15%）、班主任评议（占20%）、保卫处评议（占 20%）、学生工作处评议（30%）五个部分。</w:t>
      </w:r>
      <w:r>
        <w:rPr>
          <w:rFonts w:hint="eastAsia" w:ascii="方正仿宋_GBK" w:hAnsi="方正仿宋_GBK" w:eastAsia="方正仿宋_GBK" w:cs="方正仿宋_GBK"/>
          <w:color w:val="auto"/>
          <w:kern w:val="0"/>
          <w:sz w:val="31"/>
          <w:szCs w:val="31"/>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第六条  </w:t>
      </w:r>
      <w:r>
        <w:rPr>
          <w:rFonts w:hint="eastAsia" w:ascii="方正仿宋_GBK" w:hAnsi="方正仿宋_GBK" w:eastAsia="方正仿宋_GBK" w:cs="方正仿宋_GBK"/>
          <w:color w:val="auto"/>
          <w:kern w:val="0"/>
          <w:sz w:val="32"/>
          <w:szCs w:val="32"/>
          <w:highlight w:val="none"/>
          <w:lang w:val="en-US" w:eastAsia="zh-CN" w:bidi="ar"/>
        </w:rPr>
        <w:t>月考核工作遵循过程与结果相结合的原则，既考察工作过程中的努力程度，也考察工作中实际取得的阶段性结果及最终效果。坚持定量考核和定性考核相结合、自我评价与组织考核相结合的原则，考核工作力求公开、公正、 公平，维护考评结果的严肃性。</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0" w:firstLineChars="200"/>
        <w:jc w:val="left"/>
        <w:textAlignment w:val="auto"/>
        <w:rPr>
          <w:rFonts w:hint="eastAsia" w:ascii="方正仿宋_GBK" w:hAnsi="方正仿宋_GBK" w:eastAsia="方正仿宋_GBK" w:cs="方正仿宋_GBK"/>
          <w:color w:val="auto"/>
          <w:kern w:val="0"/>
          <w:sz w:val="31"/>
          <w:szCs w:val="31"/>
          <w:highlight w:val="none"/>
          <w:lang w:val="en-US" w:eastAsia="zh-CN" w:bidi="ar"/>
        </w:rPr>
      </w:pPr>
      <w:r>
        <w:rPr>
          <w:rFonts w:hint="eastAsia" w:ascii="方正仿宋_GBK" w:hAnsi="方正仿宋_GBK" w:eastAsia="方正仿宋_GBK" w:cs="方正仿宋_GBK"/>
          <w:color w:val="auto"/>
          <w:kern w:val="0"/>
          <w:sz w:val="31"/>
          <w:szCs w:val="31"/>
          <w:highlight w:val="none"/>
          <w:lang w:val="en-US" w:eastAsia="zh-CN" w:bidi="ar"/>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第三章  考核内容及程序</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both"/>
        <w:textAlignment w:val="auto"/>
        <w:rPr>
          <w:rFonts w:hint="eastAsia"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第七条  </w:t>
      </w:r>
      <w:r>
        <w:rPr>
          <w:rFonts w:hint="eastAsia" w:ascii="方正仿宋_GBK" w:hAnsi="方正仿宋_GBK" w:eastAsia="方正仿宋_GBK" w:cs="方正仿宋_GBK"/>
          <w:color w:val="auto"/>
          <w:kern w:val="0"/>
          <w:sz w:val="32"/>
          <w:szCs w:val="32"/>
          <w:highlight w:val="none"/>
          <w:lang w:val="en-US" w:eastAsia="zh-CN" w:bidi="ar"/>
        </w:rPr>
        <w:t xml:space="preserve">教官月度考核主要通过考核职业态度、工作过程、工作效果等量化数据，综合考评教官的岗位意识、敬业精神、制度意识、纪律作风、师德师风、工作能力等内容。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第八条  </w:t>
      </w:r>
      <w:r>
        <w:rPr>
          <w:rFonts w:hint="eastAsia" w:ascii="方正仿宋_GBK" w:hAnsi="方正仿宋_GBK" w:eastAsia="方正仿宋_GBK" w:cs="方正仿宋_GBK"/>
          <w:color w:val="auto"/>
          <w:kern w:val="0"/>
          <w:sz w:val="32"/>
          <w:szCs w:val="32"/>
          <w:highlight w:val="none"/>
          <w:lang w:val="en-US" w:eastAsia="zh-CN" w:bidi="ar"/>
        </w:rPr>
        <w:t xml:space="preserve">根据教官实际工作开展情况，教官于每月月底前完成各自考核得分，并将保卫处及学生工作处负责人审核签字的量化考核材料（电子版和纸质版各 1 份）交至学生工作处。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0" w:firstLineChars="200"/>
        <w:jc w:val="center"/>
        <w:textAlignment w:val="auto"/>
        <w:rPr>
          <w:rFonts w:hint="eastAsia" w:ascii="方正仿宋_GBK" w:hAnsi="方正仿宋_GBK" w:eastAsia="方正仿宋_GBK" w:cs="方正仿宋_GBK"/>
          <w:color w:val="auto"/>
          <w:kern w:val="0"/>
          <w:sz w:val="31"/>
          <w:szCs w:val="31"/>
          <w:highlight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第四章  考核标准</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left"/>
        <w:textAlignment w:val="auto"/>
        <w:rPr>
          <w:rFonts w:hint="eastAsia"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第九条  </w:t>
      </w:r>
      <w:r>
        <w:rPr>
          <w:rFonts w:hint="eastAsia" w:ascii="方正仿宋_GBK" w:hAnsi="方正仿宋_GBK" w:eastAsia="方正仿宋_GBK" w:cs="方正仿宋_GBK"/>
          <w:color w:val="auto"/>
          <w:kern w:val="0"/>
          <w:sz w:val="32"/>
          <w:szCs w:val="32"/>
          <w:highlight w:val="none"/>
          <w:lang w:val="en-US" w:eastAsia="zh-CN" w:bidi="ar"/>
        </w:rPr>
        <w:t xml:space="preserve">考核分为“优秀”、“良好”、“合格”、“不合格”四个等级及“一票否决”。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（一）“优秀”等级。“优秀”等级按考核最后得分情况 由高到低确定，“优秀”名额为教官总数的 15%。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（二）“良好”等级。“良好”等级按考核最后得分情况 由高到低确定，“优秀”名额为教官总数的 30%。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（三）“合格”等级。“合格”等级按考核最后得分情况 由高到低确定，“合格”名额为教官总数的 40%。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 xml:space="preserve">（四）“不合格”等级。“不合格”按考核最后得分情况 由低到高确定，“不合格”名额为教官总数的 15%。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color w:val="auto"/>
          <w:sz w:val="32"/>
          <w:szCs w:val="32"/>
          <w:highlight w:val="none"/>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第十二条  </w:t>
      </w:r>
      <w:r>
        <w:rPr>
          <w:rFonts w:hint="eastAsia" w:ascii="方正仿宋_GBK" w:hAnsi="方正仿宋_GBK" w:eastAsia="方正仿宋_GBK" w:cs="方正仿宋_GBK"/>
          <w:color w:val="auto"/>
          <w:kern w:val="0"/>
          <w:sz w:val="32"/>
          <w:szCs w:val="32"/>
          <w:highlight w:val="none"/>
          <w:lang w:val="en-US" w:eastAsia="zh-CN" w:bidi="ar"/>
        </w:rPr>
        <w:t xml:space="preserve">考核当月如有以下情况之一者，认定为“一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票否决”：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left"/>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（一）因缺乏政治敏感性和鉴别力，在工作中中出现失误，情节严重的；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（二）存在违法犯罪行为的；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（三）因失职、渎职或者重大工作失误导致学生投诉的；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（四）不遵守工作群管理规定，发表影响工作及同事的 言论的行为的；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（五）有违反校纪校规行为的；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（六）与学生谈恋爱和发生不正当关系的；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（七）遇校园危机事件未在接到通知后的15分钟内到达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现场，情节严重的以及处理方式方式不当，导致事件扩大；</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（八）出现旷工、值班及在岗期间擅自离校的；校、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院组织或受派遣参加的业务培训和有关会议、活动缺席的；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（九）所带学生违纪违法，隐瞒不报或知情拖延汇报，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情节严重的；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（十）通讯不畅，15分钟内联系不上的；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（十一）因工作不当或失职，造成重大责任事故或学生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发生重伤、死亡，对学校造成严重影响的；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（十二）被学校或学院以书面形式通报批评的；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（十三）被新闻媒体负面报道的；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（十四）在工作中收受学生及家长等利害关系人财物的；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（十五）涉及学生切身利益的材料不符合规定的；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（十六）在学生日常管理工作中，侮辱、殴打或歧视学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生。侮辱、殴打或歧视学生的；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
        </w:rPr>
        <w:t xml:space="preserve">（十七）受到行政部门及以上部门通报的；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（十八）其他可以被认定为“一票否决”的事项。</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0" w:firstLineChars="200"/>
        <w:jc w:val="center"/>
        <w:textAlignment w:val="auto"/>
        <w:rPr>
          <w:rFonts w:hint="eastAsia" w:ascii="方正仿宋_GBK" w:hAnsi="方正仿宋_GBK" w:eastAsia="方正仿宋_GBK" w:cs="方正仿宋_GBK"/>
          <w:color w:val="auto"/>
          <w:kern w:val="0"/>
          <w:sz w:val="31"/>
          <w:szCs w:val="31"/>
          <w:highlight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第五章  考核结果及奖惩</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both"/>
        <w:textAlignment w:val="auto"/>
        <w:rPr>
          <w:rFonts w:hint="eastAsia"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第十三条  </w:t>
      </w:r>
      <w:r>
        <w:rPr>
          <w:rFonts w:hint="eastAsia" w:ascii="方正仿宋_GBK" w:hAnsi="方正仿宋_GBK" w:eastAsia="方正仿宋_GBK" w:cs="方正仿宋_GBK"/>
          <w:color w:val="auto"/>
          <w:kern w:val="0"/>
          <w:sz w:val="32"/>
          <w:szCs w:val="32"/>
          <w:highlight w:val="none"/>
          <w:lang w:val="en-US" w:eastAsia="zh-CN" w:bidi="ar"/>
        </w:rPr>
        <w:t xml:space="preserve">对于因玩忽职守、失职渎职、严重不负责任 造成严重后果的教官，学生工作处、保卫处及学校相关部门可以提出“一票否决”建议，“一票否决”不受比例限制， 但应从严把握。被“一票否决”的教官当月考核分数及排名保留，评定等级确定为“一票否决”。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第十四条  </w:t>
      </w:r>
      <w:r>
        <w:rPr>
          <w:rFonts w:hint="eastAsia" w:ascii="方正仿宋_GBK" w:hAnsi="方正仿宋_GBK" w:eastAsia="方正仿宋_GBK" w:cs="方正仿宋_GBK"/>
          <w:color w:val="auto"/>
          <w:kern w:val="0"/>
          <w:sz w:val="32"/>
          <w:szCs w:val="32"/>
          <w:highlight w:val="none"/>
          <w:lang w:val="en-US" w:eastAsia="zh-CN" w:bidi="ar"/>
        </w:rPr>
        <w:t xml:space="preserve">当月考核等级为“不合格”或者被“一票否 决”的教官，由学生工作处负责人对其进行诫勉谈话，并要求其以书面形式做整改。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第十五条  </w:t>
      </w:r>
      <w:r>
        <w:rPr>
          <w:rFonts w:hint="eastAsia" w:ascii="方正仿宋_GBK" w:hAnsi="方正仿宋_GBK" w:eastAsia="方正仿宋_GBK" w:cs="方正仿宋_GBK"/>
          <w:color w:val="auto"/>
          <w:kern w:val="0"/>
          <w:sz w:val="32"/>
          <w:szCs w:val="32"/>
          <w:highlight w:val="none"/>
          <w:lang w:val="en-US" w:eastAsia="zh-CN" w:bidi="ar"/>
        </w:rPr>
        <w:t xml:space="preserve">连续三次月度考核不合格或“一票否决”的，或年度累计四次月度考核不合格者或“一票否决”的，退回人事；年度连续两次月度考核不合格者或“一票否决”的， 当年不得参与年终评优。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jc w:val="left"/>
        <w:textAlignment w:val="auto"/>
        <w:rPr>
          <w:rFonts w:hint="eastAsia" w:ascii="方正仿宋_GBK" w:hAnsi="方正仿宋_GBK" w:eastAsia="方正仿宋_GBK" w:cs="方正仿宋_GBK"/>
          <w:color w:val="auto"/>
          <w:kern w:val="0"/>
          <w:sz w:val="31"/>
          <w:szCs w:val="31"/>
          <w:highlight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第六章  申诉及处理</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both"/>
        <w:textAlignment w:val="auto"/>
        <w:rPr>
          <w:rFonts w:hint="eastAsia"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both"/>
        <w:textAlignment w:val="auto"/>
        <w:rPr>
          <w:color w:val="auto"/>
          <w:sz w:val="32"/>
          <w:szCs w:val="32"/>
          <w:highlight w:val="none"/>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第十六条  </w:t>
      </w:r>
      <w:r>
        <w:rPr>
          <w:rFonts w:hint="eastAsia" w:ascii="方正仿宋_GBK" w:hAnsi="方正仿宋_GBK" w:eastAsia="方正仿宋_GBK" w:cs="方正仿宋_GBK"/>
          <w:color w:val="auto"/>
          <w:kern w:val="0"/>
          <w:sz w:val="32"/>
          <w:szCs w:val="32"/>
          <w:highlight w:val="none"/>
          <w:lang w:val="en-US" w:eastAsia="zh-CN" w:bidi="ar"/>
        </w:rPr>
        <w:t xml:space="preserve">教官对考核等级有异议的，可以在公示期间向人力资源处提出书面申诉，申诉以 1 次为限。公示期间未提出申诉的视为放弃申诉，学校不再受理其提出的申诉。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第十七条  </w:t>
      </w:r>
      <w:r>
        <w:rPr>
          <w:rFonts w:hint="eastAsia" w:ascii="方正仿宋_GBK" w:hAnsi="方正仿宋_GBK" w:eastAsia="方正仿宋_GBK" w:cs="方正仿宋_GBK"/>
          <w:color w:val="auto"/>
          <w:kern w:val="0"/>
          <w:sz w:val="32"/>
          <w:szCs w:val="32"/>
          <w:highlight w:val="none"/>
          <w:lang w:val="en-US" w:eastAsia="zh-CN" w:bidi="ar"/>
        </w:rPr>
        <w:t xml:space="preserve">教官月考核工作领导小组在处理因教官考核等级有异议提起的申诉时，应当指定专人听取教官和考核部门的意见，根据需要进行必要的调查，调查反馈意见应在薪酬发放前做出并周知相关人员。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0" w:firstLineChars="200"/>
        <w:jc w:val="center"/>
        <w:textAlignment w:val="auto"/>
        <w:rPr>
          <w:rFonts w:hint="eastAsia" w:ascii="方正仿宋_GBK" w:hAnsi="方正仿宋_GBK" w:eastAsia="方正仿宋_GBK" w:cs="方正仿宋_GBK"/>
          <w:color w:val="auto"/>
          <w:kern w:val="0"/>
          <w:sz w:val="31"/>
          <w:szCs w:val="31"/>
          <w:highlight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第七章  附则</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80" w:line="560" w:lineRule="exact"/>
        <w:ind w:leftChars="200"/>
        <w:jc w:val="both"/>
        <w:textAlignment w:val="auto"/>
        <w:rPr>
          <w:rFonts w:hint="eastAsia" w:ascii="方正黑体_GBK" w:hAnsi="方正黑体_GBK" w:eastAsia="方正黑体_GBK" w:cs="方正黑体_GBK"/>
          <w:b/>
          <w:bCs/>
          <w:color w:val="auto"/>
          <w:kern w:val="0"/>
          <w:sz w:val="31"/>
          <w:szCs w:val="31"/>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color w:val="auto"/>
          <w:highlight w:val="none"/>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第十八条  </w:t>
      </w:r>
      <w:r>
        <w:rPr>
          <w:rFonts w:hint="eastAsia" w:ascii="方正仿宋_GBK" w:hAnsi="方正仿宋_GBK" w:eastAsia="方正仿宋_GBK" w:cs="方正仿宋_GBK"/>
          <w:color w:val="auto"/>
          <w:kern w:val="0"/>
          <w:sz w:val="32"/>
          <w:szCs w:val="32"/>
          <w:highlight w:val="none"/>
          <w:lang w:val="en-US" w:eastAsia="zh-CN" w:bidi="ar"/>
        </w:rPr>
        <w:t>本办法由学生工作处负责解释。</w:t>
      </w:r>
      <w:r>
        <w:rPr>
          <w:rFonts w:hint="eastAsia" w:ascii="方正仿宋_GBK" w:hAnsi="方正仿宋_GBK" w:eastAsia="方正仿宋_GBK" w:cs="方正仿宋_GBK"/>
          <w:color w:val="auto"/>
          <w:kern w:val="0"/>
          <w:sz w:val="31"/>
          <w:szCs w:val="31"/>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val="0"/>
        <w:snapToGrid w:val="0"/>
        <w:spacing w:after="80" w:line="560" w:lineRule="exact"/>
        <w:ind w:firstLine="622" w:firstLineChars="200"/>
        <w:jc w:val="left"/>
        <w:textAlignment w:val="auto"/>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1"/>
          <w:szCs w:val="31"/>
          <w:highlight w:val="none"/>
          <w:lang w:val="en-US" w:eastAsia="zh-CN" w:bidi="ar"/>
        </w:rPr>
        <w:t xml:space="preserve">第十九条  </w:t>
      </w:r>
      <w:r>
        <w:rPr>
          <w:rFonts w:hint="eastAsia" w:ascii="方正仿宋_GBK" w:hAnsi="方正仿宋_GBK" w:eastAsia="方正仿宋_GBK" w:cs="方正仿宋_GBK"/>
          <w:color w:val="auto"/>
          <w:kern w:val="0"/>
          <w:sz w:val="32"/>
          <w:szCs w:val="32"/>
          <w:highlight w:val="none"/>
          <w:lang w:val="en-US" w:eastAsia="zh-CN" w:bidi="ar"/>
        </w:rPr>
        <w:t>本办法自 2022 年9 月 1 日起施行。</w:t>
      </w:r>
    </w:p>
    <w:p>
      <w:pPr>
        <w:keepNext w:val="0"/>
        <w:keepLines w:val="0"/>
        <w:pageBreakBefore w:val="0"/>
        <w:kinsoku/>
        <w:wordWrap/>
        <w:overflowPunct/>
        <w:topLinePunct w:val="0"/>
        <w:autoSpaceDE/>
        <w:autoSpaceDN/>
        <w:bidi w:val="0"/>
        <w:spacing w:before="0" w:after="0" w:line="560" w:lineRule="exact"/>
        <w:ind w:left="0" w:right="0"/>
        <w:jc w:val="center"/>
        <w:textAlignment w:val="auto"/>
        <w:outlineLvl w:val="0"/>
        <w:rPr>
          <w:rFonts w:hint="eastAsia" w:ascii="方正小标宋_GBK" w:hAnsi="方正小标宋_GBK" w:eastAsia="方正小标宋_GBK" w:cs="方正小标宋_GBK"/>
          <w:b/>
          <w:bCs/>
          <w:color w:val="auto"/>
          <w:kern w:val="2"/>
          <w:sz w:val="32"/>
          <w:szCs w:val="32"/>
          <w:highlight w:val="none"/>
          <w:lang w:val="en-US" w:bidi="ar-SA"/>
        </w:rPr>
      </w:pPr>
    </w:p>
    <w:p>
      <w:pPr>
        <w:keepNext w:val="0"/>
        <w:keepLines w:val="0"/>
        <w:pageBreakBefore w:val="0"/>
        <w:kinsoku/>
        <w:wordWrap/>
        <w:overflowPunct/>
        <w:topLinePunct w:val="0"/>
        <w:autoSpaceDE/>
        <w:autoSpaceDN/>
        <w:bidi w:val="0"/>
        <w:spacing w:before="0" w:after="0" w:line="560" w:lineRule="exact"/>
        <w:ind w:left="0" w:right="0"/>
        <w:jc w:val="center"/>
        <w:textAlignment w:val="auto"/>
        <w:outlineLvl w:val="0"/>
        <w:rPr>
          <w:rFonts w:hint="eastAsia" w:ascii="方正小标宋_GBK" w:hAnsi="方正小标宋_GBK" w:eastAsia="方正小标宋_GBK" w:cs="方正小标宋_GBK"/>
          <w:b/>
          <w:bCs/>
          <w:color w:val="auto"/>
          <w:kern w:val="2"/>
          <w:sz w:val="36"/>
          <w:szCs w:val="36"/>
          <w:highlight w:val="none"/>
          <w:lang w:val="en-US" w:bidi="ar-SA"/>
        </w:rPr>
      </w:pPr>
      <w:bookmarkStart w:id="89" w:name="_Toc5791"/>
      <w:r>
        <w:rPr>
          <w:rFonts w:hint="eastAsia" w:ascii="方正小标宋_GBK" w:hAnsi="方正小标宋_GBK" w:eastAsia="方正小标宋_GBK" w:cs="方正小标宋_GBK"/>
          <w:b/>
          <w:bCs/>
          <w:color w:val="auto"/>
          <w:kern w:val="2"/>
          <w:sz w:val="36"/>
          <w:szCs w:val="36"/>
          <w:highlight w:val="none"/>
          <w:lang w:val="en-US" w:bidi="ar-SA"/>
        </w:rPr>
        <w:t>云南城市建设职业学院辅导员行政职级晋升办法（试行）</w:t>
      </w:r>
      <w:bookmarkEnd w:id="89"/>
    </w:p>
    <w:p>
      <w:pPr>
        <w:pStyle w:val="6"/>
        <w:keepNext w:val="0"/>
        <w:keepLines w:val="0"/>
        <w:pageBreakBefore w:val="0"/>
        <w:kinsoku/>
        <w:wordWrap/>
        <w:overflowPunct/>
        <w:topLinePunct w:val="0"/>
        <w:bidi w:val="0"/>
        <w:spacing w:before="6" w:line="560" w:lineRule="exact"/>
        <w:ind w:left="0"/>
        <w:textAlignment w:val="auto"/>
        <w:rPr>
          <w:rFonts w:ascii="方正小标宋_GBK"/>
          <w:color w:val="auto"/>
          <w:sz w:val="32"/>
          <w:szCs w:val="32"/>
          <w:highlight w:val="none"/>
        </w:rPr>
      </w:pPr>
    </w:p>
    <w:p>
      <w:pPr>
        <w:keepNext w:val="0"/>
        <w:keepLines w:val="0"/>
        <w:pageBreakBefore w:val="0"/>
        <w:widowControl w:val="0"/>
        <w:kinsoku/>
        <w:wordWrap/>
        <w:overflowPunct/>
        <w:topLinePunct w:val="0"/>
        <w:autoSpaceDE w:val="0"/>
        <w:autoSpaceDN w:val="0"/>
        <w:bidi w:val="0"/>
        <w:adjustRightInd/>
        <w:snapToGrid/>
        <w:spacing w:before="1" w:line="560" w:lineRule="exact"/>
        <w:ind w:left="120" w:right="274" w:firstLine="619"/>
        <w:jc w:val="left"/>
        <w:textAlignment w:val="auto"/>
        <w:rPr>
          <w:rFonts w:hint="eastAsia" w:ascii="方正仿宋_GBK" w:hAnsi="方正仿宋_GBK" w:eastAsia="方正仿宋_GBK" w:cs="方正仿宋_GBK"/>
          <w:color w:val="auto"/>
          <w:spacing w:val="-7"/>
          <w:sz w:val="32"/>
          <w:szCs w:val="32"/>
          <w:highlight w:val="none"/>
        </w:rPr>
      </w:pPr>
      <w:r>
        <w:rPr>
          <w:rFonts w:hint="eastAsia" w:ascii="方正仿宋_GBK" w:hAnsi="方正仿宋_GBK" w:eastAsia="方正仿宋_GBK" w:cs="方正仿宋_GBK"/>
          <w:color w:val="auto"/>
          <w:spacing w:val="-6"/>
          <w:sz w:val="32"/>
          <w:szCs w:val="32"/>
          <w:highlight w:val="none"/>
        </w:rPr>
        <w:t>为贯彻落实中共中央、国务院印发《关于加强和改进新形</w:t>
      </w:r>
      <w:r>
        <w:rPr>
          <w:rFonts w:hint="eastAsia" w:ascii="方正仿宋_GBK" w:hAnsi="方正仿宋_GBK" w:eastAsia="方正仿宋_GBK" w:cs="方正仿宋_GBK"/>
          <w:color w:val="auto"/>
          <w:spacing w:val="-13"/>
          <w:sz w:val="32"/>
          <w:szCs w:val="32"/>
          <w:highlight w:val="none"/>
        </w:rPr>
        <w:t>势下高校思想政治工作的意见》</w:t>
      </w:r>
      <w:r>
        <w:rPr>
          <w:rFonts w:hint="eastAsia" w:ascii="方正仿宋_GBK" w:hAnsi="方正仿宋_GBK" w:eastAsia="方正仿宋_GBK" w:cs="方正仿宋_GBK"/>
          <w:color w:val="auto"/>
          <w:sz w:val="32"/>
          <w:szCs w:val="32"/>
          <w:highlight w:val="none"/>
        </w:rPr>
        <w:t>（中发[2016]31</w:t>
      </w:r>
      <w:r>
        <w:rPr>
          <w:rFonts w:hint="eastAsia" w:ascii="方正仿宋_GBK" w:hAnsi="方正仿宋_GBK" w:eastAsia="方正仿宋_GBK" w:cs="方正仿宋_GBK"/>
          <w:color w:val="auto"/>
          <w:spacing w:val="-43"/>
          <w:sz w:val="32"/>
          <w:szCs w:val="32"/>
          <w:highlight w:val="none"/>
        </w:rPr>
        <w:t xml:space="preserve"> 号</w:t>
      </w:r>
      <w:r>
        <w:rPr>
          <w:rFonts w:hint="eastAsia" w:ascii="方正仿宋_GBK" w:hAnsi="方正仿宋_GBK" w:eastAsia="方正仿宋_GBK" w:cs="方正仿宋_GBK"/>
          <w:color w:val="auto"/>
          <w:spacing w:val="-46"/>
          <w:sz w:val="32"/>
          <w:szCs w:val="32"/>
          <w:highlight w:val="none"/>
        </w:rPr>
        <w:t>）</w:t>
      </w:r>
      <w:r>
        <w:rPr>
          <w:rFonts w:hint="eastAsia" w:ascii="方正仿宋_GBK" w:hAnsi="方正仿宋_GBK" w:eastAsia="方正仿宋_GBK" w:cs="方正仿宋_GBK"/>
          <w:color w:val="auto"/>
          <w:sz w:val="32"/>
          <w:szCs w:val="32"/>
          <w:highlight w:val="none"/>
        </w:rPr>
        <w:t>和教育部</w:t>
      </w:r>
      <w:r>
        <w:rPr>
          <w:rFonts w:hint="eastAsia" w:ascii="方正仿宋_GBK" w:hAnsi="方正仿宋_GBK" w:eastAsia="方正仿宋_GBK" w:cs="方正仿宋_GBK"/>
          <w:color w:val="auto"/>
          <w:spacing w:val="-3"/>
          <w:sz w:val="32"/>
          <w:szCs w:val="32"/>
          <w:highlight w:val="none"/>
        </w:rPr>
        <w:t>《普通高等学校辅导员队伍建设规定》</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pacing w:val="-14"/>
          <w:sz w:val="32"/>
          <w:szCs w:val="32"/>
          <w:highlight w:val="none"/>
        </w:rPr>
        <w:t xml:space="preserve">教育部令第 </w:t>
      </w:r>
      <w:r>
        <w:rPr>
          <w:rFonts w:hint="eastAsia" w:ascii="方正仿宋_GBK" w:hAnsi="方正仿宋_GBK" w:eastAsia="方正仿宋_GBK" w:cs="方正仿宋_GBK"/>
          <w:color w:val="auto"/>
          <w:sz w:val="32"/>
          <w:szCs w:val="32"/>
          <w:highlight w:val="none"/>
        </w:rPr>
        <w:t>43</w:t>
      </w:r>
      <w:r>
        <w:rPr>
          <w:rFonts w:hint="eastAsia" w:ascii="方正仿宋_GBK" w:hAnsi="方正仿宋_GBK" w:eastAsia="方正仿宋_GBK" w:cs="方正仿宋_GBK"/>
          <w:color w:val="auto"/>
          <w:spacing w:val="-41"/>
          <w:sz w:val="32"/>
          <w:szCs w:val="32"/>
          <w:highlight w:val="none"/>
        </w:rPr>
        <w:t xml:space="preserve"> 号</w:t>
      </w:r>
      <w:r>
        <w:rPr>
          <w:rFonts w:hint="eastAsia" w:ascii="方正仿宋_GBK" w:hAnsi="方正仿宋_GBK" w:eastAsia="方正仿宋_GBK" w:cs="方正仿宋_GBK"/>
          <w:color w:val="auto"/>
          <w:spacing w:val="-11"/>
          <w:sz w:val="32"/>
          <w:szCs w:val="32"/>
          <w:highlight w:val="none"/>
        </w:rPr>
        <w:t xml:space="preserve">）， </w:t>
      </w:r>
      <w:r>
        <w:rPr>
          <w:rFonts w:hint="eastAsia" w:ascii="方正仿宋_GBK" w:hAnsi="方正仿宋_GBK" w:eastAsia="方正仿宋_GBK" w:cs="方正仿宋_GBK"/>
          <w:color w:val="auto"/>
          <w:spacing w:val="-4"/>
          <w:sz w:val="32"/>
          <w:szCs w:val="32"/>
          <w:highlight w:val="none"/>
        </w:rPr>
        <w:t>根据中共云南省委高校工委等七部门《关于进一步加强和改进新形势下高校辅导员队伍建设的实施意见</w:t>
      </w:r>
      <w:r>
        <w:rPr>
          <w:rFonts w:hint="eastAsia" w:ascii="方正仿宋_GBK" w:hAnsi="方正仿宋_GBK" w:eastAsia="方正仿宋_GBK" w:cs="方正仿宋_GBK"/>
          <w:color w:val="auto"/>
          <w:spacing w:val="-219"/>
          <w:sz w:val="32"/>
          <w:szCs w:val="32"/>
          <w:highlight w:val="none"/>
        </w:rPr>
        <w:t>》</w:t>
      </w:r>
      <w:r>
        <w:rPr>
          <w:rFonts w:hint="eastAsia" w:ascii="方正仿宋_GBK" w:hAnsi="方正仿宋_GBK" w:eastAsia="方正仿宋_GBK" w:cs="方正仿宋_GBK"/>
          <w:color w:val="auto"/>
          <w:sz w:val="32"/>
          <w:szCs w:val="32"/>
          <w:highlight w:val="none"/>
        </w:rPr>
        <w:t>（云高工发[2018]4 号</w:t>
      </w:r>
      <w:r>
        <w:rPr>
          <w:rFonts w:hint="eastAsia" w:ascii="方正仿宋_GBK" w:hAnsi="方正仿宋_GBK" w:eastAsia="方正仿宋_GBK" w:cs="方正仿宋_GBK"/>
          <w:color w:val="auto"/>
          <w:spacing w:val="-17"/>
          <w:sz w:val="32"/>
          <w:szCs w:val="32"/>
          <w:highlight w:val="none"/>
        </w:rPr>
        <w:t>）</w:t>
      </w:r>
      <w:r>
        <w:rPr>
          <w:rFonts w:hint="eastAsia" w:ascii="方正仿宋_GBK" w:hAnsi="方正仿宋_GBK" w:eastAsia="方正仿宋_GBK" w:cs="方正仿宋_GBK"/>
          <w:color w:val="auto"/>
          <w:spacing w:val="-7"/>
          <w:sz w:val="32"/>
          <w:szCs w:val="32"/>
          <w:highlight w:val="none"/>
        </w:rPr>
        <w:t>，结合学校实际，就做好辅导员岗行政职级晋升制度、保证晋升的规范化和实效性，制定本办法。</w:t>
      </w:r>
    </w:p>
    <w:p>
      <w:pPr>
        <w:keepNext w:val="0"/>
        <w:keepLines w:val="0"/>
        <w:pageBreakBefore w:val="0"/>
        <w:widowControl w:val="0"/>
        <w:kinsoku/>
        <w:wordWrap/>
        <w:overflowPunct/>
        <w:topLinePunct w:val="0"/>
        <w:autoSpaceDE w:val="0"/>
        <w:autoSpaceDN w:val="0"/>
        <w:bidi w:val="0"/>
        <w:adjustRightInd/>
        <w:snapToGrid/>
        <w:spacing w:before="1" w:line="560" w:lineRule="exact"/>
        <w:ind w:left="120" w:right="274" w:firstLine="619"/>
        <w:jc w:val="left"/>
        <w:textAlignment w:val="auto"/>
        <w:rPr>
          <w:rFonts w:hint="eastAsia" w:ascii="方正仿宋_GBK" w:hAnsi="方正仿宋_GBK" w:eastAsia="方正仿宋_GBK" w:cs="方正仿宋_GBK"/>
          <w:color w:val="auto"/>
          <w:spacing w:val="-7"/>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bookmarkStart w:id="90" w:name="_Toc23402"/>
      <w:r>
        <w:rPr>
          <w:rFonts w:hint="eastAsia" w:ascii="方正黑体_GBK" w:hAnsi="方正黑体_GBK" w:eastAsia="方正黑体_GBK" w:cs="方正黑体_GBK"/>
          <w:b/>
          <w:bCs/>
          <w:color w:val="auto"/>
          <w:sz w:val="32"/>
          <w:szCs w:val="32"/>
          <w:highlight w:val="none"/>
          <w:lang w:val="en-US" w:eastAsia="zh-CN"/>
        </w:rPr>
        <w:t>第一章  总则</w:t>
      </w:r>
      <w:bookmarkEnd w:id="90"/>
    </w:p>
    <w:p>
      <w:pPr>
        <w:keepNext w:val="0"/>
        <w:keepLines w:val="0"/>
        <w:pageBreakBefore w:val="0"/>
        <w:widowControl w:val="0"/>
        <w:kinsoku/>
        <w:wordWrap/>
        <w:overflowPunct/>
        <w:topLinePunct w:val="0"/>
        <w:autoSpaceDE w:val="0"/>
        <w:autoSpaceDN w:val="0"/>
        <w:bidi w:val="0"/>
        <w:adjustRightInd/>
        <w:snapToGrid/>
        <w:spacing w:line="560" w:lineRule="exact"/>
        <w:textAlignment w:val="auto"/>
        <w:rPr>
          <w:color w:val="auto"/>
          <w:highlight w:val="none"/>
        </w:rPr>
      </w:pPr>
    </w:p>
    <w:p>
      <w:pPr>
        <w:keepNext w:val="0"/>
        <w:keepLines w:val="0"/>
        <w:pageBreakBefore w:val="0"/>
        <w:widowControl w:val="0"/>
        <w:kinsoku/>
        <w:wordWrap/>
        <w:overflowPunct/>
        <w:topLinePunct w:val="0"/>
        <w:autoSpaceDE w:val="0"/>
        <w:autoSpaceDN w:val="0"/>
        <w:bidi w:val="0"/>
        <w:adjustRightInd/>
        <w:snapToGrid/>
        <w:spacing w:before="1" w:line="560" w:lineRule="exact"/>
        <w:ind w:left="120" w:right="274" w:firstLine="619"/>
        <w:jc w:val="left"/>
        <w:textAlignment w:val="auto"/>
        <w:rPr>
          <w:rFonts w:hint="eastAsia" w:ascii="方正仿宋_GBK" w:hAnsi="方正仿宋_GBK" w:eastAsia="方正仿宋_GBK" w:cs="方正仿宋_GBK"/>
          <w:color w:val="auto"/>
          <w:spacing w:val="-6"/>
          <w:sz w:val="32"/>
          <w:szCs w:val="32"/>
          <w:highlight w:val="none"/>
        </w:rPr>
      </w:pPr>
      <w:r>
        <w:rPr>
          <w:rFonts w:hint="eastAsia" w:ascii="方正楷体_GBK" w:eastAsia="方正楷体_GBK"/>
          <w:b/>
          <w:color w:val="auto"/>
          <w:sz w:val="32"/>
          <w:highlight w:val="none"/>
        </w:rPr>
        <w:t>第一条</w:t>
      </w:r>
      <w:r>
        <w:rPr>
          <w:rFonts w:hint="eastAsia" w:ascii="方正楷体_GBK" w:eastAsia="方正楷体_GBK"/>
          <w:b/>
          <w:color w:val="auto"/>
          <w:sz w:val="32"/>
          <w:highlight w:val="none"/>
          <w:lang w:val="en-US" w:eastAsia="zh-CN"/>
        </w:rPr>
        <w:t xml:space="preserve">  </w:t>
      </w:r>
      <w:r>
        <w:rPr>
          <w:rFonts w:hint="eastAsia" w:ascii="方正仿宋_GBK" w:hAnsi="方正仿宋_GBK" w:eastAsia="方正仿宋_GBK" w:cs="方正仿宋_GBK"/>
          <w:color w:val="auto"/>
          <w:spacing w:val="-6"/>
          <w:sz w:val="32"/>
          <w:szCs w:val="32"/>
          <w:highlight w:val="none"/>
        </w:rPr>
        <w:t>辅导员制度是中国特色社会主义高等教育的重要组成部分。加强辅导员队伍建设对于全面贯彻党的教育方针、落实立德树人根本任务、全面提升高校人才培养质量、培养中国特色社会主义事业的合格建设者和可靠接班人，具有重大而深远的意义。</w:t>
      </w:r>
    </w:p>
    <w:p>
      <w:pPr>
        <w:keepNext w:val="0"/>
        <w:keepLines w:val="0"/>
        <w:pageBreakBefore w:val="0"/>
        <w:widowControl w:val="0"/>
        <w:kinsoku/>
        <w:wordWrap/>
        <w:overflowPunct/>
        <w:topLinePunct w:val="0"/>
        <w:autoSpaceDE w:val="0"/>
        <w:autoSpaceDN w:val="0"/>
        <w:bidi w:val="0"/>
        <w:adjustRightInd/>
        <w:snapToGrid/>
        <w:spacing w:before="1" w:line="560" w:lineRule="exact"/>
        <w:ind w:left="120" w:right="274" w:firstLine="619"/>
        <w:jc w:val="left"/>
        <w:textAlignment w:val="auto"/>
        <w:rPr>
          <w:rFonts w:hint="eastAsia" w:ascii="方正仿宋_GBK" w:hAnsi="方正仿宋_GBK" w:eastAsia="方正仿宋_GBK" w:cs="方正仿宋_GBK"/>
          <w:color w:val="auto"/>
          <w:spacing w:val="-6"/>
          <w:sz w:val="32"/>
          <w:szCs w:val="32"/>
          <w:highlight w:val="none"/>
        </w:rPr>
      </w:pPr>
      <w:r>
        <w:rPr>
          <w:rFonts w:hint="eastAsia" w:ascii="方正楷体_GBK" w:eastAsia="方正楷体_GBK"/>
          <w:b/>
          <w:color w:val="auto"/>
          <w:sz w:val="32"/>
          <w:highlight w:val="none"/>
        </w:rPr>
        <w:t>第二条</w:t>
      </w:r>
      <w:r>
        <w:rPr>
          <w:rFonts w:hint="eastAsia" w:ascii="方正楷体_GBK" w:eastAsia="方正楷体_GBK"/>
          <w:b/>
          <w:color w:val="auto"/>
          <w:sz w:val="32"/>
          <w:highlight w:val="none"/>
          <w:lang w:val="en-US" w:eastAsia="zh-CN"/>
        </w:rPr>
        <w:t xml:space="preserve">  </w:t>
      </w:r>
      <w:r>
        <w:rPr>
          <w:rFonts w:hint="eastAsia" w:ascii="方正仿宋_GBK" w:hAnsi="方正仿宋_GBK" w:eastAsia="方正仿宋_GBK" w:cs="方正仿宋_GBK"/>
          <w:color w:val="auto"/>
          <w:spacing w:val="-6"/>
          <w:sz w:val="32"/>
          <w:szCs w:val="32"/>
          <w:highlight w:val="none"/>
        </w:rPr>
        <w:t>学校各部门要积极参与推进辅导员队伍专业化职业化发展,采取有力有效的措施，为辅导员创造良好的政策环境、工作环境和生活环境，充分调动辅导员的积极性创造性， 使辅导员工作有条件、干事有平台、发展有空间。</w:t>
      </w:r>
    </w:p>
    <w:p>
      <w:pPr>
        <w:keepNext w:val="0"/>
        <w:keepLines w:val="0"/>
        <w:pageBreakBefore w:val="0"/>
        <w:widowControl w:val="0"/>
        <w:kinsoku/>
        <w:wordWrap/>
        <w:overflowPunct/>
        <w:topLinePunct w:val="0"/>
        <w:autoSpaceDE w:val="0"/>
        <w:autoSpaceDN w:val="0"/>
        <w:bidi w:val="0"/>
        <w:adjustRightInd/>
        <w:snapToGrid/>
        <w:spacing w:before="0" w:line="560" w:lineRule="exact"/>
        <w:ind w:right="0" w:firstLine="703"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楷体_GBK" w:eastAsia="方正楷体_GBK"/>
          <w:b/>
          <w:color w:val="auto"/>
          <w:spacing w:val="15"/>
          <w:sz w:val="32"/>
          <w:highlight w:val="none"/>
        </w:rPr>
        <w:t>第三条</w:t>
      </w:r>
      <w:r>
        <w:rPr>
          <w:rFonts w:hint="eastAsia" w:ascii="方正楷体_GBK" w:eastAsia="方正楷体_GBK"/>
          <w:b/>
          <w:color w:val="auto"/>
          <w:spacing w:val="15"/>
          <w:sz w:val="32"/>
          <w:highlight w:val="none"/>
          <w:lang w:val="en-US" w:eastAsia="zh-CN"/>
        </w:rPr>
        <w:t xml:space="preserve">  </w:t>
      </w:r>
      <w:r>
        <w:rPr>
          <w:rFonts w:ascii="方正仿宋_GBK" w:hAnsi="方正仿宋_GBK" w:eastAsia="方正仿宋_GBK" w:cs="方正仿宋_GBK"/>
          <w:color w:val="auto"/>
          <w:kern w:val="2"/>
          <w:sz w:val="32"/>
          <w:szCs w:val="32"/>
          <w:highlight w:val="none"/>
          <w:lang w:val="zh-CN" w:eastAsia="zh-CN" w:bidi="zh-CN"/>
        </w:rPr>
        <w:t>辅导员是学校教师队伍和管理队伍的重要组成部分，具有教师和管理人员双重身份，是开展大学生思想政治教育的骨干力量，是学校学生日常思想政治教育和管理工作的组织者、实施者和指导者，应当成为学生成长成</w:t>
      </w:r>
      <w:r>
        <w:rPr>
          <w:rFonts w:hint="eastAsia" w:ascii="方正仿宋_GBK" w:hAnsi="方正仿宋_GBK" w:eastAsia="方正仿宋_GBK" w:cs="方正仿宋_GBK"/>
          <w:color w:val="auto"/>
          <w:kern w:val="2"/>
          <w:sz w:val="32"/>
          <w:szCs w:val="32"/>
          <w:highlight w:val="none"/>
          <w:lang w:val="en-US" w:eastAsia="zh-CN" w:bidi="zh-CN"/>
        </w:rPr>
        <w:t>才</w:t>
      </w:r>
      <w:r>
        <w:rPr>
          <w:rFonts w:ascii="方正仿宋_GBK" w:hAnsi="方正仿宋_GBK" w:eastAsia="方正仿宋_GBK" w:cs="方正仿宋_GBK"/>
          <w:color w:val="auto"/>
          <w:kern w:val="2"/>
          <w:sz w:val="32"/>
          <w:szCs w:val="32"/>
          <w:highlight w:val="none"/>
          <w:lang w:val="zh-CN" w:eastAsia="zh-CN" w:bidi="zh-CN"/>
        </w:rPr>
        <w:t>人生导师和健康生活的知心朋友，在引导广大青年学生健康成长成才中，发挥着不可替代的重要作用。</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5" w:firstLine="640"/>
        <w:jc w:val="left"/>
        <w:textAlignment w:val="auto"/>
        <w:rPr>
          <w:color w:val="auto"/>
          <w:highlight w:val="none"/>
        </w:rPr>
      </w:pPr>
      <w:r>
        <w:rPr>
          <w:rFonts w:hint="eastAsia" w:ascii="方正楷体_GBK" w:eastAsia="方正楷体_GBK"/>
          <w:b/>
          <w:color w:val="auto"/>
          <w:spacing w:val="23"/>
          <w:highlight w:val="none"/>
        </w:rPr>
        <w:t>第四条</w:t>
      </w:r>
      <w:r>
        <w:rPr>
          <w:rFonts w:hint="eastAsia" w:ascii="方正楷体_GBK" w:eastAsia="方正楷体_GBK"/>
          <w:b/>
          <w:color w:val="auto"/>
          <w:spacing w:val="23"/>
          <w:highlight w:val="none"/>
          <w:lang w:val="en-US" w:eastAsia="zh-CN"/>
        </w:rPr>
        <w:t xml:space="preserve">  </w:t>
      </w:r>
      <w:r>
        <w:rPr>
          <w:color w:val="auto"/>
          <w:spacing w:val="11"/>
          <w:highlight w:val="none"/>
        </w:rPr>
        <w:t>本办法中所称的辅导员是指在学校专职从事</w:t>
      </w:r>
      <w:r>
        <w:rPr>
          <w:color w:val="auto"/>
          <w:spacing w:val="1"/>
          <w:w w:val="95"/>
          <w:highlight w:val="none"/>
        </w:rPr>
        <w:t xml:space="preserve">大学生日常思想政治教育工作的人员，包括辅导员、院党委   </w:t>
      </w:r>
      <w:r>
        <w:rPr>
          <w:color w:val="auto"/>
          <w:spacing w:val="-9"/>
          <w:highlight w:val="none"/>
        </w:rPr>
        <w:t>(党总支)副书记、团委(团总支)书记以及二级学院学生工作负</w:t>
      </w:r>
      <w:r>
        <w:rPr>
          <w:color w:val="auto"/>
          <w:spacing w:val="-12"/>
          <w:highlight w:val="none"/>
        </w:rPr>
        <w:t>责人、班主任、学生工作处各岗位教师等专职工作人员。(以下简称辅导员)</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80" w:firstLine="640"/>
        <w:jc w:val="left"/>
        <w:textAlignment w:val="auto"/>
        <w:rPr>
          <w:color w:val="auto"/>
          <w:highlight w:val="none"/>
        </w:rPr>
      </w:pPr>
      <w:r>
        <w:rPr>
          <w:color w:val="auto"/>
          <w:spacing w:val="-2"/>
          <w:highlight w:val="none"/>
        </w:rPr>
        <w:t>兼职辅导员</w:t>
      </w:r>
      <w:r>
        <w:rPr>
          <w:color w:val="auto"/>
          <w:highlight w:val="none"/>
        </w:rPr>
        <w:t>（班主任</w:t>
      </w:r>
      <w:r>
        <w:rPr>
          <w:color w:val="auto"/>
          <w:spacing w:val="-7"/>
          <w:highlight w:val="none"/>
        </w:rPr>
        <w:t>）</w:t>
      </w:r>
      <w:r>
        <w:rPr>
          <w:color w:val="auto"/>
          <w:spacing w:val="-1"/>
          <w:highlight w:val="none"/>
        </w:rPr>
        <w:t>或者第二班主任不属于本办法所</w:t>
      </w:r>
      <w:r>
        <w:rPr>
          <w:color w:val="auto"/>
          <w:highlight w:val="none"/>
        </w:rPr>
        <w:t>称的辅导员。</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5" w:firstLine="640"/>
        <w:jc w:val="left"/>
        <w:textAlignment w:val="auto"/>
        <w:rPr>
          <w:color w:val="auto"/>
          <w:highlight w:val="none"/>
        </w:rPr>
      </w:pPr>
      <w:r>
        <w:rPr>
          <w:rFonts w:hint="eastAsia" w:ascii="方正楷体_GBK" w:eastAsia="方正楷体_GBK"/>
          <w:b/>
          <w:color w:val="auto"/>
          <w:spacing w:val="11"/>
          <w:highlight w:val="none"/>
        </w:rPr>
        <w:t>第五条</w:t>
      </w:r>
      <w:r>
        <w:rPr>
          <w:rFonts w:hint="eastAsia" w:ascii="方正楷体_GBK" w:eastAsia="方正楷体_GBK"/>
          <w:b/>
          <w:color w:val="auto"/>
          <w:spacing w:val="11"/>
          <w:highlight w:val="none"/>
          <w:lang w:val="en-US" w:eastAsia="zh-CN"/>
        </w:rPr>
        <w:t xml:space="preserve">  </w:t>
      </w:r>
      <w:r>
        <w:rPr>
          <w:color w:val="auto"/>
          <w:spacing w:val="-3"/>
          <w:highlight w:val="none"/>
        </w:rPr>
        <w:t>辅导员应认真履行《普通高等学校辅导员队伍</w:t>
      </w:r>
      <w:r>
        <w:rPr>
          <w:color w:val="auto"/>
          <w:spacing w:val="-3"/>
          <w:w w:val="95"/>
          <w:highlight w:val="none"/>
        </w:rPr>
        <w:t xml:space="preserve">建设规定》中明确的工作职责，按照《高等学校辅导员职业 能力标准》要求自我提升，做好教育教学、组织管理、指导 </w:t>
      </w:r>
      <w:r>
        <w:rPr>
          <w:color w:val="auto"/>
          <w:spacing w:val="-3"/>
          <w:highlight w:val="none"/>
        </w:rPr>
        <w:t>服务等工作。</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5" w:firstLine="640"/>
        <w:jc w:val="left"/>
        <w:textAlignment w:val="auto"/>
        <w:rPr>
          <w:color w:val="auto"/>
          <w:highlight w:val="none"/>
        </w:rPr>
      </w:pPr>
      <w:r>
        <w:rPr>
          <w:rFonts w:hint="eastAsia" w:ascii="方正楷体_GBK" w:eastAsia="方正楷体_GBK"/>
          <w:b/>
          <w:color w:val="auto"/>
          <w:spacing w:val="10"/>
          <w:highlight w:val="none"/>
        </w:rPr>
        <w:t>第六条</w:t>
      </w:r>
      <w:r>
        <w:rPr>
          <w:rFonts w:hint="eastAsia" w:ascii="方正楷体_GBK" w:eastAsia="方正楷体_GBK"/>
          <w:b/>
          <w:color w:val="auto"/>
          <w:spacing w:val="10"/>
          <w:highlight w:val="none"/>
          <w:lang w:val="en-US" w:eastAsia="zh-CN"/>
        </w:rPr>
        <w:t xml:space="preserve">  </w:t>
      </w:r>
      <w:r>
        <w:rPr>
          <w:color w:val="auto"/>
          <w:spacing w:val="-2"/>
          <w:highlight w:val="none"/>
        </w:rPr>
        <w:t>我校辅导员实行聘任制。学校在人员总量管理</w:t>
      </w:r>
      <w:r>
        <w:rPr>
          <w:color w:val="auto"/>
          <w:spacing w:val="-8"/>
          <w:highlight w:val="none"/>
        </w:rPr>
        <w:t>基础上,坚持以学生为本的办学原则，根据国家有关规定组织制定岗位设置方案，优先满足辅导员岗位需要。按照总体上</w:t>
      </w:r>
      <w:r>
        <w:rPr>
          <w:color w:val="auto"/>
          <w:spacing w:val="-16"/>
          <w:highlight w:val="none"/>
        </w:rPr>
        <w:t xml:space="preserve">师生比不低于 </w:t>
      </w:r>
      <w:r>
        <w:rPr>
          <w:color w:val="auto"/>
          <w:highlight w:val="none"/>
        </w:rPr>
        <w:t>1:200</w:t>
      </w:r>
      <w:r>
        <w:rPr>
          <w:color w:val="auto"/>
          <w:spacing w:val="-8"/>
          <w:highlight w:val="none"/>
        </w:rPr>
        <w:t xml:space="preserve"> 的比例设置辅导员岗位，其他人员不得挤占。学校鼓励辅导员终身从事辅导员工作。</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56" w:firstLine="640"/>
        <w:jc w:val="left"/>
        <w:textAlignment w:val="auto"/>
        <w:rPr>
          <w:color w:val="auto"/>
          <w:highlight w:val="none"/>
        </w:rPr>
      </w:pPr>
      <w:r>
        <w:rPr>
          <w:rFonts w:hint="eastAsia" w:ascii="方正楷体_GBK" w:eastAsia="方正楷体_GBK"/>
          <w:b/>
          <w:color w:val="auto"/>
          <w:highlight w:val="none"/>
        </w:rPr>
        <w:t>第七条</w:t>
      </w:r>
      <w:r>
        <w:rPr>
          <w:rFonts w:hint="eastAsia" w:ascii="方正楷体_GBK" w:eastAsia="方正楷体_GBK"/>
          <w:b/>
          <w:color w:val="auto"/>
          <w:highlight w:val="none"/>
          <w:lang w:val="en-US" w:eastAsia="zh-CN"/>
        </w:rPr>
        <w:t xml:space="preserve">  </w:t>
      </w:r>
      <w:r>
        <w:rPr>
          <w:color w:val="auto"/>
          <w:highlight w:val="none"/>
        </w:rPr>
        <w:t>辅导员在学校董事会、党委、行政的领导下， 人力资源处、学生工作处与各二级学院共同管理的原则。</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56" w:firstLine="640"/>
        <w:jc w:val="left"/>
        <w:textAlignment w:val="auto"/>
        <w:rPr>
          <w:color w:val="auto"/>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bookmarkStart w:id="91" w:name="_Toc22932"/>
      <w:r>
        <w:rPr>
          <w:rFonts w:hint="eastAsia" w:ascii="方正黑体_GBK" w:hAnsi="方正黑体_GBK" w:eastAsia="方正黑体_GBK" w:cs="方正黑体_GBK"/>
          <w:b/>
          <w:bCs/>
          <w:color w:val="auto"/>
          <w:sz w:val="32"/>
          <w:szCs w:val="32"/>
          <w:highlight w:val="none"/>
          <w:lang w:val="en-US" w:eastAsia="zh-CN"/>
        </w:rPr>
        <w:t>第二章  任职基本条件</w:t>
      </w:r>
      <w:bookmarkEnd w:id="91"/>
    </w:p>
    <w:p>
      <w:pPr>
        <w:keepNext w:val="0"/>
        <w:keepLines w:val="0"/>
        <w:pageBreakBefore w:val="0"/>
        <w:numPr>
          <w:ilvl w:val="0"/>
          <w:numId w:val="0"/>
        </w:numPr>
        <w:kinsoku/>
        <w:wordWrap/>
        <w:overflowPunct/>
        <w:topLinePunct w:val="0"/>
        <w:bidi w:val="0"/>
        <w:spacing w:line="560" w:lineRule="exact"/>
        <w:ind w:leftChars="0" w:right="0" w:rightChars="0"/>
        <w:textAlignment w:val="auto"/>
        <w:rPr>
          <w:color w:val="auto"/>
          <w:highlight w:val="none"/>
        </w:rPr>
      </w:pPr>
    </w:p>
    <w:p>
      <w:pPr>
        <w:pStyle w:val="6"/>
        <w:keepNext w:val="0"/>
        <w:keepLines w:val="0"/>
        <w:pageBreakBefore w:val="0"/>
        <w:widowControl w:val="0"/>
        <w:tabs>
          <w:tab w:val="left" w:pos="2044"/>
        </w:tabs>
        <w:kinsoku/>
        <w:wordWrap/>
        <w:overflowPunct/>
        <w:topLinePunct w:val="0"/>
        <w:autoSpaceDE w:val="0"/>
        <w:autoSpaceDN w:val="0"/>
        <w:bidi w:val="0"/>
        <w:adjustRightInd/>
        <w:snapToGrid/>
        <w:spacing w:before="30" w:line="560" w:lineRule="exact"/>
        <w:ind w:right="277" w:firstLine="640"/>
        <w:jc w:val="left"/>
        <w:textAlignment w:val="auto"/>
        <w:rPr>
          <w:rFonts w:hint="eastAsia" w:ascii="方正楷体_GBK" w:eastAsia="方正楷体_GBK"/>
          <w:b/>
          <w:color w:val="auto"/>
          <w:highlight w:val="none"/>
        </w:rPr>
      </w:pPr>
    </w:p>
    <w:p>
      <w:pPr>
        <w:pStyle w:val="6"/>
        <w:keepNext w:val="0"/>
        <w:keepLines w:val="0"/>
        <w:pageBreakBefore w:val="0"/>
        <w:widowControl w:val="0"/>
        <w:tabs>
          <w:tab w:val="left" w:pos="2044"/>
        </w:tabs>
        <w:kinsoku/>
        <w:wordWrap/>
        <w:overflowPunct/>
        <w:topLinePunct w:val="0"/>
        <w:autoSpaceDE w:val="0"/>
        <w:autoSpaceDN w:val="0"/>
        <w:bidi w:val="0"/>
        <w:adjustRightInd/>
        <w:snapToGrid/>
        <w:spacing w:before="30" w:line="560" w:lineRule="exact"/>
        <w:ind w:right="277" w:firstLine="640"/>
        <w:jc w:val="left"/>
        <w:textAlignment w:val="auto"/>
        <w:rPr>
          <w:color w:val="auto"/>
          <w:highlight w:val="none"/>
        </w:rPr>
      </w:pPr>
      <w:r>
        <w:rPr>
          <w:rFonts w:hint="eastAsia" w:ascii="方正楷体_GBK" w:eastAsia="方正楷体_GBK"/>
          <w:b/>
          <w:color w:val="auto"/>
          <w:highlight w:val="none"/>
        </w:rPr>
        <w:t>第八条</w:t>
      </w:r>
      <w:r>
        <w:rPr>
          <w:rFonts w:hint="eastAsia" w:ascii="方正楷体_GBK" w:eastAsia="方正楷体_GBK"/>
          <w:b/>
          <w:color w:val="auto"/>
          <w:highlight w:val="none"/>
        </w:rPr>
        <w:tab/>
      </w:r>
      <w:r>
        <w:rPr>
          <w:color w:val="auto"/>
          <w:highlight w:val="none"/>
        </w:rPr>
        <w:t>辅导员应为中共党员</w:t>
      </w:r>
      <w:r>
        <w:rPr>
          <w:rFonts w:hint="eastAsia"/>
          <w:color w:val="auto"/>
          <w:highlight w:val="none"/>
          <w:lang w:eastAsia="zh-CN"/>
        </w:rPr>
        <w:t>，</w:t>
      </w:r>
      <w:r>
        <w:rPr>
          <w:color w:val="auto"/>
          <w:highlight w:val="none"/>
        </w:rPr>
        <w:t>原则上应具有本科(含本科)以上学历的毕业生和优秀教师、党政干部。</w:t>
      </w:r>
    </w:p>
    <w:p>
      <w:pPr>
        <w:keepNext w:val="0"/>
        <w:keepLines w:val="0"/>
        <w:pageBreakBefore w:val="0"/>
        <w:widowControl w:val="0"/>
        <w:tabs>
          <w:tab w:val="left" w:pos="2042"/>
        </w:tabs>
        <w:kinsoku/>
        <w:wordWrap/>
        <w:overflowPunct/>
        <w:topLinePunct w:val="0"/>
        <w:autoSpaceDE w:val="0"/>
        <w:autoSpaceDN w:val="0"/>
        <w:bidi w:val="0"/>
        <w:adjustRightInd/>
        <w:snapToGrid/>
        <w:spacing w:before="0" w:line="560" w:lineRule="exact"/>
        <w:ind w:left="760" w:right="0" w:firstLine="0"/>
        <w:jc w:val="left"/>
        <w:textAlignment w:val="auto"/>
        <w:rPr>
          <w:rFonts w:ascii="方正仿宋_GBK" w:hAnsi="方正仿宋_GBK" w:eastAsia="方正仿宋_GBK" w:cs="方正仿宋_GBK"/>
          <w:color w:val="auto"/>
          <w:spacing w:val="-1"/>
          <w:w w:val="95"/>
          <w:kern w:val="2"/>
          <w:sz w:val="32"/>
          <w:szCs w:val="32"/>
          <w:highlight w:val="none"/>
          <w:lang w:val="zh-CN" w:eastAsia="zh-CN" w:bidi="zh-CN"/>
        </w:rPr>
      </w:pPr>
      <w:r>
        <w:rPr>
          <w:rFonts w:hint="eastAsia" w:ascii="方正楷体_GBK" w:eastAsia="方正楷体_GBK"/>
          <w:b/>
          <w:color w:val="auto"/>
          <w:sz w:val="32"/>
          <w:highlight w:val="none"/>
        </w:rPr>
        <w:t>第九条</w:t>
      </w:r>
      <w:r>
        <w:rPr>
          <w:rFonts w:hint="eastAsia" w:ascii="方正楷体_GBK" w:eastAsia="方正楷体_GBK"/>
          <w:b/>
          <w:color w:val="auto"/>
          <w:sz w:val="32"/>
          <w:highlight w:val="none"/>
        </w:rPr>
        <w:tab/>
      </w:r>
      <w:r>
        <w:rPr>
          <w:rFonts w:ascii="方正仿宋_GBK" w:hAnsi="方正仿宋_GBK" w:eastAsia="方正仿宋_GBK" w:cs="方正仿宋_GBK"/>
          <w:color w:val="auto"/>
          <w:spacing w:val="-1"/>
          <w:w w:val="95"/>
          <w:kern w:val="2"/>
          <w:sz w:val="32"/>
          <w:szCs w:val="32"/>
          <w:highlight w:val="none"/>
          <w:lang w:val="zh-CN" w:eastAsia="zh-CN" w:bidi="zh-CN"/>
        </w:rPr>
        <w:t>辅导员应当符合以下基本条件:</w:t>
      </w:r>
    </w:p>
    <w:p>
      <w:pPr>
        <w:pStyle w:val="6"/>
        <w:keepNext w:val="0"/>
        <w:keepLines w:val="0"/>
        <w:pageBreakBefore w:val="0"/>
        <w:widowControl w:val="0"/>
        <w:kinsoku/>
        <w:wordWrap/>
        <w:overflowPunct/>
        <w:topLinePunct w:val="0"/>
        <w:autoSpaceDE w:val="0"/>
        <w:autoSpaceDN w:val="0"/>
        <w:bidi w:val="0"/>
        <w:adjustRightInd/>
        <w:snapToGrid/>
        <w:spacing w:before="9" w:line="560" w:lineRule="exact"/>
        <w:ind w:right="277" w:firstLine="640"/>
        <w:jc w:val="left"/>
        <w:textAlignment w:val="auto"/>
        <w:rPr>
          <w:color w:val="auto"/>
          <w:highlight w:val="none"/>
        </w:rPr>
      </w:pPr>
      <w:r>
        <w:rPr>
          <w:color w:val="auto"/>
          <w:w w:val="95"/>
          <w:highlight w:val="none"/>
        </w:rPr>
        <w:t>（一</w:t>
      </w:r>
      <w:r>
        <w:rPr>
          <w:color w:val="auto"/>
          <w:spacing w:val="-5"/>
          <w:w w:val="95"/>
          <w:highlight w:val="none"/>
        </w:rPr>
        <w:t>）</w:t>
      </w:r>
      <w:r>
        <w:rPr>
          <w:color w:val="auto"/>
          <w:spacing w:val="-1"/>
          <w:w w:val="95"/>
          <w:highlight w:val="none"/>
        </w:rPr>
        <w:t xml:space="preserve">具有较高的政治素质和坚定的理想信念，坚决贯 </w:t>
      </w:r>
      <w:r>
        <w:rPr>
          <w:color w:val="auto"/>
          <w:spacing w:val="-2"/>
          <w:highlight w:val="none"/>
        </w:rPr>
        <w:t>彻执行党的基本路线和各项方针政策，有较强的政治敏感性和政治辨别力；</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80" w:firstLine="640"/>
        <w:jc w:val="left"/>
        <w:textAlignment w:val="auto"/>
        <w:rPr>
          <w:color w:val="auto"/>
          <w:highlight w:val="none"/>
        </w:rPr>
      </w:pPr>
      <w:r>
        <w:rPr>
          <w:color w:val="auto"/>
          <w:w w:val="95"/>
          <w:highlight w:val="none"/>
        </w:rPr>
        <w:t>（二</w:t>
      </w:r>
      <w:r>
        <w:rPr>
          <w:color w:val="auto"/>
          <w:spacing w:val="-3"/>
          <w:w w:val="95"/>
          <w:highlight w:val="none"/>
        </w:rPr>
        <w:t>）</w:t>
      </w:r>
      <w:r>
        <w:rPr>
          <w:color w:val="auto"/>
          <w:spacing w:val="-2"/>
          <w:w w:val="95"/>
          <w:highlight w:val="none"/>
        </w:rPr>
        <w:t xml:space="preserve">热爱大学生思想政治教育事业，甘于奉献，潜心 </w:t>
      </w:r>
      <w:r>
        <w:rPr>
          <w:color w:val="auto"/>
          <w:spacing w:val="-2"/>
          <w:highlight w:val="none"/>
        </w:rPr>
        <w:t>育人，具有强烈的事业心和责任感；</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7" w:firstLine="640"/>
        <w:jc w:val="left"/>
        <w:textAlignment w:val="auto"/>
        <w:rPr>
          <w:color w:val="auto"/>
          <w:highlight w:val="none"/>
        </w:rPr>
      </w:pPr>
      <w:r>
        <w:rPr>
          <w:color w:val="auto"/>
          <w:spacing w:val="14"/>
          <w:w w:val="95"/>
          <w:highlight w:val="none"/>
        </w:rPr>
        <w:t>（三）</w:t>
      </w:r>
      <w:r>
        <w:rPr>
          <w:color w:val="auto"/>
          <w:spacing w:val="13"/>
          <w:w w:val="95"/>
          <w:highlight w:val="none"/>
        </w:rPr>
        <w:t xml:space="preserve">具有从事思想政治教育工作有关学科的知识储 </w:t>
      </w:r>
      <w:r>
        <w:rPr>
          <w:color w:val="auto"/>
          <w:spacing w:val="11"/>
          <w:w w:val="95"/>
          <w:highlight w:val="none"/>
        </w:rPr>
        <w:t xml:space="preserve">备，掌握思想政治教育工作有关学科的基本原理和基础知 </w:t>
      </w:r>
      <w:r>
        <w:rPr>
          <w:color w:val="auto"/>
          <w:spacing w:val="-3"/>
          <w:highlight w:val="none"/>
        </w:rPr>
        <w:t>识，掌握思想政治教育专业基本理论、知识和方法，掌握马</w:t>
      </w:r>
      <w:r>
        <w:rPr>
          <w:color w:val="auto"/>
          <w:spacing w:val="-4"/>
          <w:highlight w:val="none"/>
        </w:rPr>
        <w:t>克思主义中国化有关理论和知识，掌握大学生思想政治教育工作实务有关知识，掌握有关法律法规知识；</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119" w:firstLine="640"/>
        <w:jc w:val="left"/>
        <w:textAlignment w:val="auto"/>
        <w:rPr>
          <w:color w:val="auto"/>
          <w:highlight w:val="none"/>
        </w:rPr>
      </w:pPr>
      <w:r>
        <w:rPr>
          <w:color w:val="auto"/>
          <w:w w:val="95"/>
          <w:highlight w:val="none"/>
        </w:rPr>
        <w:t>（四</w:t>
      </w:r>
      <w:r>
        <w:rPr>
          <w:color w:val="auto"/>
          <w:spacing w:val="-87"/>
          <w:w w:val="95"/>
          <w:highlight w:val="none"/>
        </w:rPr>
        <w:t>）</w:t>
      </w:r>
      <w:r>
        <w:rPr>
          <w:color w:val="auto"/>
          <w:spacing w:val="-8"/>
          <w:w w:val="95"/>
          <w:highlight w:val="none"/>
        </w:rPr>
        <w:t xml:space="preserve">具备较强的组织管理能力、语言和文字表达能力、 </w:t>
      </w:r>
      <w:r>
        <w:rPr>
          <w:color w:val="auto"/>
          <w:spacing w:val="-8"/>
          <w:highlight w:val="none"/>
        </w:rPr>
        <w:t>教育引导能力，具备开展思想理论教育和价值引领工作的能力；</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760"/>
        <w:jc w:val="left"/>
        <w:textAlignment w:val="auto"/>
        <w:rPr>
          <w:color w:val="auto"/>
          <w:highlight w:val="none"/>
        </w:rPr>
      </w:pPr>
      <w:r>
        <w:rPr>
          <w:color w:val="auto"/>
          <w:highlight w:val="none"/>
        </w:rPr>
        <w:t>（五）具有较强的纪律观念和规矩意识，遵纪守法，为</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jc w:val="left"/>
        <w:textAlignment w:val="auto"/>
        <w:rPr>
          <w:color w:val="auto"/>
          <w:highlight w:val="none"/>
        </w:rPr>
      </w:pPr>
      <w:r>
        <w:rPr>
          <w:color w:val="auto"/>
          <w:highlight w:val="none"/>
        </w:rPr>
        <w:t>人正直，作风正派，廉洁自律；</w:t>
      </w:r>
    </w:p>
    <w:p>
      <w:pPr>
        <w:pStyle w:val="6"/>
        <w:keepNext w:val="0"/>
        <w:keepLines w:val="0"/>
        <w:pageBreakBefore w:val="0"/>
        <w:widowControl w:val="0"/>
        <w:numPr>
          <w:ilvl w:val="0"/>
          <w:numId w:val="4"/>
        </w:numPr>
        <w:kinsoku/>
        <w:wordWrap/>
        <w:overflowPunct/>
        <w:topLinePunct w:val="0"/>
        <w:autoSpaceDE w:val="0"/>
        <w:autoSpaceDN w:val="0"/>
        <w:bidi w:val="0"/>
        <w:adjustRightInd/>
        <w:snapToGrid/>
        <w:spacing w:before="44" w:line="560" w:lineRule="exact"/>
        <w:ind w:right="280" w:firstLine="640"/>
        <w:jc w:val="left"/>
        <w:textAlignment w:val="auto"/>
        <w:rPr>
          <w:color w:val="auto"/>
          <w:highlight w:val="none"/>
        </w:rPr>
      </w:pPr>
      <w:r>
        <w:rPr>
          <w:color w:val="auto"/>
          <w:spacing w:val="-2"/>
          <w:highlight w:val="none"/>
        </w:rPr>
        <w:t>认同并积极践行学校文化和价值观，个人意愿和</w:t>
      </w:r>
      <w:r>
        <w:rPr>
          <w:color w:val="auto"/>
          <w:spacing w:val="-3"/>
          <w:highlight w:val="none"/>
        </w:rPr>
        <w:t>行动与组织决策部署保持高度一致，聚焦学校学生服务、教</w:t>
      </w:r>
      <w:r>
        <w:rPr>
          <w:color w:val="auto"/>
          <w:highlight w:val="none"/>
        </w:rPr>
        <w:t>育与管理改革。</w:t>
      </w:r>
    </w:p>
    <w:p>
      <w:pPr>
        <w:pStyle w:val="6"/>
        <w:keepNext w:val="0"/>
        <w:keepLines w:val="0"/>
        <w:pageBreakBefore w:val="0"/>
        <w:widowControl w:val="0"/>
        <w:numPr>
          <w:ilvl w:val="0"/>
          <w:numId w:val="0"/>
        </w:numPr>
        <w:kinsoku/>
        <w:wordWrap/>
        <w:overflowPunct/>
        <w:topLinePunct w:val="0"/>
        <w:autoSpaceDE w:val="0"/>
        <w:autoSpaceDN w:val="0"/>
        <w:bidi w:val="0"/>
        <w:adjustRightInd/>
        <w:snapToGrid/>
        <w:spacing w:before="44" w:line="560" w:lineRule="exact"/>
        <w:ind w:left="760" w:leftChars="0" w:right="280" w:rightChars="0"/>
        <w:jc w:val="left"/>
        <w:textAlignment w:val="auto"/>
        <w:rPr>
          <w:rFonts w:hint="eastAsia"/>
          <w:color w:val="auto"/>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bookmarkStart w:id="92" w:name="_Toc29801"/>
      <w:r>
        <w:rPr>
          <w:rFonts w:hint="eastAsia" w:ascii="方正黑体_GBK" w:hAnsi="方正黑体_GBK" w:eastAsia="方正黑体_GBK" w:cs="方正黑体_GBK"/>
          <w:b/>
          <w:bCs/>
          <w:color w:val="auto"/>
          <w:sz w:val="32"/>
          <w:szCs w:val="32"/>
          <w:highlight w:val="none"/>
          <w:lang w:val="en-US" w:eastAsia="zh-CN"/>
        </w:rPr>
        <w:t>第三章  职级设置及晋升原则</w:t>
      </w:r>
      <w:bookmarkEnd w:id="92"/>
    </w:p>
    <w:p>
      <w:pPr>
        <w:pStyle w:val="6"/>
        <w:keepNext w:val="0"/>
        <w:keepLines w:val="0"/>
        <w:pageBreakBefore w:val="0"/>
        <w:widowControl w:val="0"/>
        <w:kinsoku/>
        <w:wordWrap/>
        <w:overflowPunct/>
        <w:topLinePunct w:val="0"/>
        <w:autoSpaceDE w:val="0"/>
        <w:autoSpaceDN w:val="0"/>
        <w:bidi w:val="0"/>
        <w:adjustRightInd/>
        <w:snapToGrid/>
        <w:spacing w:before="57" w:line="560" w:lineRule="exact"/>
        <w:ind w:right="335" w:firstLine="687" w:firstLineChars="200"/>
        <w:jc w:val="left"/>
        <w:textAlignment w:val="auto"/>
        <w:rPr>
          <w:rFonts w:hint="eastAsia" w:ascii="方正楷体_GBK" w:eastAsia="方正楷体_GBK"/>
          <w:b/>
          <w:color w:val="auto"/>
          <w:spacing w:val="11"/>
          <w:highlight w:val="none"/>
        </w:rPr>
      </w:pPr>
    </w:p>
    <w:p>
      <w:pPr>
        <w:pStyle w:val="6"/>
        <w:keepNext w:val="0"/>
        <w:keepLines w:val="0"/>
        <w:pageBreakBefore w:val="0"/>
        <w:widowControl w:val="0"/>
        <w:kinsoku/>
        <w:wordWrap/>
        <w:overflowPunct/>
        <w:topLinePunct w:val="0"/>
        <w:autoSpaceDE w:val="0"/>
        <w:autoSpaceDN w:val="0"/>
        <w:bidi w:val="0"/>
        <w:adjustRightInd/>
        <w:snapToGrid/>
        <w:spacing w:before="57" w:line="560" w:lineRule="exact"/>
        <w:ind w:right="335" w:firstLine="687" w:firstLineChars="200"/>
        <w:jc w:val="left"/>
        <w:textAlignment w:val="auto"/>
        <w:rPr>
          <w:color w:val="auto"/>
          <w:highlight w:val="none"/>
        </w:rPr>
      </w:pPr>
      <w:r>
        <w:rPr>
          <w:rFonts w:hint="eastAsia" w:ascii="方正楷体_GBK" w:eastAsia="方正楷体_GBK"/>
          <w:b/>
          <w:color w:val="auto"/>
          <w:spacing w:val="11"/>
          <w:highlight w:val="none"/>
        </w:rPr>
        <w:t>第十条</w:t>
      </w:r>
      <w:r>
        <w:rPr>
          <w:rFonts w:hint="eastAsia" w:ascii="方正楷体_GBK" w:eastAsia="方正楷体_GBK"/>
          <w:b/>
          <w:color w:val="auto"/>
          <w:spacing w:val="11"/>
          <w:highlight w:val="none"/>
          <w:lang w:val="en-US" w:eastAsia="zh-CN"/>
        </w:rPr>
        <w:t xml:space="preserve">  </w:t>
      </w:r>
      <w:r>
        <w:rPr>
          <w:color w:val="auto"/>
          <w:highlight w:val="none"/>
        </w:rPr>
        <w:t>职级设置。我校专职辅导员岗位实行非领导职</w:t>
      </w:r>
      <w:r>
        <w:rPr>
          <w:color w:val="auto"/>
          <w:spacing w:val="-8"/>
          <w:highlight w:val="none"/>
        </w:rPr>
        <w:t>务职级聘任制。设立科员级辅导员、副科级辅导员、正科级辅导员、副处级辅导员、正处级辅导员五级职级制。</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80" w:firstLine="671" w:firstLineChars="200"/>
        <w:jc w:val="left"/>
        <w:textAlignment w:val="auto"/>
        <w:rPr>
          <w:color w:val="auto"/>
          <w:highlight w:val="none"/>
        </w:rPr>
      </w:pPr>
      <w:r>
        <w:rPr>
          <w:rFonts w:hint="eastAsia" w:ascii="方正楷体_GBK" w:eastAsia="方正楷体_GBK"/>
          <w:b/>
          <w:color w:val="auto"/>
          <w:spacing w:val="7"/>
          <w:highlight w:val="none"/>
        </w:rPr>
        <w:t>第十一条</w:t>
      </w:r>
      <w:r>
        <w:rPr>
          <w:rFonts w:hint="eastAsia" w:ascii="方正楷体_GBK" w:eastAsia="方正楷体_GBK"/>
          <w:b/>
          <w:color w:val="auto"/>
          <w:spacing w:val="7"/>
          <w:highlight w:val="none"/>
          <w:lang w:val="en-US" w:eastAsia="zh-CN"/>
        </w:rPr>
        <w:t xml:space="preserve">  </w:t>
      </w:r>
      <w:r>
        <w:rPr>
          <w:color w:val="auto"/>
          <w:spacing w:val="-4"/>
          <w:highlight w:val="none"/>
        </w:rPr>
        <w:t>晋升原则。强调辅导员从事学生工作的基本</w:t>
      </w:r>
      <w:r>
        <w:rPr>
          <w:color w:val="auto"/>
          <w:spacing w:val="-5"/>
          <w:highlight w:val="none"/>
        </w:rPr>
        <w:t>年限。突出辅导员的政治、业务素质及其工作实绩，考核学</w:t>
      </w:r>
      <w:r>
        <w:rPr>
          <w:color w:val="auto"/>
          <w:highlight w:val="none"/>
        </w:rPr>
        <w:t>校布置重点、整体性工作的完成情况。</w:t>
      </w:r>
    </w:p>
    <w:p>
      <w:pPr>
        <w:pStyle w:val="2"/>
        <w:keepNext w:val="0"/>
        <w:keepLines w:val="0"/>
        <w:pageBreakBefore w:val="0"/>
        <w:widowControl w:val="0"/>
        <w:kinsoku/>
        <w:wordWrap/>
        <w:overflowPunct/>
        <w:topLinePunct w:val="0"/>
        <w:autoSpaceDE w:val="0"/>
        <w:autoSpaceDN w:val="0"/>
        <w:bidi w:val="0"/>
        <w:adjustRightInd/>
        <w:snapToGrid/>
        <w:spacing w:before="47" w:line="560" w:lineRule="exact"/>
        <w:ind w:left="311" w:right="468"/>
        <w:jc w:val="center"/>
        <w:textAlignment w:val="auto"/>
        <w:rPr>
          <w:color w:val="auto"/>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bookmarkStart w:id="93" w:name="_Toc30685"/>
      <w:r>
        <w:rPr>
          <w:rFonts w:hint="eastAsia" w:ascii="方正黑体_GBK" w:hAnsi="方正黑体_GBK" w:eastAsia="方正黑体_GBK" w:cs="方正黑体_GBK"/>
          <w:b/>
          <w:bCs/>
          <w:color w:val="auto"/>
          <w:sz w:val="32"/>
          <w:szCs w:val="32"/>
          <w:highlight w:val="none"/>
          <w:lang w:val="en-US" w:eastAsia="zh-CN"/>
        </w:rPr>
        <w:t>第四章  岗位待遇</w:t>
      </w:r>
      <w:bookmarkEnd w:id="93"/>
    </w:p>
    <w:p>
      <w:pPr>
        <w:keepNext w:val="0"/>
        <w:keepLines w:val="0"/>
        <w:pageBreakBefore w:val="0"/>
        <w:widowControl w:val="0"/>
        <w:tabs>
          <w:tab w:val="left" w:pos="2445"/>
        </w:tabs>
        <w:kinsoku/>
        <w:wordWrap/>
        <w:overflowPunct/>
        <w:topLinePunct w:val="0"/>
        <w:autoSpaceDE w:val="0"/>
        <w:autoSpaceDN w:val="0"/>
        <w:bidi w:val="0"/>
        <w:adjustRightInd/>
        <w:snapToGrid/>
        <w:spacing w:before="54" w:line="560" w:lineRule="exact"/>
        <w:ind w:left="120" w:right="275" w:firstLine="640"/>
        <w:jc w:val="left"/>
        <w:textAlignment w:val="auto"/>
        <w:rPr>
          <w:rFonts w:hint="eastAsia" w:ascii="方正楷体_GBK" w:eastAsia="方正楷体_GBK"/>
          <w:b/>
          <w:color w:val="auto"/>
          <w:spacing w:val="14"/>
          <w:sz w:val="32"/>
          <w:highlight w:val="none"/>
        </w:rPr>
      </w:pPr>
    </w:p>
    <w:p>
      <w:pPr>
        <w:keepNext w:val="0"/>
        <w:keepLines w:val="0"/>
        <w:pageBreakBefore w:val="0"/>
        <w:widowControl w:val="0"/>
        <w:tabs>
          <w:tab w:val="left" w:pos="2445"/>
        </w:tabs>
        <w:kinsoku/>
        <w:wordWrap/>
        <w:overflowPunct/>
        <w:topLinePunct w:val="0"/>
        <w:autoSpaceDE w:val="0"/>
        <w:autoSpaceDN w:val="0"/>
        <w:bidi w:val="0"/>
        <w:adjustRightInd/>
        <w:snapToGrid/>
        <w:spacing w:before="54" w:line="560" w:lineRule="exact"/>
        <w:ind w:left="120" w:right="275" w:firstLine="640"/>
        <w:jc w:val="left"/>
        <w:textAlignment w:val="auto"/>
        <w:rPr>
          <w:rFonts w:hint="eastAsia" w:ascii="仿宋" w:eastAsia="仿宋"/>
          <w:color w:val="auto"/>
          <w:sz w:val="31"/>
          <w:highlight w:val="none"/>
        </w:rPr>
      </w:pPr>
      <w:r>
        <w:rPr>
          <w:rFonts w:hint="eastAsia" w:ascii="方正楷体_GBK" w:eastAsia="方正楷体_GBK"/>
          <w:b/>
          <w:color w:val="auto"/>
          <w:spacing w:val="14"/>
          <w:sz w:val="32"/>
          <w:highlight w:val="none"/>
        </w:rPr>
        <w:t>第十</w:t>
      </w:r>
      <w:r>
        <w:rPr>
          <w:rFonts w:hint="eastAsia" w:ascii="方正楷体_GBK" w:eastAsia="方正楷体_GBK"/>
          <w:b/>
          <w:color w:val="auto"/>
          <w:spacing w:val="17"/>
          <w:sz w:val="32"/>
          <w:highlight w:val="none"/>
        </w:rPr>
        <w:t>二</w:t>
      </w:r>
      <w:r>
        <w:rPr>
          <w:rFonts w:hint="eastAsia" w:ascii="方正楷体_GBK" w:eastAsia="方正楷体_GBK"/>
          <w:b/>
          <w:color w:val="auto"/>
          <w:sz w:val="32"/>
          <w:highlight w:val="none"/>
        </w:rPr>
        <w:t>条</w:t>
      </w:r>
      <w:r>
        <w:rPr>
          <w:rFonts w:hint="eastAsia" w:ascii="方正楷体_GBK" w:eastAsia="方正楷体_GBK"/>
          <w:b/>
          <w:color w:val="auto"/>
          <w:sz w:val="32"/>
          <w:highlight w:val="none"/>
          <w:lang w:val="en-US" w:eastAsia="zh-CN"/>
        </w:rPr>
        <w:t xml:space="preserve">  </w:t>
      </w:r>
      <w:r>
        <w:rPr>
          <w:rFonts w:hint="eastAsia" w:ascii="仿宋" w:eastAsia="仿宋"/>
          <w:color w:val="auto"/>
          <w:sz w:val="31"/>
          <w:highlight w:val="none"/>
        </w:rPr>
        <w:t>辅导员岗位职级待遇按照学校有关政策执行，辅导员岗位职级与学校其他岗位相同职级同等待遇。</w:t>
      </w:r>
    </w:p>
    <w:p>
      <w:pPr>
        <w:keepNext w:val="0"/>
        <w:keepLines w:val="0"/>
        <w:pageBreakBefore w:val="0"/>
        <w:widowControl w:val="0"/>
        <w:tabs>
          <w:tab w:val="left" w:pos="2366"/>
        </w:tabs>
        <w:kinsoku/>
        <w:wordWrap/>
        <w:overflowPunct/>
        <w:topLinePunct w:val="0"/>
        <w:autoSpaceDE w:val="0"/>
        <w:autoSpaceDN w:val="0"/>
        <w:bidi w:val="0"/>
        <w:adjustRightInd/>
        <w:snapToGrid/>
        <w:spacing w:before="10" w:line="560" w:lineRule="exact"/>
        <w:ind w:left="120" w:right="277" w:firstLine="640"/>
        <w:jc w:val="left"/>
        <w:textAlignment w:val="auto"/>
        <w:rPr>
          <w:rFonts w:hint="eastAsia" w:ascii="仿宋" w:eastAsia="仿宋"/>
          <w:color w:val="auto"/>
          <w:sz w:val="31"/>
          <w:highlight w:val="none"/>
        </w:rPr>
      </w:pPr>
      <w:r>
        <w:rPr>
          <w:rFonts w:hint="eastAsia" w:ascii="方正楷体_GBK" w:eastAsia="方正楷体_GBK"/>
          <w:b/>
          <w:color w:val="auto"/>
          <w:sz w:val="32"/>
          <w:highlight w:val="none"/>
        </w:rPr>
        <w:t>第十三条</w:t>
      </w:r>
      <w:r>
        <w:rPr>
          <w:rFonts w:hint="eastAsia" w:ascii="方正楷体_GBK" w:eastAsia="方正楷体_GBK"/>
          <w:b/>
          <w:color w:val="auto"/>
          <w:sz w:val="32"/>
          <w:highlight w:val="none"/>
          <w:lang w:val="en-US" w:eastAsia="zh-CN"/>
        </w:rPr>
        <w:t xml:space="preserve">  </w:t>
      </w:r>
      <w:r>
        <w:rPr>
          <w:rFonts w:hint="eastAsia" w:ascii="仿宋" w:eastAsia="仿宋"/>
          <w:color w:val="auto"/>
          <w:sz w:val="31"/>
          <w:highlight w:val="none"/>
        </w:rPr>
        <w:t>调离辅导员岗位的，其相应的辅导员岗位职级和待遇自动取消，不再享受相应待遇。</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760"/>
        <w:jc w:val="left"/>
        <w:textAlignment w:val="auto"/>
        <w:rPr>
          <w:color w:val="auto"/>
          <w:highlight w:val="none"/>
        </w:rPr>
      </w:pPr>
      <w:r>
        <w:rPr>
          <w:color w:val="auto"/>
          <w:highlight w:val="none"/>
        </w:rPr>
        <w:t>辅导员降级的，次月开始按降级后的待遇对待。</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760"/>
        <w:jc w:val="left"/>
        <w:textAlignment w:val="auto"/>
        <w:rPr>
          <w:color w:val="auto"/>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bookmarkStart w:id="94" w:name="_Toc30166"/>
      <w:r>
        <w:rPr>
          <w:rFonts w:hint="eastAsia" w:ascii="方正黑体_GBK" w:hAnsi="方正黑体_GBK" w:eastAsia="方正黑体_GBK" w:cs="方正黑体_GBK"/>
          <w:b/>
          <w:bCs/>
          <w:color w:val="auto"/>
          <w:sz w:val="32"/>
          <w:szCs w:val="32"/>
          <w:highlight w:val="none"/>
          <w:lang w:val="en-US" w:eastAsia="zh-CN"/>
        </w:rPr>
        <w:t>第五章  晋升任职条件</w:t>
      </w:r>
      <w:bookmarkEnd w:id="94"/>
    </w:p>
    <w:p>
      <w:pPr>
        <w:keepNext w:val="0"/>
        <w:keepLines w:val="0"/>
        <w:pageBreakBefore w:val="0"/>
        <w:widowControl w:val="0"/>
        <w:tabs>
          <w:tab w:val="left" w:pos="2366"/>
        </w:tabs>
        <w:kinsoku/>
        <w:wordWrap/>
        <w:overflowPunct/>
        <w:topLinePunct w:val="0"/>
        <w:autoSpaceDE w:val="0"/>
        <w:autoSpaceDN w:val="0"/>
        <w:bidi w:val="0"/>
        <w:adjustRightInd/>
        <w:snapToGrid/>
        <w:spacing w:before="54" w:line="560" w:lineRule="exact"/>
        <w:ind w:left="760" w:right="0" w:firstLine="0"/>
        <w:jc w:val="left"/>
        <w:textAlignment w:val="auto"/>
        <w:rPr>
          <w:rFonts w:hint="eastAsia" w:ascii="方正楷体_GBK" w:eastAsia="方正楷体_GBK"/>
          <w:b/>
          <w:color w:val="auto"/>
          <w:sz w:val="32"/>
          <w:highlight w:val="none"/>
        </w:rPr>
      </w:pPr>
    </w:p>
    <w:p>
      <w:pPr>
        <w:keepNext w:val="0"/>
        <w:keepLines w:val="0"/>
        <w:pageBreakBefore w:val="0"/>
        <w:widowControl w:val="0"/>
        <w:tabs>
          <w:tab w:val="left" w:pos="2366"/>
        </w:tabs>
        <w:kinsoku/>
        <w:wordWrap/>
        <w:overflowPunct/>
        <w:topLinePunct w:val="0"/>
        <w:autoSpaceDE w:val="0"/>
        <w:autoSpaceDN w:val="0"/>
        <w:bidi w:val="0"/>
        <w:adjustRightInd/>
        <w:snapToGrid/>
        <w:spacing w:before="54" w:line="560" w:lineRule="exact"/>
        <w:ind w:left="760" w:right="0" w:firstLine="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楷体_GBK" w:eastAsia="方正楷体_GBK"/>
          <w:b/>
          <w:color w:val="auto"/>
          <w:sz w:val="32"/>
          <w:highlight w:val="none"/>
        </w:rPr>
        <w:t>第十四条</w:t>
      </w:r>
      <w:r>
        <w:rPr>
          <w:rFonts w:hint="eastAsia" w:ascii="方正楷体_GBK" w:eastAsia="方正楷体_GBK"/>
          <w:b/>
          <w:color w:val="auto"/>
          <w:sz w:val="32"/>
          <w:highlight w:val="none"/>
          <w:lang w:val="en-US" w:eastAsia="zh-CN"/>
        </w:rPr>
        <w:t xml:space="preserve">  </w:t>
      </w:r>
      <w:r>
        <w:rPr>
          <w:rFonts w:ascii="方正仿宋_GBK" w:hAnsi="方正仿宋_GBK" w:eastAsia="方正仿宋_GBK" w:cs="方正仿宋_GBK"/>
          <w:color w:val="auto"/>
          <w:kern w:val="2"/>
          <w:sz w:val="32"/>
          <w:szCs w:val="32"/>
          <w:highlight w:val="none"/>
          <w:lang w:val="zh-CN" w:eastAsia="zh-CN" w:bidi="zh-CN"/>
        </w:rPr>
        <w:t>科员级辅导员应当符合以下任职条件：</w:t>
      </w:r>
    </w:p>
    <w:p>
      <w:pPr>
        <w:pStyle w:val="6"/>
        <w:keepNext w:val="0"/>
        <w:keepLines w:val="0"/>
        <w:pageBreakBefore w:val="0"/>
        <w:widowControl w:val="0"/>
        <w:kinsoku/>
        <w:wordWrap/>
        <w:overflowPunct/>
        <w:topLinePunct w:val="0"/>
        <w:autoSpaceDE w:val="0"/>
        <w:autoSpaceDN w:val="0"/>
        <w:bidi w:val="0"/>
        <w:adjustRightInd/>
        <w:snapToGrid/>
        <w:spacing w:before="45" w:line="560" w:lineRule="exact"/>
        <w:ind w:left="76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ascii="方正仿宋_GBK" w:hAnsi="方正仿宋_GBK" w:eastAsia="方正仿宋_GBK" w:cs="方正仿宋_GBK"/>
          <w:color w:val="auto"/>
          <w:kern w:val="2"/>
          <w:sz w:val="32"/>
          <w:szCs w:val="32"/>
          <w:highlight w:val="none"/>
          <w:lang w:val="zh-CN" w:eastAsia="zh-CN" w:bidi="zh-CN"/>
        </w:rPr>
        <w:t>（一）工作年限条件。在学校辅导员岗位工作并正式转</w:t>
      </w:r>
    </w:p>
    <w:p>
      <w:pPr>
        <w:pStyle w:val="6"/>
        <w:keepNext w:val="0"/>
        <w:keepLines w:val="0"/>
        <w:pageBreakBefore w:val="0"/>
        <w:widowControl w:val="0"/>
        <w:kinsoku/>
        <w:wordWrap/>
        <w:overflowPunct/>
        <w:topLinePunct w:val="0"/>
        <w:autoSpaceDE w:val="0"/>
        <w:autoSpaceDN w:val="0"/>
        <w:bidi w:val="0"/>
        <w:adjustRightInd/>
        <w:snapToGrid/>
        <w:spacing w:before="46" w:line="560" w:lineRule="exact"/>
        <w:jc w:val="left"/>
        <w:textAlignment w:val="auto"/>
        <w:rPr>
          <w:color w:val="auto"/>
          <w:highlight w:val="none"/>
        </w:rPr>
      </w:pPr>
      <w:r>
        <w:rPr>
          <w:color w:val="auto"/>
          <w:highlight w:val="none"/>
        </w:rPr>
        <w:t>正。</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ind w:left="760"/>
        <w:jc w:val="left"/>
        <w:textAlignment w:val="auto"/>
        <w:rPr>
          <w:color w:val="auto"/>
          <w:highlight w:val="none"/>
        </w:rPr>
      </w:pPr>
      <w:r>
        <w:rPr>
          <w:color w:val="auto"/>
          <w:highlight w:val="none"/>
        </w:rPr>
        <w:t>（二）工作业绩条件：</w:t>
      </w:r>
    </w:p>
    <w:p>
      <w:pPr>
        <w:pStyle w:val="35"/>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45" w:after="0" w:line="560" w:lineRule="exact"/>
        <w:ind w:leftChars="200" w:right="0"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1.</w:t>
      </w:r>
      <w:r>
        <w:rPr>
          <w:rFonts w:ascii="方正仿宋_GBK" w:hAnsi="方正仿宋_GBK" w:eastAsia="方正仿宋_GBK" w:cs="方正仿宋_GBK"/>
          <w:color w:val="auto"/>
          <w:kern w:val="2"/>
          <w:sz w:val="32"/>
          <w:szCs w:val="32"/>
          <w:highlight w:val="none"/>
          <w:lang w:val="zh-CN" w:eastAsia="zh-CN" w:bidi="zh-CN"/>
        </w:rPr>
        <w:t>任职期间月考核合格，近 1 年内未出现月考核不合格及一票否决事项；</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44" w:after="0" w:line="560" w:lineRule="exact"/>
        <w:ind w:leftChars="200" w:right="280"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2.</w:t>
      </w:r>
      <w:r>
        <w:rPr>
          <w:rFonts w:ascii="方正仿宋_GBK" w:hAnsi="方正仿宋_GBK" w:eastAsia="方正仿宋_GBK" w:cs="方正仿宋_GBK"/>
          <w:color w:val="auto"/>
          <w:kern w:val="2"/>
          <w:sz w:val="32"/>
          <w:szCs w:val="32"/>
          <w:highlight w:val="none"/>
          <w:lang w:val="zh-CN" w:eastAsia="zh-CN" w:bidi="zh-CN"/>
        </w:rPr>
        <w:t>认真履行岗位职责，圆满完成了学生的思想教育及管理工作，所带学生未发生影响学校安全稳定的责任事项。</w:t>
      </w:r>
    </w:p>
    <w:p>
      <w:pPr>
        <w:keepNext w:val="0"/>
        <w:keepLines w:val="0"/>
        <w:pageBreakBefore w:val="0"/>
        <w:widowControl w:val="0"/>
        <w:tabs>
          <w:tab w:val="left" w:pos="2366"/>
        </w:tabs>
        <w:kinsoku/>
        <w:wordWrap/>
        <w:overflowPunct/>
        <w:topLinePunct w:val="0"/>
        <w:autoSpaceDE w:val="0"/>
        <w:autoSpaceDN w:val="0"/>
        <w:bidi w:val="0"/>
        <w:adjustRightInd/>
        <w:snapToGrid/>
        <w:spacing w:before="0" w:line="560" w:lineRule="exact"/>
        <w:ind w:left="760" w:right="0" w:firstLine="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楷体_GBK" w:eastAsia="方正楷体_GBK"/>
          <w:b/>
          <w:color w:val="auto"/>
          <w:sz w:val="32"/>
          <w:highlight w:val="none"/>
          <w:lang w:val="zh-CN" w:eastAsia="zh-CN"/>
        </w:rPr>
        <w:t>第十五条</w:t>
      </w:r>
      <w:r>
        <w:rPr>
          <w:rFonts w:hint="eastAsia" w:ascii="方正仿宋_GBK" w:hAnsi="方正仿宋_GBK" w:eastAsia="方正仿宋_GBK" w:cs="方正仿宋_GBK"/>
          <w:color w:val="auto"/>
          <w:kern w:val="2"/>
          <w:sz w:val="32"/>
          <w:szCs w:val="32"/>
          <w:highlight w:val="none"/>
          <w:lang w:val="en-US" w:eastAsia="zh-CN" w:bidi="zh-CN"/>
        </w:rPr>
        <w:t xml:space="preserve">  </w:t>
      </w:r>
      <w:r>
        <w:rPr>
          <w:rFonts w:ascii="方正仿宋_GBK" w:hAnsi="方正仿宋_GBK" w:eastAsia="方正仿宋_GBK" w:cs="方正仿宋_GBK"/>
          <w:color w:val="auto"/>
          <w:kern w:val="2"/>
          <w:sz w:val="32"/>
          <w:szCs w:val="32"/>
          <w:highlight w:val="none"/>
          <w:lang w:val="zh-CN" w:eastAsia="zh-CN" w:bidi="zh-CN"/>
        </w:rPr>
        <w:t>副科级辅导员应当符合以下任职条件：</w:t>
      </w:r>
    </w:p>
    <w:p>
      <w:pPr>
        <w:pStyle w:val="6"/>
        <w:keepNext w:val="0"/>
        <w:keepLines w:val="0"/>
        <w:pageBreakBefore w:val="0"/>
        <w:kinsoku/>
        <w:wordWrap/>
        <w:overflowPunct/>
        <w:topLinePunct w:val="0"/>
        <w:bidi w:val="0"/>
        <w:spacing w:line="560" w:lineRule="exact"/>
        <w:ind w:firstLine="640" w:firstLineChars="200"/>
        <w:textAlignment w:val="auto"/>
        <w:rPr>
          <w:rFonts w:ascii="方正仿宋_GBK" w:hAnsi="方正仿宋_GBK" w:eastAsia="方正仿宋_GBK" w:cs="方正仿宋_GBK"/>
          <w:color w:val="auto"/>
          <w:kern w:val="2"/>
          <w:sz w:val="32"/>
          <w:szCs w:val="32"/>
          <w:highlight w:val="none"/>
          <w:lang w:val="zh-CN" w:eastAsia="zh-CN" w:bidi="zh-CN"/>
        </w:rPr>
      </w:pPr>
      <w:r>
        <w:rPr>
          <w:rFonts w:ascii="方正仿宋_GBK" w:hAnsi="方正仿宋_GBK" w:eastAsia="方正仿宋_GBK" w:cs="方正仿宋_GBK"/>
          <w:color w:val="auto"/>
          <w:kern w:val="2"/>
          <w:sz w:val="32"/>
          <w:szCs w:val="32"/>
          <w:highlight w:val="none"/>
          <w:lang w:val="zh-CN" w:eastAsia="zh-CN" w:bidi="zh-CN"/>
        </w:rPr>
        <w:t>（一）工作年限条件。本科学历者在辅导员岗位连续工作 2 年及以上；研究生学历者在辅导员岗位连续工作满 1 年及以上，有重大贡献者可酌情放宽；</w:t>
      </w:r>
    </w:p>
    <w:p>
      <w:pPr>
        <w:pStyle w:val="6"/>
        <w:keepNext w:val="0"/>
        <w:keepLines w:val="0"/>
        <w:pageBreakBefore w:val="0"/>
        <w:kinsoku/>
        <w:wordWrap/>
        <w:overflowPunct/>
        <w:topLinePunct w:val="0"/>
        <w:bidi w:val="0"/>
        <w:spacing w:line="560" w:lineRule="exact"/>
        <w:ind w:firstLine="640" w:firstLineChars="200"/>
        <w:textAlignment w:val="auto"/>
        <w:rPr>
          <w:rFonts w:ascii="方正仿宋_GBK" w:hAnsi="方正仿宋_GBK" w:eastAsia="方正仿宋_GBK" w:cs="方正仿宋_GBK"/>
          <w:color w:val="auto"/>
          <w:kern w:val="2"/>
          <w:sz w:val="32"/>
          <w:szCs w:val="32"/>
          <w:highlight w:val="none"/>
          <w:lang w:val="zh-CN" w:eastAsia="zh-CN" w:bidi="zh-CN"/>
        </w:rPr>
      </w:pPr>
      <w:r>
        <w:rPr>
          <w:rFonts w:ascii="方正仿宋_GBK" w:hAnsi="方正仿宋_GBK" w:eastAsia="方正仿宋_GBK" w:cs="方正仿宋_GBK"/>
          <w:color w:val="auto"/>
          <w:kern w:val="2"/>
          <w:sz w:val="32"/>
          <w:szCs w:val="32"/>
          <w:highlight w:val="none"/>
          <w:lang w:val="zh-CN" w:eastAsia="zh-CN" w:bidi="zh-CN"/>
        </w:rPr>
        <w:t>（二）工作业绩条件：</w:t>
      </w:r>
    </w:p>
    <w:p>
      <w:pPr>
        <w:pStyle w:val="6"/>
        <w:keepNext w:val="0"/>
        <w:keepLines w:val="0"/>
        <w:pageBreakBefore w:val="0"/>
        <w:kinsoku/>
        <w:wordWrap/>
        <w:overflowPunct/>
        <w:topLinePunct w:val="0"/>
        <w:bidi w:val="0"/>
        <w:spacing w:line="560" w:lineRule="exact"/>
        <w:ind w:firstLine="640" w:firstLineChars="200"/>
        <w:jc w:val="left"/>
        <w:textAlignment w:val="auto"/>
        <w:rPr>
          <w:color w:val="auto"/>
          <w:highlight w:val="none"/>
        </w:rPr>
      </w:pPr>
      <w:r>
        <w:rPr>
          <w:color w:val="auto"/>
          <w:highlight w:val="none"/>
        </w:rPr>
        <w:t>任科员级辅导员期间月考核合格，近 1 年内未出现月考核不合格及一票否决事项；认真履行岗位职责，圆满完成了</w:t>
      </w:r>
      <w:r>
        <w:rPr>
          <w:rFonts w:hint="eastAsia"/>
          <w:color w:val="auto"/>
          <w:highlight w:val="none"/>
          <w:lang w:val="en-US" w:eastAsia="zh-CN"/>
        </w:rPr>
        <w:t>学生的思想教育及管</w:t>
      </w:r>
      <w:r>
        <w:rPr>
          <w:color w:val="auto"/>
          <w:highlight w:val="none"/>
        </w:rPr>
        <w:t xml:space="preserve">理工作，所带学生未发生影响学校安全稳定的责任事项； </w:t>
      </w:r>
    </w:p>
    <w:p>
      <w:pPr>
        <w:pStyle w:val="6"/>
        <w:keepNext w:val="0"/>
        <w:keepLines w:val="0"/>
        <w:pageBreakBefore w:val="0"/>
        <w:kinsoku/>
        <w:wordWrap/>
        <w:overflowPunct/>
        <w:topLinePunct w:val="0"/>
        <w:bidi w:val="0"/>
        <w:spacing w:line="560" w:lineRule="exact"/>
        <w:ind w:firstLine="640" w:firstLineChars="200"/>
        <w:jc w:val="left"/>
        <w:textAlignment w:val="auto"/>
        <w:rPr>
          <w:color w:val="auto"/>
          <w:highlight w:val="none"/>
        </w:rPr>
      </w:pPr>
      <w:r>
        <w:rPr>
          <w:color w:val="auto"/>
          <w:highlight w:val="none"/>
        </w:rPr>
        <w:t>3.任科员级辅导员以来，获得 1 次学校年度考核优秀或1次校级及以上个</w:t>
      </w:r>
      <w:r>
        <w:rPr>
          <w:color w:val="auto"/>
          <w:spacing w:val="-12"/>
          <w:highlight w:val="none"/>
        </w:rPr>
        <w:t xml:space="preserve">人荣誉称号或至少 </w:t>
      </w:r>
      <w:r>
        <w:rPr>
          <w:color w:val="auto"/>
          <w:highlight w:val="none"/>
        </w:rPr>
        <w:t>2</w:t>
      </w:r>
      <w:r>
        <w:rPr>
          <w:color w:val="auto"/>
          <w:spacing w:val="-8"/>
          <w:highlight w:val="none"/>
        </w:rPr>
        <w:t xml:space="preserve"> 次院级及以上个人荣誉称号；</w:t>
      </w:r>
    </w:p>
    <w:p>
      <w:pPr>
        <w:pStyle w:val="35"/>
        <w:keepNext w:val="0"/>
        <w:keepLines w:val="0"/>
        <w:pageBreakBefore w:val="0"/>
        <w:widowControl w:val="0"/>
        <w:numPr>
          <w:ilvl w:val="0"/>
          <w:numId w:val="0"/>
        </w:numPr>
        <w:tabs>
          <w:tab w:val="left" w:pos="269"/>
        </w:tabs>
        <w:kinsoku/>
        <w:wordWrap/>
        <w:overflowPunct/>
        <w:topLinePunct w:val="0"/>
        <w:autoSpaceDE w:val="0"/>
        <w:autoSpaceDN w:val="0"/>
        <w:bidi w:val="0"/>
        <w:adjustRightInd/>
        <w:snapToGrid/>
        <w:spacing w:before="0" w:after="0" w:line="560" w:lineRule="exact"/>
        <w:ind w:left="-1" w:leftChars="0" w:right="277"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4.</w:t>
      </w:r>
      <w:r>
        <w:rPr>
          <w:rFonts w:ascii="方正仿宋_GBK" w:hAnsi="方正仿宋_GBK" w:eastAsia="方正仿宋_GBK" w:cs="方正仿宋_GBK"/>
          <w:color w:val="auto"/>
          <w:kern w:val="2"/>
          <w:sz w:val="32"/>
          <w:szCs w:val="32"/>
          <w:highlight w:val="none"/>
          <w:lang w:val="zh-CN" w:eastAsia="zh-CN" w:bidi="zh-CN"/>
        </w:rPr>
        <w:t>任科员级辅导员以来，所带学生班级获得至少 1 次校</w:t>
      </w:r>
    </w:p>
    <w:p>
      <w:pPr>
        <w:pStyle w:val="6"/>
        <w:keepNext w:val="0"/>
        <w:keepLines w:val="0"/>
        <w:pageBreakBefore w:val="0"/>
        <w:widowControl w:val="0"/>
        <w:kinsoku/>
        <w:wordWrap/>
        <w:overflowPunct/>
        <w:topLinePunct w:val="0"/>
        <w:autoSpaceDE w:val="0"/>
        <w:autoSpaceDN w:val="0"/>
        <w:bidi w:val="0"/>
        <w:adjustRightInd/>
        <w:snapToGrid/>
        <w:spacing w:before="42" w:line="560" w:lineRule="exact"/>
        <w:ind w:left="0" w:right="277"/>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ascii="方正仿宋_GBK" w:hAnsi="方正仿宋_GBK" w:eastAsia="方正仿宋_GBK" w:cs="方正仿宋_GBK"/>
          <w:color w:val="auto"/>
          <w:kern w:val="2"/>
          <w:sz w:val="32"/>
          <w:szCs w:val="32"/>
          <w:highlight w:val="none"/>
          <w:lang w:val="zh-CN" w:eastAsia="zh-CN" w:bidi="zh-CN"/>
        </w:rPr>
        <w:t>级及以上集体荣誉称号或至少 2 次院级及以上集体荣誉称</w:t>
      </w:r>
    </w:p>
    <w:p>
      <w:pPr>
        <w:pStyle w:val="6"/>
        <w:keepNext w:val="0"/>
        <w:keepLines w:val="0"/>
        <w:pageBreakBefore w:val="0"/>
        <w:widowControl w:val="0"/>
        <w:kinsoku/>
        <w:wordWrap/>
        <w:overflowPunct/>
        <w:topLinePunct w:val="0"/>
        <w:autoSpaceDE w:val="0"/>
        <w:autoSpaceDN w:val="0"/>
        <w:bidi w:val="0"/>
        <w:adjustRightInd/>
        <w:snapToGrid/>
        <w:spacing w:before="45" w:line="560" w:lineRule="exact"/>
        <w:ind w:right="343"/>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ascii="方正仿宋_GBK" w:hAnsi="方正仿宋_GBK" w:eastAsia="方正仿宋_GBK" w:cs="方正仿宋_GBK"/>
          <w:color w:val="auto"/>
          <w:kern w:val="2"/>
          <w:sz w:val="32"/>
          <w:szCs w:val="32"/>
          <w:highlight w:val="none"/>
          <w:lang w:val="zh-CN" w:eastAsia="zh-CN" w:bidi="zh-CN"/>
        </w:rPr>
        <w:t>号；所带学生至少 20 名获得校级及以上荣誉称号或至少 40 名获得院级及以上荣誉称号；</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5"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5.</w:t>
      </w:r>
      <w:r>
        <w:rPr>
          <w:rFonts w:ascii="方正仿宋_GBK" w:hAnsi="方正仿宋_GBK" w:eastAsia="方正仿宋_GBK" w:cs="方正仿宋_GBK"/>
          <w:color w:val="auto"/>
          <w:kern w:val="2"/>
          <w:sz w:val="32"/>
          <w:szCs w:val="32"/>
          <w:highlight w:val="none"/>
          <w:lang w:val="zh-CN" w:eastAsia="zh-CN" w:bidi="zh-CN"/>
        </w:rPr>
        <w:t>任科员级辅导员以来，在院级及以上级别（与辅导员工作相关）的评选比赛中获得前 3 名，或在参加校级及以上级别（与辅导员工作相关）的评选比赛中获得名次；</w:t>
      </w:r>
    </w:p>
    <w:p>
      <w:pPr>
        <w:pStyle w:val="35"/>
        <w:keepNext w:val="0"/>
        <w:keepLines w:val="0"/>
        <w:pageBreakBefore w:val="0"/>
        <w:widowControl w:val="0"/>
        <w:numPr>
          <w:ilvl w:val="0"/>
          <w:numId w:val="0"/>
        </w:numPr>
        <w:tabs>
          <w:tab w:val="left" w:pos="1011"/>
        </w:tabs>
        <w:kinsoku/>
        <w:wordWrap/>
        <w:overflowPunct/>
        <w:topLinePunct w:val="0"/>
        <w:autoSpaceDE w:val="0"/>
        <w:autoSpaceDN w:val="0"/>
        <w:bidi w:val="0"/>
        <w:adjustRightInd/>
        <w:snapToGrid/>
        <w:spacing w:before="0" w:after="0" w:line="560" w:lineRule="exact"/>
        <w:ind w:right="277"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6.</w:t>
      </w:r>
      <w:r>
        <w:rPr>
          <w:rFonts w:ascii="方正仿宋_GBK" w:hAnsi="方正仿宋_GBK" w:eastAsia="方正仿宋_GBK" w:cs="方正仿宋_GBK"/>
          <w:color w:val="auto"/>
          <w:kern w:val="2"/>
          <w:sz w:val="32"/>
          <w:szCs w:val="32"/>
          <w:highlight w:val="none"/>
          <w:lang w:val="zh-CN" w:eastAsia="zh-CN" w:bidi="zh-CN"/>
        </w:rPr>
        <w:t>任科员级辅导员以来，担任学生工作业务骨干老师或者社团指导老师至少 1 年且工作考核合格；</w:t>
      </w:r>
    </w:p>
    <w:p>
      <w:pPr>
        <w:pStyle w:val="35"/>
        <w:keepNext w:val="0"/>
        <w:keepLines w:val="0"/>
        <w:pageBreakBefore w:val="0"/>
        <w:widowControl w:val="0"/>
        <w:numPr>
          <w:ilvl w:val="0"/>
          <w:numId w:val="0"/>
        </w:numPr>
        <w:tabs>
          <w:tab w:val="left" w:pos="1020"/>
        </w:tabs>
        <w:kinsoku/>
        <w:wordWrap/>
        <w:overflowPunct/>
        <w:topLinePunct w:val="0"/>
        <w:autoSpaceDE w:val="0"/>
        <w:autoSpaceDN w:val="0"/>
        <w:bidi w:val="0"/>
        <w:adjustRightInd/>
        <w:snapToGrid/>
        <w:spacing w:before="0" w:after="0" w:line="560" w:lineRule="exact"/>
        <w:ind w:right="275" w:rightChars="0" w:firstLine="640" w:firstLineChars="20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仿宋_GBK" w:hAnsi="方正仿宋_GBK" w:eastAsia="方正仿宋_GBK" w:cs="方正仿宋_GBK"/>
          <w:color w:val="auto"/>
          <w:kern w:val="2"/>
          <w:sz w:val="32"/>
          <w:szCs w:val="32"/>
          <w:highlight w:val="none"/>
          <w:lang w:val="en-US" w:eastAsia="zh-CN" w:bidi="zh-CN"/>
        </w:rPr>
        <w:t>7.</w:t>
      </w:r>
      <w:r>
        <w:rPr>
          <w:rFonts w:ascii="方正仿宋_GBK" w:hAnsi="方正仿宋_GBK" w:eastAsia="方正仿宋_GBK" w:cs="方正仿宋_GBK"/>
          <w:color w:val="auto"/>
          <w:kern w:val="2"/>
          <w:sz w:val="32"/>
          <w:szCs w:val="32"/>
          <w:highlight w:val="none"/>
          <w:lang w:val="zh-CN" w:eastAsia="zh-CN" w:bidi="zh-CN"/>
        </w:rPr>
        <w:t>任科员级辅导员以来，独立或参与科研项目并在省级以上刊物发表有关大学生思想政治教育和管理等方面的论 文 1 篇，或参加省级以上级别（与辅导员工作相关）的评选比赛中获得名次。</w:t>
      </w:r>
    </w:p>
    <w:p>
      <w:pPr>
        <w:keepNext w:val="0"/>
        <w:keepLines w:val="0"/>
        <w:pageBreakBefore w:val="0"/>
        <w:widowControl w:val="0"/>
        <w:kinsoku/>
        <w:wordWrap/>
        <w:overflowPunct/>
        <w:topLinePunct w:val="0"/>
        <w:autoSpaceDE w:val="0"/>
        <w:autoSpaceDN w:val="0"/>
        <w:bidi w:val="0"/>
        <w:adjustRightInd/>
        <w:snapToGrid/>
        <w:spacing w:before="0" w:line="560" w:lineRule="exact"/>
        <w:ind w:left="760" w:right="0" w:firstLine="0"/>
        <w:jc w:val="left"/>
        <w:textAlignment w:val="auto"/>
        <w:rPr>
          <w:rFonts w:ascii="方正仿宋_GBK" w:hAnsi="方正仿宋_GBK" w:eastAsia="方正仿宋_GBK" w:cs="方正仿宋_GBK"/>
          <w:color w:val="auto"/>
          <w:kern w:val="2"/>
          <w:sz w:val="32"/>
          <w:szCs w:val="32"/>
          <w:highlight w:val="none"/>
          <w:lang w:val="zh-CN" w:eastAsia="zh-CN" w:bidi="zh-CN"/>
        </w:rPr>
      </w:pPr>
      <w:r>
        <w:rPr>
          <w:rFonts w:hint="eastAsia" w:ascii="方正楷体_GBK" w:eastAsia="方正楷体_GBK"/>
          <w:b/>
          <w:color w:val="auto"/>
          <w:sz w:val="32"/>
          <w:highlight w:val="none"/>
        </w:rPr>
        <w:t>第十六条</w:t>
      </w:r>
      <w:r>
        <w:rPr>
          <w:rFonts w:hint="eastAsia" w:ascii="方正楷体_GBK" w:eastAsia="方正楷体_GBK"/>
          <w:b/>
          <w:color w:val="auto"/>
          <w:sz w:val="32"/>
          <w:highlight w:val="none"/>
          <w:lang w:val="en-US" w:eastAsia="zh-CN"/>
        </w:rPr>
        <w:t xml:space="preserve">  </w:t>
      </w:r>
      <w:r>
        <w:rPr>
          <w:rFonts w:ascii="方正仿宋_GBK" w:hAnsi="方正仿宋_GBK" w:eastAsia="方正仿宋_GBK" w:cs="方正仿宋_GBK"/>
          <w:color w:val="auto"/>
          <w:kern w:val="2"/>
          <w:sz w:val="32"/>
          <w:szCs w:val="32"/>
          <w:highlight w:val="none"/>
          <w:lang w:val="zh-CN" w:eastAsia="zh-CN" w:bidi="zh-CN"/>
        </w:rPr>
        <w:t>正科级辅导员应当符合以下任职条件：</w:t>
      </w:r>
    </w:p>
    <w:p>
      <w:pPr>
        <w:pStyle w:val="6"/>
        <w:keepNext w:val="0"/>
        <w:keepLines w:val="0"/>
        <w:pageBreakBefore w:val="0"/>
        <w:widowControl w:val="0"/>
        <w:kinsoku/>
        <w:wordWrap/>
        <w:overflowPunct/>
        <w:topLinePunct w:val="0"/>
        <w:autoSpaceDE w:val="0"/>
        <w:autoSpaceDN w:val="0"/>
        <w:bidi w:val="0"/>
        <w:adjustRightInd/>
        <w:snapToGrid/>
        <w:spacing w:before="36" w:line="560" w:lineRule="exact"/>
        <w:ind w:firstLine="640" w:firstLineChars="200"/>
        <w:jc w:val="left"/>
        <w:textAlignment w:val="auto"/>
        <w:rPr>
          <w:color w:val="auto"/>
          <w:highlight w:val="none"/>
        </w:rPr>
      </w:pPr>
      <w:r>
        <w:rPr>
          <w:color w:val="auto"/>
          <w:highlight w:val="none"/>
        </w:rPr>
        <w:t>（一）工作年限条件。任副科级辅导员 2 年及以上；</w:t>
      </w:r>
    </w:p>
    <w:p>
      <w:pPr>
        <w:pStyle w:val="6"/>
        <w:keepNext w:val="0"/>
        <w:keepLines w:val="0"/>
        <w:pageBreakBefore w:val="0"/>
        <w:widowControl w:val="0"/>
        <w:kinsoku/>
        <w:wordWrap/>
        <w:overflowPunct/>
        <w:topLinePunct w:val="0"/>
        <w:autoSpaceDE w:val="0"/>
        <w:autoSpaceDN w:val="0"/>
        <w:bidi w:val="0"/>
        <w:adjustRightInd/>
        <w:snapToGrid/>
        <w:spacing w:before="47" w:line="560" w:lineRule="exact"/>
        <w:ind w:left="760"/>
        <w:jc w:val="left"/>
        <w:textAlignment w:val="auto"/>
        <w:rPr>
          <w:color w:val="auto"/>
          <w:highlight w:val="none"/>
        </w:rPr>
      </w:pPr>
      <w:r>
        <w:rPr>
          <w:color w:val="auto"/>
          <w:highlight w:val="none"/>
        </w:rPr>
        <w:t>（二）工作业绩条件：</w:t>
      </w:r>
    </w:p>
    <w:p>
      <w:pPr>
        <w:pStyle w:val="35"/>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44" w:after="0" w:line="560" w:lineRule="exact"/>
        <w:ind w:right="277" w:rightChars="0" w:firstLine="612"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7"/>
          <w:sz w:val="32"/>
          <w:szCs w:val="32"/>
          <w:highlight w:val="none"/>
          <w:lang w:val="en-US" w:eastAsia="zh-CN"/>
        </w:rPr>
        <w:t>1.</w:t>
      </w:r>
      <w:r>
        <w:rPr>
          <w:rFonts w:hint="eastAsia" w:ascii="方正仿宋_GBK" w:hAnsi="方正仿宋_GBK" w:eastAsia="方正仿宋_GBK" w:cs="方正仿宋_GBK"/>
          <w:color w:val="auto"/>
          <w:spacing w:val="-7"/>
          <w:sz w:val="32"/>
          <w:szCs w:val="32"/>
          <w:highlight w:val="none"/>
        </w:rPr>
        <w:t xml:space="preserve">任副科级辅导员期间月考核合格，近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11"/>
          <w:sz w:val="32"/>
          <w:szCs w:val="32"/>
          <w:highlight w:val="none"/>
        </w:rPr>
        <w:t xml:space="preserve"> 年内未出现月考核不合格及一票否决事项；</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0" w:righ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认真履行岗位职责，工作业绩比较突出。圆满完成了</w:t>
      </w:r>
      <w:r>
        <w:rPr>
          <w:rFonts w:hint="eastAsia" w:ascii="方正仿宋_GBK" w:hAnsi="方正仿宋_GBK" w:eastAsia="方正仿宋_GBK" w:cs="方正仿宋_GBK"/>
          <w:color w:val="auto"/>
          <w:spacing w:val="-2"/>
          <w:sz w:val="32"/>
          <w:szCs w:val="32"/>
          <w:highlight w:val="none"/>
        </w:rPr>
        <w:t>学生的思想教育及管理工作，所带学生未发生影响学校安全</w:t>
      </w:r>
      <w:r>
        <w:rPr>
          <w:rFonts w:hint="eastAsia" w:ascii="方正仿宋_GBK" w:hAnsi="方正仿宋_GBK" w:eastAsia="方正仿宋_GBK" w:cs="方正仿宋_GBK"/>
          <w:color w:val="auto"/>
          <w:sz w:val="32"/>
          <w:szCs w:val="32"/>
          <w:highlight w:val="none"/>
        </w:rPr>
        <w:t>稳定的责任事项；</w:t>
      </w:r>
    </w:p>
    <w:p>
      <w:pPr>
        <w:pStyle w:val="35"/>
        <w:keepNext w:val="0"/>
        <w:keepLines w:val="0"/>
        <w:pageBreakBefore w:val="0"/>
        <w:widowControl w:val="0"/>
        <w:numPr>
          <w:ilvl w:val="0"/>
          <w:numId w:val="0"/>
        </w:numPr>
        <w:tabs>
          <w:tab w:val="left" w:pos="1018"/>
        </w:tabs>
        <w:kinsoku/>
        <w:wordWrap/>
        <w:overflowPunct/>
        <w:topLinePunct w:val="0"/>
        <w:autoSpaceDE w:val="0"/>
        <w:autoSpaceDN w:val="0"/>
        <w:bidi w:val="0"/>
        <w:adjustRightInd/>
        <w:snapToGrid/>
        <w:spacing w:before="47" w:after="0" w:line="560" w:lineRule="exact"/>
        <w:ind w:right="0" w:rightChars="0" w:firstLine="62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5"/>
          <w:sz w:val="32"/>
          <w:szCs w:val="32"/>
          <w:highlight w:val="none"/>
          <w:lang w:val="en-US" w:eastAsia="zh-CN"/>
        </w:rPr>
        <w:t>3.</w:t>
      </w:r>
      <w:r>
        <w:rPr>
          <w:rFonts w:hint="eastAsia" w:ascii="方正仿宋_GBK" w:hAnsi="方正仿宋_GBK" w:eastAsia="方正仿宋_GBK" w:cs="方正仿宋_GBK"/>
          <w:color w:val="auto"/>
          <w:spacing w:val="-5"/>
          <w:sz w:val="32"/>
          <w:szCs w:val="32"/>
          <w:highlight w:val="none"/>
        </w:rPr>
        <w:t xml:space="preserve">任副科级辅导员以来，获得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8"/>
          <w:sz w:val="32"/>
          <w:szCs w:val="32"/>
          <w:highlight w:val="none"/>
        </w:rPr>
        <w:t xml:space="preserve"> 次学校年度考核优秀或</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ind w:right="28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24"/>
          <w:sz w:val="32"/>
          <w:szCs w:val="32"/>
          <w:highlight w:val="none"/>
        </w:rPr>
        <w:t xml:space="preserve">至少 </w:t>
      </w:r>
      <w:r>
        <w:rPr>
          <w:rFonts w:hint="eastAsia"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pacing w:val="-13"/>
          <w:sz w:val="32"/>
          <w:szCs w:val="32"/>
          <w:highlight w:val="none"/>
        </w:rPr>
        <w:t xml:space="preserve"> 次校级及以上个人荣誉称号或至少 </w:t>
      </w:r>
      <w:r>
        <w:rPr>
          <w:rFonts w:hint="eastAsia" w:ascii="方正仿宋_GBK" w:hAnsi="方正仿宋_GBK" w:eastAsia="方正仿宋_GBK" w:cs="方正仿宋_GBK"/>
          <w:color w:val="auto"/>
          <w:sz w:val="32"/>
          <w:szCs w:val="32"/>
          <w:highlight w:val="none"/>
        </w:rPr>
        <w:t>4</w:t>
      </w:r>
      <w:r>
        <w:rPr>
          <w:rFonts w:hint="eastAsia" w:ascii="方正仿宋_GBK" w:hAnsi="方正仿宋_GBK" w:eastAsia="方正仿宋_GBK" w:cs="方正仿宋_GBK"/>
          <w:color w:val="auto"/>
          <w:spacing w:val="-12"/>
          <w:sz w:val="32"/>
          <w:szCs w:val="32"/>
          <w:highlight w:val="none"/>
        </w:rPr>
        <w:t xml:space="preserve"> 次院级及以上个</w:t>
      </w:r>
      <w:r>
        <w:rPr>
          <w:rFonts w:hint="eastAsia" w:ascii="方正仿宋_GBK" w:hAnsi="方正仿宋_GBK" w:eastAsia="方正仿宋_GBK" w:cs="方正仿宋_GBK"/>
          <w:color w:val="auto"/>
          <w:sz w:val="32"/>
          <w:szCs w:val="32"/>
          <w:highlight w:val="none"/>
        </w:rPr>
        <w:t>人荣誉称号；</w:t>
      </w:r>
    </w:p>
    <w:p>
      <w:pPr>
        <w:pStyle w:val="35"/>
        <w:keepNext w:val="0"/>
        <w:keepLines w:val="0"/>
        <w:pageBreakBefore w:val="0"/>
        <w:widowControl w:val="0"/>
        <w:numPr>
          <w:ilvl w:val="0"/>
          <w:numId w:val="0"/>
        </w:numPr>
        <w:tabs>
          <w:tab w:val="left" w:pos="1030"/>
        </w:tabs>
        <w:kinsoku/>
        <w:wordWrap/>
        <w:overflowPunct/>
        <w:topLinePunct w:val="0"/>
        <w:autoSpaceDE w:val="0"/>
        <w:autoSpaceDN w:val="0"/>
        <w:bidi w:val="0"/>
        <w:adjustRightInd/>
        <w:snapToGrid/>
        <w:spacing w:before="0" w:after="0" w:line="560" w:lineRule="exact"/>
        <w:ind w:right="0" w:rightChars="0" w:firstLine="624"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4"/>
          <w:sz w:val="32"/>
          <w:szCs w:val="32"/>
          <w:highlight w:val="none"/>
          <w:lang w:val="en-US" w:eastAsia="zh-CN"/>
        </w:rPr>
        <w:t xml:space="preserve">4. </w:t>
      </w:r>
      <w:r>
        <w:rPr>
          <w:rFonts w:hint="eastAsia" w:ascii="方正仿宋_GBK" w:hAnsi="方正仿宋_GBK" w:eastAsia="方正仿宋_GBK" w:cs="方正仿宋_GBK"/>
          <w:color w:val="auto"/>
          <w:spacing w:val="-4"/>
          <w:sz w:val="32"/>
          <w:szCs w:val="32"/>
          <w:highlight w:val="none"/>
        </w:rPr>
        <w:t xml:space="preserve">任副科级辅导员以来，所带学生班级获得至少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22"/>
          <w:sz w:val="32"/>
          <w:szCs w:val="32"/>
          <w:highlight w:val="none"/>
        </w:rPr>
        <w:t xml:space="preserve"> 次省</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级及以上集体荣誉称号或至少 2 次校级及以上集体荣誉称</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ind w:right="276"/>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7"/>
          <w:sz w:val="32"/>
          <w:szCs w:val="32"/>
          <w:highlight w:val="none"/>
        </w:rPr>
        <w:t xml:space="preserve">号；所带学生至少 </w:t>
      </w:r>
      <w:r>
        <w:rPr>
          <w:rFonts w:hint="eastAsia" w:ascii="方正仿宋_GBK" w:hAnsi="方正仿宋_GBK" w:eastAsia="方正仿宋_GBK" w:cs="方正仿宋_GBK"/>
          <w:color w:val="auto"/>
          <w:sz w:val="32"/>
          <w:szCs w:val="32"/>
          <w:highlight w:val="none"/>
        </w:rPr>
        <w:t>30</w:t>
      </w:r>
      <w:r>
        <w:rPr>
          <w:rFonts w:hint="eastAsia" w:ascii="方正仿宋_GBK" w:hAnsi="方正仿宋_GBK" w:eastAsia="方正仿宋_GBK" w:cs="方正仿宋_GBK"/>
          <w:color w:val="auto"/>
          <w:spacing w:val="-9"/>
          <w:sz w:val="32"/>
          <w:szCs w:val="32"/>
          <w:highlight w:val="none"/>
        </w:rPr>
        <w:t xml:space="preserve"> 名获得校级及以上荣誉称号或至少 </w:t>
      </w:r>
      <w:r>
        <w:rPr>
          <w:rFonts w:hint="eastAsia" w:ascii="方正仿宋_GBK" w:hAnsi="方正仿宋_GBK" w:eastAsia="方正仿宋_GBK" w:cs="方正仿宋_GBK"/>
          <w:color w:val="auto"/>
          <w:spacing w:val="-5"/>
          <w:sz w:val="32"/>
          <w:szCs w:val="32"/>
          <w:highlight w:val="none"/>
        </w:rPr>
        <w:t xml:space="preserve">60 </w:t>
      </w:r>
      <w:r>
        <w:rPr>
          <w:rFonts w:hint="eastAsia" w:ascii="方正仿宋_GBK" w:hAnsi="方正仿宋_GBK" w:eastAsia="方正仿宋_GBK" w:cs="方正仿宋_GBK"/>
          <w:color w:val="auto"/>
          <w:sz w:val="32"/>
          <w:szCs w:val="32"/>
          <w:highlight w:val="none"/>
        </w:rPr>
        <w:t>名获得院级及以上荣誉称号；</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5" w:righ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任副科级辅导员以来，在院级及以上级别（与辅导员工作相关</w:t>
      </w:r>
      <w:r>
        <w:rPr>
          <w:rFonts w:hint="eastAsia" w:ascii="方正仿宋_GBK" w:hAnsi="方正仿宋_GBK" w:eastAsia="方正仿宋_GBK" w:cs="方正仿宋_GBK"/>
          <w:color w:val="auto"/>
          <w:spacing w:val="-10"/>
          <w:sz w:val="32"/>
          <w:szCs w:val="32"/>
          <w:highlight w:val="none"/>
        </w:rPr>
        <w:t>）</w:t>
      </w:r>
      <w:r>
        <w:rPr>
          <w:rFonts w:hint="eastAsia" w:ascii="方正仿宋_GBK" w:hAnsi="方正仿宋_GBK" w:eastAsia="方正仿宋_GBK" w:cs="方正仿宋_GBK"/>
          <w:color w:val="auto"/>
          <w:spacing w:val="-2"/>
          <w:sz w:val="32"/>
          <w:szCs w:val="32"/>
          <w:highlight w:val="none"/>
        </w:rPr>
        <w:t>的评选比赛中获得第一名，或在校级及以上级别</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82"/>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（与辅导员工作相关</w:t>
      </w:r>
      <w:r>
        <w:rPr>
          <w:rFonts w:hint="eastAsia" w:ascii="方正仿宋_GBK" w:hAnsi="方正仿宋_GBK" w:eastAsia="方正仿宋_GBK" w:cs="方正仿宋_GBK"/>
          <w:color w:val="auto"/>
          <w:spacing w:val="-10"/>
          <w:sz w:val="32"/>
          <w:szCs w:val="32"/>
          <w:highlight w:val="none"/>
        </w:rPr>
        <w:t>）</w:t>
      </w:r>
      <w:r>
        <w:rPr>
          <w:rFonts w:hint="eastAsia" w:ascii="方正仿宋_GBK" w:hAnsi="方正仿宋_GBK" w:eastAsia="方正仿宋_GBK" w:cs="方正仿宋_GBK"/>
          <w:color w:val="auto"/>
          <w:spacing w:val="-7"/>
          <w:sz w:val="32"/>
          <w:szCs w:val="32"/>
          <w:highlight w:val="none"/>
        </w:rPr>
        <w:t xml:space="preserve">的评选比赛中获得前 </w:t>
      </w:r>
      <w:r>
        <w:rPr>
          <w:rFonts w:hint="eastAsia" w:ascii="方正仿宋_GBK" w:hAnsi="方正仿宋_GBK" w:eastAsia="方正仿宋_GBK" w:cs="方正仿宋_GBK"/>
          <w:color w:val="auto"/>
          <w:sz w:val="32"/>
          <w:szCs w:val="32"/>
          <w:highlight w:val="none"/>
        </w:rPr>
        <w:t>3</w:t>
      </w:r>
      <w:r>
        <w:rPr>
          <w:rFonts w:hint="eastAsia" w:ascii="方正仿宋_GBK" w:hAnsi="方正仿宋_GBK" w:eastAsia="方正仿宋_GBK" w:cs="方正仿宋_GBK"/>
          <w:color w:val="auto"/>
          <w:spacing w:val="-12"/>
          <w:sz w:val="32"/>
          <w:szCs w:val="32"/>
          <w:highlight w:val="none"/>
        </w:rPr>
        <w:t xml:space="preserve"> 名，或在参加</w:t>
      </w:r>
      <w:r>
        <w:rPr>
          <w:rFonts w:hint="eastAsia" w:ascii="方正仿宋_GBK" w:hAnsi="方正仿宋_GBK" w:eastAsia="方正仿宋_GBK" w:cs="方正仿宋_GBK"/>
          <w:color w:val="auto"/>
          <w:spacing w:val="-12"/>
          <w:w w:val="95"/>
          <w:sz w:val="32"/>
          <w:szCs w:val="32"/>
          <w:highlight w:val="none"/>
        </w:rPr>
        <w:t>省级及以上级别</w:t>
      </w:r>
      <w:r>
        <w:rPr>
          <w:rFonts w:hint="eastAsia" w:ascii="方正仿宋_GBK" w:hAnsi="方正仿宋_GBK" w:eastAsia="方正仿宋_GBK" w:cs="方正仿宋_GBK"/>
          <w:color w:val="auto"/>
          <w:spacing w:val="-3"/>
          <w:w w:val="95"/>
          <w:sz w:val="32"/>
          <w:szCs w:val="32"/>
          <w:highlight w:val="none"/>
        </w:rPr>
        <w:t>（</w:t>
      </w:r>
      <w:r>
        <w:rPr>
          <w:rFonts w:hint="eastAsia" w:ascii="方正仿宋_GBK" w:hAnsi="方正仿宋_GBK" w:eastAsia="方正仿宋_GBK" w:cs="方正仿宋_GBK"/>
          <w:color w:val="auto"/>
          <w:w w:val="95"/>
          <w:sz w:val="32"/>
          <w:szCs w:val="32"/>
          <w:highlight w:val="none"/>
        </w:rPr>
        <w:t>与辅导员工作相关</w:t>
      </w:r>
      <w:r>
        <w:rPr>
          <w:rFonts w:hint="eastAsia" w:ascii="方正仿宋_GBK" w:hAnsi="方正仿宋_GBK" w:eastAsia="方正仿宋_GBK" w:cs="方正仿宋_GBK"/>
          <w:color w:val="auto"/>
          <w:spacing w:val="-10"/>
          <w:w w:val="95"/>
          <w:sz w:val="32"/>
          <w:szCs w:val="32"/>
          <w:highlight w:val="none"/>
        </w:rPr>
        <w:t>）</w:t>
      </w:r>
      <w:r>
        <w:rPr>
          <w:rFonts w:hint="eastAsia" w:ascii="方正仿宋_GBK" w:hAnsi="方正仿宋_GBK" w:eastAsia="方正仿宋_GBK" w:cs="方正仿宋_GBK"/>
          <w:color w:val="auto"/>
          <w:w w:val="95"/>
          <w:sz w:val="32"/>
          <w:szCs w:val="32"/>
          <w:highlight w:val="none"/>
        </w:rPr>
        <w:t xml:space="preserve">的评选比赛中获得名 </w:t>
      </w:r>
      <w:r>
        <w:rPr>
          <w:rFonts w:hint="eastAsia" w:ascii="方正仿宋_GBK" w:hAnsi="方正仿宋_GBK" w:eastAsia="方正仿宋_GBK" w:cs="方正仿宋_GBK"/>
          <w:color w:val="auto"/>
          <w:sz w:val="32"/>
          <w:szCs w:val="32"/>
          <w:highlight w:val="none"/>
        </w:rPr>
        <w:t>次。</w:t>
      </w:r>
    </w:p>
    <w:p>
      <w:pPr>
        <w:pStyle w:val="35"/>
        <w:keepNext w:val="0"/>
        <w:keepLines w:val="0"/>
        <w:pageBreakBefore w:val="0"/>
        <w:widowControl w:val="0"/>
        <w:numPr>
          <w:ilvl w:val="0"/>
          <w:numId w:val="0"/>
        </w:numPr>
        <w:tabs>
          <w:tab w:val="left" w:pos="1011"/>
        </w:tabs>
        <w:kinsoku/>
        <w:wordWrap/>
        <w:overflowPunct/>
        <w:topLinePunct w:val="0"/>
        <w:autoSpaceDE w:val="0"/>
        <w:autoSpaceDN w:val="0"/>
        <w:bidi w:val="0"/>
        <w:adjustRightInd/>
        <w:snapToGrid/>
        <w:spacing w:before="0" w:after="0" w:line="560" w:lineRule="exact"/>
        <w:ind w:right="277" w:righ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任副科级辅导员以来，担任学生工作业务骨干老师或</w:t>
      </w:r>
      <w:r>
        <w:rPr>
          <w:rFonts w:hint="eastAsia" w:ascii="方正仿宋_GBK" w:hAnsi="方正仿宋_GBK" w:eastAsia="方正仿宋_GBK" w:cs="方正仿宋_GBK"/>
          <w:color w:val="auto"/>
          <w:spacing w:val="-7"/>
          <w:sz w:val="32"/>
          <w:szCs w:val="32"/>
          <w:highlight w:val="none"/>
        </w:rPr>
        <w:t xml:space="preserve">者社团指导老师至少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9"/>
          <w:sz w:val="32"/>
          <w:szCs w:val="32"/>
          <w:highlight w:val="none"/>
        </w:rPr>
        <w:t xml:space="preserve"> 年且工作考核合格；</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7" w:firstLine="608"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w w:val="95"/>
          <w:sz w:val="32"/>
          <w:szCs w:val="32"/>
          <w:highlight w:val="none"/>
        </w:rPr>
        <w:t>（三</w:t>
      </w:r>
      <w:r>
        <w:rPr>
          <w:rFonts w:hint="eastAsia" w:ascii="方正仿宋_GBK" w:hAnsi="方正仿宋_GBK" w:eastAsia="方正仿宋_GBK" w:cs="方正仿宋_GBK"/>
          <w:color w:val="auto"/>
          <w:spacing w:val="-3"/>
          <w:w w:val="95"/>
          <w:sz w:val="32"/>
          <w:szCs w:val="32"/>
          <w:highlight w:val="none"/>
        </w:rPr>
        <w:t>）</w:t>
      </w:r>
      <w:r>
        <w:rPr>
          <w:rFonts w:hint="eastAsia" w:ascii="方正仿宋_GBK" w:hAnsi="方正仿宋_GBK" w:eastAsia="方正仿宋_GBK" w:cs="方正仿宋_GBK"/>
          <w:color w:val="auto"/>
          <w:spacing w:val="-2"/>
          <w:w w:val="95"/>
          <w:sz w:val="32"/>
          <w:szCs w:val="32"/>
          <w:highlight w:val="none"/>
        </w:rPr>
        <w:t xml:space="preserve">担任教学工作条件。任副科级辅导员以来，承担 </w:t>
      </w:r>
      <w:r>
        <w:rPr>
          <w:rFonts w:hint="eastAsia" w:ascii="方正仿宋_GBK" w:hAnsi="方正仿宋_GBK" w:eastAsia="方正仿宋_GBK" w:cs="方正仿宋_GBK"/>
          <w:color w:val="auto"/>
          <w:spacing w:val="-4"/>
          <w:sz w:val="32"/>
          <w:szCs w:val="32"/>
          <w:highlight w:val="none"/>
        </w:rPr>
        <w:t>思想政治教育课程或形势政策教育、心理健康教育、职业发展、就业指导、国防教育、党（团）课等相关课程；</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94"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w:t>
      </w:r>
      <w:r>
        <w:rPr>
          <w:rFonts w:hint="eastAsia" w:ascii="方正仿宋_GBK" w:hAnsi="方正仿宋_GBK" w:eastAsia="方正仿宋_GBK" w:cs="方正仿宋_GBK"/>
          <w:color w:val="auto"/>
          <w:spacing w:val="-46"/>
          <w:sz w:val="32"/>
          <w:szCs w:val="32"/>
          <w:highlight w:val="none"/>
        </w:rPr>
        <w:t>）</w:t>
      </w:r>
      <w:r>
        <w:rPr>
          <w:rFonts w:hint="eastAsia" w:ascii="方正仿宋_GBK" w:hAnsi="方正仿宋_GBK" w:eastAsia="方正仿宋_GBK" w:cs="方正仿宋_GBK"/>
          <w:color w:val="auto"/>
          <w:spacing w:val="-7"/>
          <w:sz w:val="32"/>
          <w:szCs w:val="32"/>
          <w:highlight w:val="none"/>
        </w:rPr>
        <w:t>职业资格条件。须取得国家认证心理咨询师资格证书或取得助教资格等相关证书；</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92"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w:t>
      </w:r>
      <w:r>
        <w:rPr>
          <w:rFonts w:hint="eastAsia" w:ascii="方正仿宋_GBK" w:hAnsi="方正仿宋_GBK" w:eastAsia="方正仿宋_GBK" w:cs="方正仿宋_GBK"/>
          <w:color w:val="auto"/>
          <w:spacing w:val="-31"/>
          <w:sz w:val="32"/>
          <w:szCs w:val="32"/>
          <w:highlight w:val="none"/>
        </w:rPr>
        <w:t>）</w:t>
      </w:r>
      <w:r>
        <w:rPr>
          <w:rFonts w:hint="eastAsia" w:ascii="方正仿宋_GBK" w:hAnsi="方正仿宋_GBK" w:eastAsia="方正仿宋_GBK" w:cs="方正仿宋_GBK"/>
          <w:color w:val="auto"/>
          <w:spacing w:val="-8"/>
          <w:sz w:val="32"/>
          <w:szCs w:val="32"/>
          <w:highlight w:val="none"/>
        </w:rPr>
        <w:t>科研条件。任副科级辅导员以来，独立或者以第</w:t>
      </w:r>
      <w:r>
        <w:rPr>
          <w:rFonts w:hint="eastAsia" w:ascii="方正仿宋_GBK" w:hAnsi="方正仿宋_GBK" w:eastAsia="方正仿宋_GBK" w:cs="方正仿宋_GBK"/>
          <w:color w:val="auto"/>
          <w:spacing w:val="11"/>
          <w:w w:val="95"/>
          <w:sz w:val="32"/>
          <w:szCs w:val="32"/>
          <w:highlight w:val="none"/>
        </w:rPr>
        <w:t xml:space="preserve">一作者参与科研项目并在省级以上刊物发表有关大学生思 </w:t>
      </w:r>
      <w:r>
        <w:rPr>
          <w:rFonts w:hint="eastAsia" w:ascii="方正仿宋_GBK" w:hAnsi="方正仿宋_GBK" w:eastAsia="方正仿宋_GBK" w:cs="方正仿宋_GBK"/>
          <w:color w:val="auto"/>
          <w:spacing w:val="6"/>
          <w:sz w:val="32"/>
          <w:szCs w:val="32"/>
          <w:highlight w:val="none"/>
        </w:rPr>
        <w:t xml:space="preserve">想政治教育和管理等方面的论文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22"/>
          <w:sz w:val="32"/>
          <w:szCs w:val="32"/>
          <w:highlight w:val="none"/>
        </w:rPr>
        <w:t xml:space="preserve"> 篇。</w:t>
      </w:r>
    </w:p>
    <w:p>
      <w:pPr>
        <w:keepNext w:val="0"/>
        <w:keepLines w:val="0"/>
        <w:pageBreakBefore w:val="0"/>
        <w:widowControl w:val="0"/>
        <w:kinsoku/>
        <w:wordWrap/>
        <w:overflowPunct/>
        <w:topLinePunct w:val="0"/>
        <w:autoSpaceDE w:val="0"/>
        <w:autoSpaceDN w:val="0"/>
        <w:bidi w:val="0"/>
        <w:adjustRightInd/>
        <w:snapToGrid/>
        <w:spacing w:before="0" w:line="560" w:lineRule="exact"/>
        <w:ind w:left="760" w:right="0" w:firstLine="0"/>
        <w:jc w:val="left"/>
        <w:textAlignment w:val="auto"/>
        <w:rPr>
          <w:rFonts w:hint="eastAsia" w:ascii="方正仿宋_GBK" w:hAnsi="方正仿宋_GBK" w:eastAsia="方正仿宋_GBK" w:cs="方正仿宋_GBK"/>
          <w:color w:val="auto"/>
          <w:sz w:val="32"/>
          <w:szCs w:val="32"/>
          <w:highlight w:val="none"/>
        </w:rPr>
      </w:pPr>
      <w:r>
        <w:rPr>
          <w:rFonts w:hint="eastAsia" w:ascii="方正楷体_GBK" w:eastAsia="方正楷体_GBK"/>
          <w:b/>
          <w:color w:val="auto"/>
          <w:sz w:val="32"/>
          <w:highlight w:val="none"/>
        </w:rPr>
        <w:t>第十七条</w:t>
      </w:r>
      <w:r>
        <w:rPr>
          <w:rFonts w:hint="eastAsia" w:ascii="方正楷体_GBK" w:eastAsia="方正楷体_GBK"/>
          <w:b/>
          <w:color w:val="auto"/>
          <w:sz w:val="32"/>
          <w:highlight w:val="none"/>
          <w:lang w:val="en-US" w:eastAsia="zh-CN"/>
        </w:rPr>
        <w:t xml:space="preserve">  </w:t>
      </w:r>
      <w:r>
        <w:rPr>
          <w:rFonts w:hint="eastAsia" w:ascii="方正仿宋_GBK" w:hAnsi="方正仿宋_GBK" w:eastAsia="方正仿宋_GBK" w:cs="方正仿宋_GBK"/>
          <w:color w:val="auto"/>
          <w:sz w:val="32"/>
          <w:szCs w:val="32"/>
          <w:highlight w:val="none"/>
        </w:rPr>
        <w:t>副处级辅导员应当符合以下任职条件：</w:t>
      </w:r>
    </w:p>
    <w:p>
      <w:pPr>
        <w:keepNext w:val="0"/>
        <w:keepLines w:val="0"/>
        <w:pageBreakBefore w:val="0"/>
        <w:widowControl w:val="0"/>
        <w:kinsoku/>
        <w:wordWrap/>
        <w:overflowPunct/>
        <w:topLinePunct w:val="0"/>
        <w:autoSpaceDE w:val="0"/>
        <w:autoSpaceDN w:val="0"/>
        <w:bidi w:val="0"/>
        <w:adjustRightInd/>
        <w:snapToGrid/>
        <w:spacing w:before="0" w:line="560" w:lineRule="exact"/>
        <w:ind w:left="760" w:right="0" w:firstLine="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（一）工作年限条件。任正科级辅导员 3 年及以上；</w:t>
      </w:r>
    </w:p>
    <w:p>
      <w:pPr>
        <w:pStyle w:val="6"/>
        <w:keepNext w:val="0"/>
        <w:keepLines w:val="0"/>
        <w:pageBreakBefore w:val="0"/>
        <w:widowControl w:val="0"/>
        <w:kinsoku/>
        <w:wordWrap/>
        <w:overflowPunct/>
        <w:topLinePunct w:val="0"/>
        <w:autoSpaceDE w:val="0"/>
        <w:autoSpaceDN w:val="0"/>
        <w:bidi w:val="0"/>
        <w:adjustRightInd/>
        <w:snapToGrid/>
        <w:spacing w:before="47" w:line="560" w:lineRule="exact"/>
        <w:ind w:left="76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（二）工作业绩条件：</w:t>
      </w:r>
    </w:p>
    <w:p>
      <w:pPr>
        <w:pStyle w:val="35"/>
        <w:keepNext w:val="0"/>
        <w:keepLines w:val="0"/>
        <w:pageBreakBefore w:val="0"/>
        <w:widowControl w:val="0"/>
        <w:numPr>
          <w:ilvl w:val="0"/>
          <w:numId w:val="5"/>
        </w:numPr>
        <w:tabs>
          <w:tab w:val="left" w:pos="1063"/>
        </w:tabs>
        <w:kinsoku/>
        <w:wordWrap/>
        <w:overflowPunct/>
        <w:topLinePunct w:val="0"/>
        <w:autoSpaceDE w:val="0"/>
        <w:autoSpaceDN w:val="0"/>
        <w:bidi w:val="0"/>
        <w:adjustRightInd/>
        <w:snapToGrid/>
        <w:spacing w:before="44" w:after="0" w:line="560" w:lineRule="exact"/>
        <w:ind w:left="120" w:right="280" w:firstLine="64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7"/>
          <w:sz w:val="32"/>
          <w:szCs w:val="32"/>
          <w:highlight w:val="none"/>
        </w:rPr>
        <w:t xml:space="preserve">任职正科级辅导员期间月考核合格，近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13"/>
          <w:sz w:val="32"/>
          <w:szCs w:val="32"/>
          <w:highlight w:val="none"/>
        </w:rPr>
        <w:t xml:space="preserve"> 年内未出现月考核不合格及一票否决事项；</w:t>
      </w:r>
    </w:p>
    <w:p>
      <w:pPr>
        <w:pStyle w:val="35"/>
        <w:keepNext w:val="0"/>
        <w:keepLines w:val="0"/>
        <w:pageBreakBefore w:val="0"/>
        <w:widowControl w:val="0"/>
        <w:numPr>
          <w:ilvl w:val="0"/>
          <w:numId w:val="5"/>
        </w:numPr>
        <w:tabs>
          <w:tab w:val="left" w:pos="1013"/>
        </w:tabs>
        <w:kinsoku/>
        <w:wordWrap/>
        <w:overflowPunct/>
        <w:topLinePunct w:val="0"/>
        <w:autoSpaceDE w:val="0"/>
        <w:autoSpaceDN w:val="0"/>
        <w:bidi w:val="0"/>
        <w:adjustRightInd/>
        <w:snapToGrid/>
        <w:spacing w:before="0" w:after="0" w:line="560" w:lineRule="exact"/>
        <w:ind w:left="120" w:right="280" w:firstLine="64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认真履行岗位职责，有丰富的工作经验、较强的业务</w:t>
      </w:r>
      <w:r>
        <w:rPr>
          <w:rFonts w:hint="eastAsia" w:ascii="方正仿宋_GBK" w:hAnsi="方正仿宋_GBK" w:eastAsia="方正仿宋_GBK" w:cs="方正仿宋_GBK"/>
          <w:color w:val="auto"/>
          <w:spacing w:val="-5"/>
          <w:sz w:val="32"/>
          <w:szCs w:val="32"/>
          <w:highlight w:val="none"/>
        </w:rPr>
        <w:t>能力，工作业绩特别突出。圆满完成了学生的思想教育及管</w:t>
      </w:r>
      <w:r>
        <w:rPr>
          <w:rFonts w:hint="eastAsia" w:ascii="方正仿宋_GBK" w:hAnsi="方正仿宋_GBK" w:eastAsia="方正仿宋_GBK" w:cs="方正仿宋_GBK"/>
          <w:color w:val="auto"/>
          <w:sz w:val="32"/>
          <w:szCs w:val="32"/>
          <w:highlight w:val="none"/>
        </w:rPr>
        <w:t>理工作，所带学生未发生影响学校安全稳定的责任事项；</w:t>
      </w:r>
    </w:p>
    <w:p>
      <w:pPr>
        <w:pStyle w:val="35"/>
        <w:keepNext w:val="0"/>
        <w:keepLines w:val="0"/>
        <w:pageBreakBefore w:val="0"/>
        <w:widowControl w:val="0"/>
        <w:numPr>
          <w:ilvl w:val="0"/>
          <w:numId w:val="0"/>
        </w:numPr>
        <w:tabs>
          <w:tab w:val="left" w:pos="1020"/>
        </w:tabs>
        <w:kinsoku/>
        <w:wordWrap/>
        <w:overflowPunct/>
        <w:topLinePunct w:val="0"/>
        <w:autoSpaceDE w:val="0"/>
        <w:autoSpaceDN w:val="0"/>
        <w:bidi w:val="0"/>
        <w:adjustRightInd/>
        <w:snapToGrid/>
        <w:spacing w:before="0" w:after="0" w:line="560" w:lineRule="exact"/>
        <w:ind w:right="0" w:rightChars="0" w:firstLine="628"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3"/>
          <w:sz w:val="32"/>
          <w:szCs w:val="32"/>
          <w:highlight w:val="none"/>
          <w:lang w:val="en-US" w:eastAsia="zh-CN"/>
        </w:rPr>
        <w:t>3.</w:t>
      </w:r>
      <w:r>
        <w:rPr>
          <w:rFonts w:hint="eastAsia" w:ascii="方正仿宋_GBK" w:hAnsi="方正仿宋_GBK" w:eastAsia="方正仿宋_GBK" w:cs="方正仿宋_GBK"/>
          <w:color w:val="auto"/>
          <w:spacing w:val="-3"/>
          <w:sz w:val="32"/>
          <w:szCs w:val="32"/>
          <w:highlight w:val="none"/>
        </w:rPr>
        <w:t xml:space="preserve">任正科级辅导员以来，获得学校年度考核优秀至少 </w:t>
      </w:r>
      <w:r>
        <w:rPr>
          <w:rFonts w:hint="eastAsia" w:ascii="方正仿宋_GBK" w:hAnsi="方正仿宋_GBK" w:eastAsia="方正仿宋_GBK" w:cs="方正仿宋_GBK"/>
          <w:color w:val="auto"/>
          <w:sz w:val="32"/>
          <w:szCs w:val="32"/>
          <w:highlight w:val="none"/>
        </w:rPr>
        <w:t>1</w:t>
      </w:r>
    </w:p>
    <w:p>
      <w:pPr>
        <w:pStyle w:val="6"/>
        <w:keepNext w:val="0"/>
        <w:keepLines w:val="0"/>
        <w:pageBreakBefore w:val="0"/>
        <w:widowControl w:val="0"/>
        <w:kinsoku/>
        <w:wordWrap/>
        <w:overflowPunct/>
        <w:topLinePunct w:val="0"/>
        <w:autoSpaceDE w:val="0"/>
        <w:autoSpaceDN w:val="0"/>
        <w:bidi w:val="0"/>
        <w:adjustRightInd/>
        <w:snapToGrid/>
        <w:spacing w:before="42" w:line="560"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次或至少 2 次校级及以上个人等荣誉称号；</w:t>
      </w:r>
    </w:p>
    <w:p>
      <w:pPr>
        <w:pStyle w:val="35"/>
        <w:keepNext w:val="0"/>
        <w:keepLines w:val="0"/>
        <w:pageBreakBefore w:val="0"/>
        <w:widowControl w:val="0"/>
        <w:numPr>
          <w:ilvl w:val="0"/>
          <w:numId w:val="0"/>
        </w:numPr>
        <w:tabs>
          <w:tab w:val="left" w:pos="269"/>
        </w:tabs>
        <w:kinsoku/>
        <w:wordWrap/>
        <w:overflowPunct/>
        <w:topLinePunct w:val="0"/>
        <w:autoSpaceDE w:val="0"/>
        <w:autoSpaceDN w:val="0"/>
        <w:bidi w:val="0"/>
        <w:adjustRightInd/>
        <w:snapToGrid/>
        <w:spacing w:before="44" w:after="0" w:line="560" w:lineRule="exact"/>
        <w:ind w:left="-1" w:leftChars="0" w:right="277" w:rightChars="0" w:firstLine="628"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3"/>
          <w:sz w:val="32"/>
          <w:szCs w:val="32"/>
          <w:highlight w:val="none"/>
          <w:lang w:val="en-US" w:eastAsia="zh-CN"/>
        </w:rPr>
        <w:t>4.</w:t>
      </w:r>
      <w:r>
        <w:rPr>
          <w:rFonts w:hint="eastAsia" w:ascii="方正仿宋_GBK" w:hAnsi="方正仿宋_GBK" w:eastAsia="方正仿宋_GBK" w:cs="方正仿宋_GBK"/>
          <w:color w:val="auto"/>
          <w:spacing w:val="-3"/>
          <w:sz w:val="32"/>
          <w:szCs w:val="32"/>
          <w:highlight w:val="none"/>
        </w:rPr>
        <w:t xml:space="preserve">任正科级辅导员以来，所带学生班级获得至少 </w:t>
      </w:r>
      <w:r>
        <w:rPr>
          <w:rFonts w:hint="eastAsia"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pacing w:val="-18"/>
          <w:sz w:val="32"/>
          <w:szCs w:val="32"/>
          <w:highlight w:val="none"/>
        </w:rPr>
        <w:t xml:space="preserve"> 次省</w:t>
      </w:r>
    </w:p>
    <w:p>
      <w:pPr>
        <w:pStyle w:val="6"/>
        <w:keepNext w:val="0"/>
        <w:keepLines w:val="0"/>
        <w:pageBreakBefore w:val="0"/>
        <w:widowControl w:val="0"/>
        <w:kinsoku/>
        <w:wordWrap/>
        <w:overflowPunct/>
        <w:topLinePunct w:val="0"/>
        <w:autoSpaceDE w:val="0"/>
        <w:autoSpaceDN w:val="0"/>
        <w:bidi w:val="0"/>
        <w:adjustRightInd/>
        <w:snapToGrid/>
        <w:spacing w:before="47" w:line="560" w:lineRule="exact"/>
        <w:ind w:left="0" w:right="28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5"/>
          <w:sz w:val="32"/>
          <w:szCs w:val="32"/>
          <w:highlight w:val="none"/>
        </w:rPr>
        <w:t xml:space="preserve">级及以上集体荣誉称号或至少 </w:t>
      </w:r>
      <w:r>
        <w:rPr>
          <w:rFonts w:hint="eastAsia" w:ascii="方正仿宋_GBK" w:hAnsi="方正仿宋_GBK" w:eastAsia="方正仿宋_GBK" w:cs="方正仿宋_GBK"/>
          <w:color w:val="auto"/>
          <w:sz w:val="32"/>
          <w:szCs w:val="32"/>
          <w:highlight w:val="none"/>
        </w:rPr>
        <w:t>4</w:t>
      </w:r>
      <w:r>
        <w:rPr>
          <w:rFonts w:hint="eastAsia" w:ascii="方正仿宋_GBK" w:hAnsi="方正仿宋_GBK" w:eastAsia="方正仿宋_GBK" w:cs="方正仿宋_GBK"/>
          <w:color w:val="auto"/>
          <w:spacing w:val="2"/>
          <w:sz w:val="32"/>
          <w:szCs w:val="32"/>
          <w:highlight w:val="none"/>
        </w:rPr>
        <w:t xml:space="preserve"> 次校级及以上集体荣誉称</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ind w:right="277"/>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pacing w:val="-10"/>
          <w:sz w:val="32"/>
          <w:szCs w:val="32"/>
          <w:highlight w:val="none"/>
        </w:rPr>
        <w:t xml:space="preserve">号；所带学生至少 </w:t>
      </w:r>
      <w:r>
        <w:rPr>
          <w:rFonts w:hint="eastAsia" w:ascii="方正仿宋_GBK" w:hAnsi="方正仿宋_GBK" w:eastAsia="方正仿宋_GBK" w:cs="方正仿宋_GBK"/>
          <w:color w:val="auto"/>
          <w:sz w:val="32"/>
          <w:szCs w:val="32"/>
          <w:highlight w:val="none"/>
        </w:rPr>
        <w:t>20</w:t>
      </w:r>
      <w:r>
        <w:rPr>
          <w:rFonts w:hint="eastAsia" w:ascii="方正仿宋_GBK" w:hAnsi="方正仿宋_GBK" w:eastAsia="方正仿宋_GBK" w:cs="方正仿宋_GBK"/>
          <w:color w:val="auto"/>
          <w:spacing w:val="-13"/>
          <w:sz w:val="32"/>
          <w:szCs w:val="32"/>
          <w:highlight w:val="none"/>
        </w:rPr>
        <w:t xml:space="preserve"> 名获得省级及以上荣誉称号至少 </w:t>
      </w:r>
      <w:r>
        <w:rPr>
          <w:rFonts w:hint="eastAsia" w:ascii="方正仿宋_GBK" w:hAnsi="方正仿宋_GBK" w:eastAsia="方正仿宋_GBK" w:cs="方正仿宋_GBK"/>
          <w:color w:val="auto"/>
          <w:sz w:val="32"/>
          <w:szCs w:val="32"/>
          <w:highlight w:val="none"/>
        </w:rPr>
        <w:t>40</w:t>
      </w:r>
      <w:r>
        <w:rPr>
          <w:rFonts w:hint="eastAsia" w:ascii="方正仿宋_GBK" w:hAnsi="方正仿宋_GBK" w:eastAsia="方正仿宋_GBK" w:cs="方正仿宋_GBK"/>
          <w:color w:val="auto"/>
          <w:spacing w:val="-33"/>
          <w:sz w:val="32"/>
          <w:szCs w:val="32"/>
          <w:highlight w:val="none"/>
        </w:rPr>
        <w:t xml:space="preserve"> 名获得校级及以上荣誉称号；</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5" w:righ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任正科级辅导员以来，在校级及以上级别（与辅导员工作相关</w:t>
      </w:r>
      <w:r>
        <w:rPr>
          <w:rFonts w:hint="eastAsia" w:ascii="方正仿宋_GBK" w:hAnsi="方正仿宋_GBK" w:eastAsia="方正仿宋_GBK" w:cs="方正仿宋_GBK"/>
          <w:color w:val="auto"/>
          <w:spacing w:val="-10"/>
          <w:sz w:val="32"/>
          <w:szCs w:val="32"/>
          <w:highlight w:val="none"/>
        </w:rPr>
        <w:t>）</w:t>
      </w:r>
      <w:r>
        <w:rPr>
          <w:rFonts w:hint="eastAsia" w:ascii="方正仿宋_GBK" w:hAnsi="方正仿宋_GBK" w:eastAsia="方正仿宋_GBK" w:cs="方正仿宋_GBK"/>
          <w:color w:val="auto"/>
          <w:spacing w:val="-2"/>
          <w:sz w:val="32"/>
          <w:szCs w:val="32"/>
          <w:highlight w:val="none"/>
        </w:rPr>
        <w:t>的评选比赛中获得第一名，或在参加省级及以上</w:t>
      </w:r>
      <w:r>
        <w:rPr>
          <w:rFonts w:hint="eastAsia" w:ascii="方正仿宋_GBK" w:hAnsi="方正仿宋_GBK" w:eastAsia="方正仿宋_GBK" w:cs="方正仿宋_GBK"/>
          <w:color w:val="auto"/>
          <w:spacing w:val="-3"/>
          <w:sz w:val="32"/>
          <w:szCs w:val="32"/>
          <w:highlight w:val="none"/>
        </w:rPr>
        <w:t>级别</w:t>
      </w:r>
      <w:r>
        <w:rPr>
          <w:rFonts w:hint="eastAsia" w:ascii="方正仿宋_GBK" w:hAnsi="方正仿宋_GBK" w:eastAsia="方正仿宋_GBK" w:cs="方正仿宋_GBK"/>
          <w:color w:val="auto"/>
          <w:sz w:val="32"/>
          <w:szCs w:val="32"/>
          <w:highlight w:val="none"/>
        </w:rPr>
        <w:t>（与辅导员工作相关</w:t>
      </w:r>
      <w:r>
        <w:rPr>
          <w:rFonts w:hint="eastAsia" w:ascii="方正仿宋_GBK" w:hAnsi="方正仿宋_GBK" w:eastAsia="方正仿宋_GBK" w:cs="方正仿宋_GBK"/>
          <w:color w:val="auto"/>
          <w:spacing w:val="-5"/>
          <w:sz w:val="32"/>
          <w:szCs w:val="32"/>
          <w:highlight w:val="none"/>
        </w:rPr>
        <w:t>）</w:t>
      </w:r>
      <w:r>
        <w:rPr>
          <w:rFonts w:hint="eastAsia" w:ascii="方正仿宋_GBK" w:hAnsi="方正仿宋_GBK" w:eastAsia="方正仿宋_GBK" w:cs="方正仿宋_GBK"/>
          <w:color w:val="auto"/>
          <w:spacing w:val="-1"/>
          <w:sz w:val="32"/>
          <w:szCs w:val="32"/>
          <w:highlight w:val="none"/>
        </w:rPr>
        <w:t>的评选比赛中获得名次</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pacing w:val="-4"/>
          <w:sz w:val="32"/>
          <w:szCs w:val="32"/>
          <w:highlight w:val="none"/>
        </w:rPr>
        <w:t>省级以</w:t>
      </w:r>
      <w:r>
        <w:rPr>
          <w:rFonts w:hint="eastAsia" w:ascii="方正仿宋_GBK" w:hAnsi="方正仿宋_GBK" w:eastAsia="方正仿宋_GBK" w:cs="方正仿宋_GBK"/>
          <w:color w:val="auto"/>
          <w:sz w:val="32"/>
          <w:szCs w:val="32"/>
          <w:highlight w:val="none"/>
        </w:rPr>
        <w:t>上辅导员技能大赛第三等奖及以上）；</w:t>
      </w:r>
    </w:p>
    <w:p>
      <w:pPr>
        <w:pStyle w:val="35"/>
        <w:keepNext w:val="0"/>
        <w:keepLines w:val="0"/>
        <w:pageBreakBefore w:val="0"/>
        <w:widowControl w:val="0"/>
        <w:numPr>
          <w:ilvl w:val="0"/>
          <w:numId w:val="0"/>
        </w:numPr>
        <w:tabs>
          <w:tab w:val="left" w:pos="1011"/>
        </w:tabs>
        <w:kinsoku/>
        <w:wordWrap/>
        <w:overflowPunct/>
        <w:topLinePunct w:val="0"/>
        <w:autoSpaceDE w:val="0"/>
        <w:autoSpaceDN w:val="0"/>
        <w:bidi w:val="0"/>
        <w:adjustRightInd/>
        <w:snapToGrid/>
        <w:spacing w:before="0" w:after="0" w:line="560" w:lineRule="exact"/>
        <w:ind w:right="277" w:righ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任正科级辅导员以来，担任学生工作业务骨干老师或</w:t>
      </w:r>
      <w:r>
        <w:rPr>
          <w:rFonts w:hint="eastAsia" w:ascii="方正仿宋_GBK" w:hAnsi="方正仿宋_GBK" w:eastAsia="方正仿宋_GBK" w:cs="方正仿宋_GBK"/>
          <w:color w:val="auto"/>
          <w:spacing w:val="-7"/>
          <w:sz w:val="32"/>
          <w:szCs w:val="32"/>
          <w:highlight w:val="none"/>
        </w:rPr>
        <w:t xml:space="preserve">者社团指导老师至少 </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pacing w:val="-9"/>
          <w:sz w:val="32"/>
          <w:szCs w:val="32"/>
          <w:highlight w:val="none"/>
        </w:rPr>
        <w:t xml:space="preserve"> 年且工作考核合格。</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7" w:firstLine="608"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w w:val="95"/>
          <w:sz w:val="32"/>
          <w:szCs w:val="32"/>
          <w:highlight w:val="none"/>
        </w:rPr>
        <w:t>（三</w:t>
      </w:r>
      <w:r>
        <w:rPr>
          <w:rFonts w:hint="eastAsia" w:ascii="方正仿宋_GBK" w:hAnsi="方正仿宋_GBK" w:eastAsia="方正仿宋_GBK" w:cs="方正仿宋_GBK"/>
          <w:color w:val="auto"/>
          <w:spacing w:val="-3"/>
          <w:w w:val="95"/>
          <w:sz w:val="32"/>
          <w:szCs w:val="32"/>
          <w:highlight w:val="none"/>
        </w:rPr>
        <w:t>）</w:t>
      </w:r>
      <w:r>
        <w:rPr>
          <w:rFonts w:hint="eastAsia" w:ascii="方正仿宋_GBK" w:hAnsi="方正仿宋_GBK" w:eastAsia="方正仿宋_GBK" w:cs="方正仿宋_GBK"/>
          <w:color w:val="auto"/>
          <w:spacing w:val="-2"/>
          <w:w w:val="95"/>
          <w:sz w:val="32"/>
          <w:szCs w:val="32"/>
          <w:highlight w:val="none"/>
        </w:rPr>
        <w:t xml:space="preserve">担任教学工作条件。任正科级辅导员以来，承担 </w:t>
      </w:r>
      <w:r>
        <w:rPr>
          <w:rFonts w:hint="eastAsia" w:ascii="方正仿宋_GBK" w:hAnsi="方正仿宋_GBK" w:eastAsia="方正仿宋_GBK" w:cs="方正仿宋_GBK"/>
          <w:color w:val="auto"/>
          <w:spacing w:val="-4"/>
          <w:sz w:val="32"/>
          <w:szCs w:val="32"/>
          <w:highlight w:val="none"/>
        </w:rPr>
        <w:t>思想政治教育课程或形势政策教育、心理健康教育、职业发展、就业指导、国防教育、党（团）课等相关课程；</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94" w:firstLine="640" w:firstLineChars="200"/>
        <w:jc w:val="left"/>
        <w:textAlignment w:val="auto"/>
        <w:rPr>
          <w:rFonts w:hint="eastAsia" w:ascii="方正仿宋_GBK" w:hAnsi="方正仿宋_GBK" w:eastAsia="方正仿宋_GBK" w:cs="方正仿宋_GBK"/>
          <w:color w:val="auto"/>
          <w:spacing w:val="-7"/>
          <w:sz w:val="32"/>
          <w:szCs w:val="32"/>
          <w:highlight w:val="none"/>
        </w:rPr>
      </w:pPr>
      <w:r>
        <w:rPr>
          <w:rFonts w:hint="eastAsia" w:ascii="方正仿宋_GBK" w:hAnsi="方正仿宋_GBK" w:eastAsia="方正仿宋_GBK" w:cs="方正仿宋_GBK"/>
          <w:color w:val="auto"/>
          <w:sz w:val="32"/>
          <w:szCs w:val="32"/>
          <w:highlight w:val="none"/>
        </w:rPr>
        <w:t>（四</w:t>
      </w:r>
      <w:r>
        <w:rPr>
          <w:rFonts w:hint="eastAsia" w:ascii="方正仿宋_GBK" w:hAnsi="方正仿宋_GBK" w:eastAsia="方正仿宋_GBK" w:cs="方正仿宋_GBK"/>
          <w:color w:val="auto"/>
          <w:spacing w:val="-46"/>
          <w:sz w:val="32"/>
          <w:szCs w:val="32"/>
          <w:highlight w:val="none"/>
        </w:rPr>
        <w:t>）</w:t>
      </w:r>
      <w:r>
        <w:rPr>
          <w:rFonts w:hint="eastAsia" w:ascii="方正仿宋_GBK" w:hAnsi="方正仿宋_GBK" w:eastAsia="方正仿宋_GBK" w:cs="方正仿宋_GBK"/>
          <w:color w:val="auto"/>
          <w:spacing w:val="-7"/>
          <w:sz w:val="32"/>
          <w:szCs w:val="32"/>
          <w:highlight w:val="none"/>
        </w:rPr>
        <w:t>职业资格条件。须取得国家认证心理咨询师资格证书或讲师资格等相关证书；</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94" w:firstLine="640" w:firstLineChars="200"/>
        <w:jc w:val="left"/>
        <w:textAlignment w:val="auto"/>
        <w:rPr>
          <w:color w:val="auto"/>
          <w:highlight w:val="none"/>
        </w:rPr>
      </w:pPr>
      <w:r>
        <w:rPr>
          <w:color w:val="auto"/>
          <w:highlight w:val="none"/>
        </w:rPr>
        <w:t>（五</w:t>
      </w:r>
      <w:r>
        <w:rPr>
          <w:color w:val="auto"/>
          <w:spacing w:val="-31"/>
          <w:highlight w:val="none"/>
        </w:rPr>
        <w:t>）</w:t>
      </w:r>
      <w:r>
        <w:rPr>
          <w:color w:val="auto"/>
          <w:spacing w:val="-8"/>
          <w:highlight w:val="none"/>
        </w:rPr>
        <w:t>科研条件。任正科级辅导员以来，独立或第一作</w:t>
      </w:r>
      <w:r>
        <w:rPr>
          <w:color w:val="auto"/>
          <w:spacing w:val="-13"/>
          <w:highlight w:val="none"/>
        </w:rPr>
        <w:t xml:space="preserve">者在省级一般学术期刊上公开发表 </w:t>
      </w:r>
      <w:r>
        <w:rPr>
          <w:color w:val="auto"/>
          <w:highlight w:val="none"/>
        </w:rPr>
        <w:t>2</w:t>
      </w:r>
      <w:r>
        <w:rPr>
          <w:color w:val="auto"/>
          <w:spacing w:val="-10"/>
          <w:highlight w:val="none"/>
        </w:rPr>
        <w:t xml:space="preserve"> 篇有关大学生思想政治</w:t>
      </w:r>
      <w:r>
        <w:rPr>
          <w:color w:val="auto"/>
          <w:spacing w:val="-12"/>
          <w:highlight w:val="none"/>
        </w:rPr>
        <w:t>教育和管理等方面的论文，或在省级及以上级别高校学生思</w:t>
      </w:r>
      <w:r>
        <w:rPr>
          <w:color w:val="auto"/>
          <w:spacing w:val="-15"/>
          <w:highlight w:val="none"/>
        </w:rPr>
        <w:t xml:space="preserve">想政治教育及管理工作优秀论文评选获得了省级以上荣誉 </w:t>
      </w:r>
      <w:r>
        <w:rPr>
          <w:color w:val="auto"/>
          <w:highlight w:val="none"/>
        </w:rPr>
        <w:t>1</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124"/>
        <w:jc w:val="left"/>
        <w:textAlignment w:val="auto"/>
        <w:rPr>
          <w:color w:val="auto"/>
          <w:highlight w:val="none"/>
        </w:rPr>
      </w:pPr>
      <w:r>
        <w:rPr>
          <w:color w:val="auto"/>
          <w:highlight w:val="none"/>
        </w:rPr>
        <w:t>次，或参加校级及以上有关学生教育管理的科研项目 1 项。</w:t>
      </w:r>
    </w:p>
    <w:p>
      <w:pPr>
        <w:keepNext w:val="0"/>
        <w:keepLines w:val="0"/>
        <w:pageBreakBefore w:val="0"/>
        <w:widowControl w:val="0"/>
        <w:tabs>
          <w:tab w:val="left" w:pos="2366"/>
        </w:tabs>
        <w:kinsoku/>
        <w:wordWrap/>
        <w:overflowPunct/>
        <w:topLinePunct w:val="0"/>
        <w:autoSpaceDE w:val="0"/>
        <w:autoSpaceDN w:val="0"/>
        <w:bidi w:val="0"/>
        <w:adjustRightInd/>
        <w:snapToGrid/>
        <w:spacing w:before="44" w:line="560" w:lineRule="exact"/>
        <w:ind w:left="760" w:right="0" w:firstLine="0"/>
        <w:jc w:val="left"/>
        <w:textAlignment w:val="auto"/>
        <w:rPr>
          <w:color w:val="auto"/>
          <w:sz w:val="32"/>
          <w:highlight w:val="none"/>
        </w:rPr>
      </w:pPr>
      <w:r>
        <w:rPr>
          <w:rFonts w:hint="eastAsia" w:ascii="方正楷体_GBK" w:eastAsia="方正楷体_GBK"/>
          <w:b/>
          <w:color w:val="auto"/>
          <w:sz w:val="32"/>
          <w:highlight w:val="none"/>
        </w:rPr>
        <w:t>第十八条</w:t>
      </w:r>
      <w:r>
        <w:rPr>
          <w:rFonts w:hint="eastAsia" w:ascii="方正楷体_GBK" w:eastAsia="方正楷体_GBK"/>
          <w:b/>
          <w:color w:val="auto"/>
          <w:sz w:val="32"/>
          <w:highlight w:val="none"/>
          <w:lang w:val="en-US" w:eastAsia="zh-CN"/>
        </w:rPr>
        <w:t xml:space="preserve">  </w:t>
      </w:r>
      <w:r>
        <w:rPr>
          <w:rFonts w:ascii="方正仿宋_GBK" w:hAnsi="方正仿宋_GBK" w:eastAsia="方正仿宋_GBK" w:cs="方正仿宋_GBK"/>
          <w:color w:val="auto"/>
          <w:spacing w:val="-13"/>
          <w:kern w:val="2"/>
          <w:sz w:val="32"/>
          <w:szCs w:val="32"/>
          <w:highlight w:val="none"/>
          <w:lang w:val="zh-CN" w:eastAsia="zh-CN" w:bidi="zh-CN"/>
        </w:rPr>
        <w:t>正处级辅导员应当符合以下任职条件：</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ind w:left="760"/>
        <w:jc w:val="left"/>
        <w:textAlignment w:val="auto"/>
        <w:rPr>
          <w:color w:val="auto"/>
          <w:highlight w:val="none"/>
        </w:rPr>
      </w:pPr>
      <w:r>
        <w:rPr>
          <w:color w:val="auto"/>
          <w:highlight w:val="none"/>
        </w:rPr>
        <w:t>（一）工作年限条件。任副处级辅导员 3 年及以上；</w:t>
      </w:r>
    </w:p>
    <w:p>
      <w:pPr>
        <w:pStyle w:val="6"/>
        <w:keepNext w:val="0"/>
        <w:keepLines w:val="0"/>
        <w:pageBreakBefore w:val="0"/>
        <w:widowControl w:val="0"/>
        <w:kinsoku/>
        <w:wordWrap/>
        <w:overflowPunct/>
        <w:topLinePunct w:val="0"/>
        <w:autoSpaceDE w:val="0"/>
        <w:autoSpaceDN w:val="0"/>
        <w:bidi w:val="0"/>
        <w:adjustRightInd/>
        <w:snapToGrid/>
        <w:spacing w:before="47" w:line="560" w:lineRule="exact"/>
        <w:ind w:left="760"/>
        <w:jc w:val="left"/>
        <w:textAlignment w:val="auto"/>
        <w:rPr>
          <w:color w:val="auto"/>
          <w:highlight w:val="none"/>
        </w:rPr>
      </w:pPr>
      <w:r>
        <w:rPr>
          <w:color w:val="auto"/>
          <w:highlight w:val="none"/>
        </w:rPr>
        <w:t>（二）工作业绩条件：</w:t>
      </w:r>
    </w:p>
    <w:p>
      <w:pPr>
        <w:pStyle w:val="35"/>
        <w:keepNext w:val="0"/>
        <w:keepLines w:val="0"/>
        <w:pageBreakBefore w:val="0"/>
        <w:widowControl w:val="0"/>
        <w:numPr>
          <w:ilvl w:val="0"/>
          <w:numId w:val="6"/>
        </w:numPr>
        <w:tabs>
          <w:tab w:val="left" w:pos="1063"/>
        </w:tabs>
        <w:kinsoku/>
        <w:wordWrap/>
        <w:overflowPunct/>
        <w:topLinePunct w:val="0"/>
        <w:autoSpaceDE w:val="0"/>
        <w:autoSpaceDN w:val="0"/>
        <w:bidi w:val="0"/>
        <w:adjustRightInd/>
        <w:snapToGrid/>
        <w:spacing w:before="44" w:after="0" w:line="560" w:lineRule="exact"/>
        <w:ind w:left="120" w:right="280" w:firstLine="64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任职副处级辅导员期间月考核合格，近 1 年内未出现月考核不合格及一票否决事项；</w:t>
      </w:r>
    </w:p>
    <w:p>
      <w:pPr>
        <w:pStyle w:val="35"/>
        <w:keepNext w:val="0"/>
        <w:keepLines w:val="0"/>
        <w:pageBreakBefore w:val="0"/>
        <w:widowControl w:val="0"/>
        <w:numPr>
          <w:ilvl w:val="0"/>
          <w:numId w:val="6"/>
        </w:numPr>
        <w:tabs>
          <w:tab w:val="left" w:pos="1013"/>
        </w:tabs>
        <w:kinsoku/>
        <w:wordWrap/>
        <w:overflowPunct/>
        <w:topLinePunct w:val="0"/>
        <w:autoSpaceDE w:val="0"/>
        <w:autoSpaceDN w:val="0"/>
        <w:bidi w:val="0"/>
        <w:adjustRightInd/>
        <w:snapToGrid/>
        <w:spacing w:before="0" w:after="0" w:line="560" w:lineRule="exact"/>
        <w:ind w:left="120" w:right="119" w:firstLine="64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认真履行岗位职责，有丰富的工作经验、较强的业务能力、良好的知识结构，能独立和带领团队完成学校或学院安排的重点任务，思想政治工作专业能力强，工作业绩优异。 所带学生未发生影响学校安全稳定的责任事项；</w:t>
      </w:r>
    </w:p>
    <w:p>
      <w:pPr>
        <w:pStyle w:val="35"/>
        <w:keepNext w:val="0"/>
        <w:keepLines w:val="0"/>
        <w:pageBreakBefore w:val="0"/>
        <w:widowControl w:val="0"/>
        <w:numPr>
          <w:ilvl w:val="0"/>
          <w:numId w:val="0"/>
        </w:numPr>
        <w:tabs>
          <w:tab w:val="left" w:pos="1023"/>
        </w:tabs>
        <w:kinsoku/>
        <w:wordWrap/>
        <w:overflowPunct/>
        <w:topLinePunct w:val="0"/>
        <w:autoSpaceDE w:val="0"/>
        <w:autoSpaceDN w:val="0"/>
        <w:bidi w:val="0"/>
        <w:adjustRightInd/>
        <w:snapToGrid/>
        <w:spacing w:before="0" w:after="0" w:line="560" w:lineRule="exact"/>
        <w:ind w:right="0" w:rightChars="0" w:firstLine="588" w:firstLineChars="2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hint="eastAsia" w:ascii="方正仿宋_GBK" w:hAnsi="方正仿宋_GBK" w:eastAsia="方正仿宋_GBK" w:cs="方正仿宋_GBK"/>
          <w:color w:val="auto"/>
          <w:spacing w:val="-13"/>
          <w:kern w:val="2"/>
          <w:sz w:val="32"/>
          <w:szCs w:val="32"/>
          <w:highlight w:val="none"/>
          <w:lang w:val="en-US" w:eastAsia="zh-CN" w:bidi="zh-CN"/>
        </w:rPr>
        <w:t>3.</w:t>
      </w:r>
      <w:r>
        <w:rPr>
          <w:rFonts w:ascii="方正仿宋_GBK" w:hAnsi="方正仿宋_GBK" w:eastAsia="方正仿宋_GBK" w:cs="方正仿宋_GBK"/>
          <w:color w:val="auto"/>
          <w:spacing w:val="-13"/>
          <w:kern w:val="2"/>
          <w:sz w:val="32"/>
          <w:szCs w:val="32"/>
          <w:highlight w:val="none"/>
          <w:lang w:val="zh-CN" w:eastAsia="zh-CN" w:bidi="zh-CN"/>
        </w:rPr>
        <w:t>任副处级辅导员以来，获得学校年度考核优秀至少 2</w:t>
      </w:r>
    </w:p>
    <w:p>
      <w:pPr>
        <w:pStyle w:val="6"/>
        <w:keepNext w:val="0"/>
        <w:keepLines w:val="0"/>
        <w:pageBreakBefore w:val="0"/>
        <w:widowControl w:val="0"/>
        <w:kinsoku/>
        <w:wordWrap/>
        <w:overflowPunct/>
        <w:topLinePunct w:val="0"/>
        <w:autoSpaceDE w:val="0"/>
        <w:autoSpaceDN w:val="0"/>
        <w:bidi w:val="0"/>
        <w:adjustRightInd/>
        <w:snapToGrid/>
        <w:spacing w:before="43" w:line="560" w:lineRule="exact"/>
        <w:ind w:right="28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次或至少 2 次校级及以上个人等荣誉称号（其中 1 次必须是省级或联盟以上级别）；</w:t>
      </w:r>
    </w:p>
    <w:p>
      <w:pPr>
        <w:pStyle w:val="35"/>
        <w:keepNext w:val="0"/>
        <w:keepLines w:val="0"/>
        <w:pageBreakBefore w:val="0"/>
        <w:widowControl w:val="0"/>
        <w:numPr>
          <w:ilvl w:val="0"/>
          <w:numId w:val="0"/>
        </w:numPr>
        <w:tabs>
          <w:tab w:val="left" w:pos="1030"/>
        </w:tabs>
        <w:kinsoku/>
        <w:wordWrap/>
        <w:overflowPunct/>
        <w:topLinePunct w:val="0"/>
        <w:autoSpaceDE w:val="0"/>
        <w:autoSpaceDN w:val="0"/>
        <w:bidi w:val="0"/>
        <w:adjustRightInd/>
        <w:snapToGrid/>
        <w:spacing w:before="0" w:after="0" w:line="560" w:lineRule="exact"/>
        <w:ind w:right="0" w:rightChars="0" w:firstLine="588" w:firstLineChars="2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hint="eastAsia" w:ascii="方正仿宋_GBK" w:hAnsi="方正仿宋_GBK" w:eastAsia="方正仿宋_GBK" w:cs="方正仿宋_GBK"/>
          <w:color w:val="auto"/>
          <w:spacing w:val="-13"/>
          <w:kern w:val="2"/>
          <w:sz w:val="32"/>
          <w:szCs w:val="32"/>
          <w:highlight w:val="none"/>
          <w:lang w:val="en-US" w:eastAsia="zh-CN" w:bidi="zh-CN"/>
        </w:rPr>
        <w:t>4.</w:t>
      </w:r>
      <w:r>
        <w:rPr>
          <w:rFonts w:ascii="方正仿宋_GBK" w:hAnsi="方正仿宋_GBK" w:eastAsia="方正仿宋_GBK" w:cs="方正仿宋_GBK"/>
          <w:color w:val="auto"/>
          <w:spacing w:val="-13"/>
          <w:kern w:val="2"/>
          <w:sz w:val="32"/>
          <w:szCs w:val="32"/>
          <w:highlight w:val="none"/>
          <w:lang w:val="zh-CN" w:eastAsia="zh-CN" w:bidi="zh-CN"/>
        </w:rPr>
        <w:t>任副处级辅导员以来，所带学生班级获得至少 2 次省</w:t>
      </w:r>
    </w:p>
    <w:p>
      <w:pPr>
        <w:pStyle w:val="6"/>
        <w:keepNext w:val="0"/>
        <w:keepLines w:val="0"/>
        <w:pageBreakBefore w:val="0"/>
        <w:widowControl w:val="0"/>
        <w:kinsoku/>
        <w:wordWrap/>
        <w:overflowPunct/>
        <w:topLinePunct w:val="0"/>
        <w:autoSpaceDE w:val="0"/>
        <w:autoSpaceDN w:val="0"/>
        <w:bidi w:val="0"/>
        <w:adjustRightInd/>
        <w:snapToGrid/>
        <w:spacing w:before="44" w:line="560" w:lineRule="exact"/>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级及以上集体荣誉称号或至少 4 次校级及以上集体荣誉称</w:t>
      </w:r>
    </w:p>
    <w:p>
      <w:pPr>
        <w:pStyle w:val="6"/>
        <w:keepNext w:val="0"/>
        <w:keepLines w:val="0"/>
        <w:pageBreakBefore w:val="0"/>
        <w:widowControl w:val="0"/>
        <w:kinsoku/>
        <w:wordWrap/>
        <w:overflowPunct/>
        <w:topLinePunct w:val="0"/>
        <w:autoSpaceDE w:val="0"/>
        <w:autoSpaceDN w:val="0"/>
        <w:bidi w:val="0"/>
        <w:adjustRightInd/>
        <w:snapToGrid/>
        <w:spacing w:before="46" w:line="560" w:lineRule="exact"/>
        <w:ind w:right="276"/>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号；所带学生至少 30 名获得省级及以上荣誉称号或至少 60 名获得校级及以上荣誉称号；</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2" w:rightChars="0" w:firstLine="588" w:firstLineChars="2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hint="eastAsia" w:ascii="方正仿宋_GBK" w:hAnsi="方正仿宋_GBK" w:eastAsia="方正仿宋_GBK" w:cs="方正仿宋_GBK"/>
          <w:color w:val="auto"/>
          <w:spacing w:val="-13"/>
          <w:kern w:val="2"/>
          <w:sz w:val="32"/>
          <w:szCs w:val="32"/>
          <w:highlight w:val="none"/>
          <w:lang w:val="en-US" w:eastAsia="zh-CN" w:bidi="zh-CN"/>
        </w:rPr>
        <w:t>5.</w:t>
      </w:r>
      <w:r>
        <w:rPr>
          <w:rFonts w:ascii="方正仿宋_GBK" w:hAnsi="方正仿宋_GBK" w:eastAsia="方正仿宋_GBK" w:cs="方正仿宋_GBK"/>
          <w:color w:val="auto"/>
          <w:spacing w:val="-13"/>
          <w:kern w:val="2"/>
          <w:sz w:val="32"/>
          <w:szCs w:val="32"/>
          <w:highlight w:val="none"/>
          <w:lang w:val="zh-CN" w:eastAsia="zh-CN" w:bidi="zh-CN"/>
        </w:rPr>
        <w:t>任副处级辅导员以来，在校级以上级别（与辅导员工作相关）的评选比赛中获得第一名至少 2 次，或在参加省级以上级别（与辅导员工作相关）的评选比赛中获得名次（省级以上辅导员技能大赛第二等奖以上）；</w:t>
      </w:r>
    </w:p>
    <w:p>
      <w:pPr>
        <w:pStyle w:val="35"/>
        <w:keepNext w:val="0"/>
        <w:keepLines w:val="0"/>
        <w:pageBreakBefore w:val="0"/>
        <w:widowControl w:val="0"/>
        <w:numPr>
          <w:ilvl w:val="0"/>
          <w:numId w:val="0"/>
        </w:numPr>
        <w:tabs>
          <w:tab w:val="left" w:pos="1013"/>
        </w:tabs>
        <w:kinsoku/>
        <w:wordWrap/>
        <w:overflowPunct/>
        <w:topLinePunct w:val="0"/>
        <w:autoSpaceDE w:val="0"/>
        <w:autoSpaceDN w:val="0"/>
        <w:bidi w:val="0"/>
        <w:adjustRightInd/>
        <w:snapToGrid/>
        <w:spacing w:before="0" w:after="0" w:line="560" w:lineRule="exact"/>
        <w:ind w:right="282" w:rightChars="0" w:firstLine="588" w:firstLineChars="2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hint="eastAsia" w:ascii="方正仿宋_GBK" w:hAnsi="方正仿宋_GBK" w:eastAsia="方正仿宋_GBK" w:cs="方正仿宋_GBK"/>
          <w:color w:val="auto"/>
          <w:spacing w:val="-13"/>
          <w:kern w:val="2"/>
          <w:sz w:val="32"/>
          <w:szCs w:val="32"/>
          <w:highlight w:val="none"/>
          <w:lang w:val="en-US" w:eastAsia="zh-CN" w:bidi="zh-CN"/>
        </w:rPr>
        <w:t>7.</w:t>
      </w:r>
      <w:r>
        <w:rPr>
          <w:rFonts w:ascii="方正仿宋_GBK" w:hAnsi="方正仿宋_GBK" w:eastAsia="方正仿宋_GBK" w:cs="方正仿宋_GBK"/>
          <w:color w:val="auto"/>
          <w:spacing w:val="-13"/>
          <w:kern w:val="2"/>
          <w:sz w:val="32"/>
          <w:szCs w:val="32"/>
          <w:highlight w:val="none"/>
          <w:lang w:val="zh-CN" w:eastAsia="zh-CN" w:bidi="zh-CN"/>
        </w:rPr>
        <w:t>任副处级辅导员以来，担任学生工作业务骨干老师或者社团指导老师至少 1 年且工作考核合格。</w:t>
      </w:r>
    </w:p>
    <w:p>
      <w:pPr>
        <w:pStyle w:val="6"/>
        <w:keepNext w:val="0"/>
        <w:keepLines w:val="0"/>
        <w:pageBreakBefore w:val="0"/>
        <w:widowControl w:val="0"/>
        <w:kinsoku/>
        <w:wordWrap/>
        <w:overflowPunct/>
        <w:topLinePunct w:val="0"/>
        <w:autoSpaceDE w:val="0"/>
        <w:autoSpaceDN w:val="0"/>
        <w:bidi w:val="0"/>
        <w:adjustRightInd/>
        <w:snapToGrid/>
        <w:spacing w:line="560" w:lineRule="exact"/>
        <w:ind w:right="277" w:firstLine="64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（三）担任教学工作条件。任副处级辅导员以来，承担 思想政治教育课程或形势政策教育、心理健康教育、职业发展、就业指导、国防教育、党（团）课等相关课程；</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124" w:right="294" w:firstLine="7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（四）职业资格条件。须取得国家认证心理咨询师资格证书或取得副教授资格等相关证书；</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124" w:right="292" w:firstLine="700"/>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（五）科研条件。任副处级辅导员以来，独立或第一作者在省级一般学术期刊上公开发表 3 篇有关大学生思想政治教育和管理等方面的论文，或在省级及以上级别高校学生思想政治教育及管理工作优秀论文评选获得了省级以上荣誉 2</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124"/>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r>
        <w:rPr>
          <w:rFonts w:ascii="方正仿宋_GBK" w:hAnsi="方正仿宋_GBK" w:eastAsia="方正仿宋_GBK" w:cs="方正仿宋_GBK"/>
          <w:color w:val="auto"/>
          <w:spacing w:val="-13"/>
          <w:kern w:val="2"/>
          <w:sz w:val="32"/>
          <w:szCs w:val="32"/>
          <w:highlight w:val="none"/>
          <w:lang w:val="zh-CN" w:eastAsia="zh-CN" w:bidi="zh-CN"/>
        </w:rPr>
        <w:t>次，或参加省级及以上有关学生教育管理的科研项目 1 项。</w:t>
      </w:r>
    </w:p>
    <w:p>
      <w:pPr>
        <w:pStyle w:val="6"/>
        <w:keepNext w:val="0"/>
        <w:keepLines w:val="0"/>
        <w:pageBreakBefore w:val="0"/>
        <w:widowControl w:val="0"/>
        <w:kinsoku/>
        <w:wordWrap/>
        <w:overflowPunct/>
        <w:topLinePunct w:val="0"/>
        <w:autoSpaceDE w:val="0"/>
        <w:autoSpaceDN w:val="0"/>
        <w:bidi w:val="0"/>
        <w:adjustRightInd/>
        <w:snapToGrid/>
        <w:spacing w:line="560" w:lineRule="exact"/>
        <w:ind w:left="124"/>
        <w:jc w:val="left"/>
        <w:textAlignment w:val="auto"/>
        <w:rPr>
          <w:rFonts w:ascii="方正仿宋_GBK" w:hAnsi="方正仿宋_GBK" w:eastAsia="方正仿宋_GBK" w:cs="方正仿宋_GBK"/>
          <w:color w:val="auto"/>
          <w:spacing w:val="-13"/>
          <w:kern w:val="2"/>
          <w:sz w:val="32"/>
          <w:szCs w:val="32"/>
          <w:highlight w:val="none"/>
          <w:lang w:val="zh-CN" w:eastAsia="zh-CN" w:bidi="zh-CN"/>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bookmarkStart w:id="95" w:name="_Toc5722"/>
      <w:r>
        <w:rPr>
          <w:rFonts w:hint="eastAsia" w:ascii="方正黑体_GBK" w:hAnsi="方正黑体_GBK" w:eastAsia="方正黑体_GBK" w:cs="方正黑体_GBK"/>
          <w:b/>
          <w:bCs/>
          <w:color w:val="auto"/>
          <w:sz w:val="32"/>
          <w:szCs w:val="32"/>
          <w:highlight w:val="none"/>
          <w:lang w:val="en-US" w:eastAsia="zh-CN"/>
        </w:rPr>
        <w:t>第六章  聘任程序</w:t>
      </w:r>
      <w:bookmarkEnd w:id="95"/>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3" w:firstLineChars="200"/>
        <w:rPr>
          <w:rFonts w:hint="eastAsia" w:ascii="方正仿宋_GBK" w:hAnsi="宋体" w:eastAsia="方正仿宋_GBK"/>
          <w:color w:val="auto"/>
          <w:sz w:val="32"/>
          <w:szCs w:val="32"/>
          <w:highlight w:val="none"/>
          <w:lang w:val="zh-CN" w:eastAsia="zh-CN"/>
        </w:rPr>
      </w:pPr>
      <w:r>
        <w:rPr>
          <w:rFonts w:hint="eastAsia" w:ascii="方正楷体_GBK" w:eastAsia="方正楷体_GBK"/>
          <w:b/>
          <w:color w:val="auto"/>
          <w:sz w:val="32"/>
          <w:highlight w:val="none"/>
        </w:rPr>
        <w:t>第十九条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lang w:val="zh-CN" w:eastAsia="zh-CN"/>
        </w:rPr>
        <w:t>晋升副科级及以上级别辅导员适用以下程</w:t>
      </w:r>
    </w:p>
    <w:p>
      <w:pPr>
        <w:spacing w:line="560" w:lineRule="exact"/>
        <w:ind w:firstLine="640" w:firstLineChars="200"/>
        <w:rPr>
          <w:rFonts w:hint="eastAsia" w:ascii="方正仿宋_GBK" w:hAnsi="宋体" w:eastAsia="方正仿宋_GBK"/>
          <w:color w:val="auto"/>
          <w:sz w:val="32"/>
          <w:szCs w:val="32"/>
          <w:highlight w:val="none"/>
          <w:lang w:val="zh-CN" w:eastAsia="zh-CN"/>
        </w:rPr>
      </w:pPr>
      <w:r>
        <w:rPr>
          <w:rFonts w:hint="eastAsia" w:ascii="方正仿宋_GBK" w:hAnsi="宋体" w:eastAsia="方正仿宋_GBK"/>
          <w:color w:val="auto"/>
          <w:sz w:val="32"/>
          <w:szCs w:val="32"/>
          <w:highlight w:val="none"/>
          <w:lang w:val="zh-CN" w:eastAsia="zh-CN"/>
        </w:rPr>
        <w:t>序：</w:t>
      </w:r>
    </w:p>
    <w:p>
      <w:pPr>
        <w:spacing w:line="560" w:lineRule="exact"/>
        <w:ind w:firstLine="640" w:firstLineChars="200"/>
        <w:rPr>
          <w:rFonts w:hint="eastAsia" w:ascii="方正仿宋_GBK" w:hAnsi="宋体" w:eastAsia="方正仿宋_GBK"/>
          <w:color w:val="auto"/>
          <w:sz w:val="32"/>
          <w:szCs w:val="32"/>
          <w:highlight w:val="none"/>
          <w:lang w:val="zh-CN" w:eastAsia="zh-CN"/>
        </w:rPr>
      </w:pPr>
      <w:r>
        <w:rPr>
          <w:rFonts w:hint="eastAsia" w:ascii="方正仿宋_GBK" w:hAnsi="宋体" w:eastAsia="方正仿宋_GBK"/>
          <w:color w:val="auto"/>
          <w:sz w:val="32"/>
          <w:szCs w:val="32"/>
          <w:highlight w:val="none"/>
          <w:lang w:val="zh-CN" w:eastAsia="zh-CN"/>
        </w:rPr>
        <w:t>（一）个人申请。符合级别晋升要求和任职条件的辅导员填写《云南城市建设职业学院专职辅导员晋级申报审批 表》向所在学院提出书面申请，写出工作总结，附上相关佐 证材料。如有影响学校安全稳定责任事故的事件，给予 1 年的改正期，延至下一批次参加晋升评审；</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二级学院初审。二级学院按照任职条件进行初审， 符合条件者经二级学院专题会议研究，确定推荐人员并签署意见后报送至人力资源处；</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（三）资格审査。人力资源处会同学生工作处、教务处 等相关部门对申报人员进行资格复审，依据考核、获奖、论 文等项目进行材料评价，对申报人进行校内公示；</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（四）评审答辩。公示无异议后，人力资源处牵头组织 申报人进行答辩，申报人需对履职期间的工作经进行简述</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（含工作亮点及创新、工作业绩等）；</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（五）学校审批。人力资源处根据申报人得分情况，上 报校长办公会讨论确定晋升名单，报学校董事会和大学联盟审批，审批通过后由人力资源处办理聘任手续。</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第二十条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学校辅导员行政职级晋升工作每年安排在 7 月进行。破格晋升及降级按照工作实际提请校长办公会讨论后，报学校董事会和大学联盟审批。</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破格三年内以 1 次为限，降级为逐级顺序降低。</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第二十一条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降级要求。有下列情况之一者，降低聘任的级别或按照相关规定进行处理:</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（一）任现职期间，年度考核为不合格；</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（二）任现职期间，因工作不细致、不到位，出现学生 非正常死亡或群体事件（如罢课、罢餐、上访、打砸、群架 等）；</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（三）任现职期间，在学生奖、助、贷、补、免、医保、参军入伍、勤工助学、贫困生认定与管理、评奖推优等涉及学生切身利益的事项中失职失察、弄虚作假的；</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（四）出现重大工作责任事故，受到学校通报及纪律处分的；</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（五）任现职期间，经学校认定降级聘任的其他情况。</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第二十二条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破格要求。有下列情况之一者，可破格聘任上一级辅导员：</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（一）本人获得“全国教育系统劳动模范”、“全国优 秀辅导员”、“全国优秀共青团干部”等荣誉称号或者所带 学生（班级）受到国家（国际）级媒体宣传报道，除科研条 件外，其他条件具备的，破格聘任上一级辅导员；</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（二）获得省级“优秀共产党员”、“优秀辅导员”、“优秀共青团干部”等荣誉称号或者所带学生（班级）受到省（部）级媒体宣传报道，科研条件达到同级要求，其他条件具备，破格聘任上一级辅导员；</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（三）任职期间，学校重点项目年终考核为第一或者在学校招生工作中贡献特别突出的，其他条件具备，破格聘任上一级辅导员；</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（四）任职期间，经学校认定晋升聘任的其他情况。</w:t>
      </w:r>
    </w:p>
    <w:p>
      <w:pPr>
        <w:spacing w:line="560" w:lineRule="exact"/>
        <w:ind w:firstLine="640" w:firstLineChars="200"/>
        <w:rPr>
          <w:rFonts w:hint="eastAsia" w:ascii="方正仿宋_GBK" w:hAnsi="宋体" w:eastAsia="方正仿宋_GBK"/>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bookmarkStart w:id="96" w:name="_Toc4757"/>
      <w:bookmarkStart w:id="97" w:name="_Toc20094"/>
      <w:bookmarkStart w:id="98" w:name="_Toc2869"/>
      <w:bookmarkStart w:id="99" w:name="_Toc28426"/>
      <w:r>
        <w:rPr>
          <w:rFonts w:hint="eastAsia" w:ascii="方正黑体_GBK" w:hAnsi="方正黑体_GBK" w:eastAsia="方正黑体_GBK" w:cs="方正黑体_GBK"/>
          <w:b/>
          <w:bCs/>
          <w:color w:val="auto"/>
          <w:sz w:val="32"/>
          <w:szCs w:val="32"/>
          <w:highlight w:val="none"/>
          <w:lang w:val="en-US" w:eastAsia="zh-CN"/>
        </w:rPr>
        <w:t>第七章  附则</w:t>
      </w:r>
      <w:bookmarkEnd w:id="96"/>
      <w:bookmarkEnd w:id="97"/>
      <w:bookmarkEnd w:id="98"/>
      <w:bookmarkEnd w:id="99"/>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3" w:firstLineChars="200"/>
        <w:rPr>
          <w:rFonts w:hint="eastAsia" w:ascii="方正仿宋_GBK" w:hAnsi="宋体" w:eastAsia="方正仿宋_GBK"/>
          <w:color w:val="auto"/>
          <w:sz w:val="32"/>
          <w:szCs w:val="32"/>
          <w:highlight w:val="none"/>
          <w:lang w:val="zh-CN" w:eastAsia="zh-CN"/>
        </w:rPr>
      </w:pPr>
      <w:r>
        <w:rPr>
          <w:rFonts w:hint="eastAsia" w:ascii="方正楷体_GBK" w:eastAsia="方正楷体_GBK"/>
          <w:b/>
          <w:color w:val="auto"/>
          <w:sz w:val="32"/>
          <w:highlight w:val="none"/>
        </w:rPr>
        <w:t>第二十三条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lang w:val="zh-CN" w:eastAsia="zh-CN"/>
        </w:rPr>
        <w:t>本办法由人力资源处、学生工作处负责解</w:t>
      </w:r>
    </w:p>
    <w:p>
      <w:pPr>
        <w:spacing w:line="560" w:lineRule="exact"/>
        <w:ind w:firstLine="640" w:firstLineChars="200"/>
        <w:rPr>
          <w:rFonts w:hint="eastAsia" w:ascii="方正仿宋_GBK" w:hAnsi="宋体" w:eastAsia="方正仿宋_GBK"/>
          <w:color w:val="auto"/>
          <w:sz w:val="32"/>
          <w:szCs w:val="32"/>
          <w:highlight w:val="none"/>
          <w:lang w:val="zh-CN" w:eastAsia="zh-CN"/>
        </w:rPr>
      </w:pPr>
      <w:r>
        <w:rPr>
          <w:rFonts w:hint="eastAsia" w:ascii="方正仿宋_GBK" w:hAnsi="宋体" w:eastAsia="方正仿宋_GBK"/>
          <w:color w:val="auto"/>
          <w:sz w:val="32"/>
          <w:szCs w:val="32"/>
          <w:highlight w:val="none"/>
          <w:lang w:val="zh-CN" w:eastAsia="zh-CN"/>
        </w:rPr>
        <w:t>释。</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第二十四条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lang w:val="zh-CN" w:eastAsia="zh-CN"/>
        </w:rPr>
        <w:t>本办法自 2021 年 1 月 1 日起执行。</w:t>
      </w:r>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0" w:firstLineChars="200"/>
        <w:rPr>
          <w:rFonts w:hint="eastAsia" w:ascii="方正仿宋_GBK" w:hAnsi="宋体" w:eastAsia="方正仿宋_GBK"/>
          <w:color w:val="auto"/>
          <w:sz w:val="32"/>
          <w:szCs w:val="32"/>
          <w:highlight w:val="none"/>
        </w:rPr>
      </w:pPr>
    </w:p>
    <w:p>
      <w:pPr>
        <w:keepNext w:val="0"/>
        <w:keepLines w:val="0"/>
        <w:pageBreakBefore w:val="0"/>
        <w:kinsoku/>
        <w:wordWrap/>
        <w:overflowPunct/>
        <w:topLinePunct w:val="0"/>
        <w:autoSpaceDE/>
        <w:autoSpaceDN/>
        <w:bidi w:val="0"/>
        <w:spacing w:before="0" w:after="0" w:line="560" w:lineRule="exact"/>
        <w:ind w:left="0" w:right="0"/>
        <w:jc w:val="center"/>
        <w:textAlignment w:val="auto"/>
        <w:outlineLvl w:val="0"/>
        <w:rPr>
          <w:rFonts w:hint="eastAsia" w:ascii="方正小标宋_GBK" w:hAnsi="方正小标宋_GBK" w:eastAsia="方正小标宋_GBK" w:cs="方正小标宋_GBK"/>
          <w:b/>
          <w:bCs/>
          <w:color w:val="auto"/>
          <w:kern w:val="2"/>
          <w:sz w:val="36"/>
          <w:szCs w:val="36"/>
          <w:highlight w:val="none"/>
          <w:lang w:val="en-US" w:bidi="ar-SA"/>
        </w:rPr>
      </w:pPr>
      <w:bookmarkStart w:id="100" w:name="_Toc13889"/>
      <w:r>
        <w:rPr>
          <w:rFonts w:hint="eastAsia" w:ascii="方正小标宋_GBK" w:hAnsi="方正小标宋_GBK" w:eastAsia="方正小标宋_GBK" w:cs="方正小标宋_GBK"/>
          <w:b/>
          <w:bCs/>
          <w:color w:val="auto"/>
          <w:kern w:val="2"/>
          <w:sz w:val="36"/>
          <w:szCs w:val="36"/>
          <w:highlight w:val="none"/>
          <w:lang w:val="en-US" w:bidi="ar-SA"/>
        </w:rPr>
        <w:t>云南城市建设职业学院辅导员申报评审专业技术职称办法（试行）</w:t>
      </w:r>
      <w:bookmarkEnd w:id="100"/>
    </w:p>
    <w:p>
      <w:pPr>
        <w:spacing w:line="560" w:lineRule="exact"/>
        <w:ind w:firstLine="640" w:firstLineChars="200"/>
        <w:rPr>
          <w:rFonts w:hint="eastAsia" w:ascii="方正仿宋_GBK" w:hAnsi="宋体" w:eastAsia="方正仿宋_GBK"/>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第一章  总则</w:t>
      </w:r>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第一条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为深入贯彻全国全省高校思想政治工作会议精神，贯彻落实《中共中央 国务院关于加强和改进新形势下高校思想政治工作的意见》(中发〔2016〕31 号)精神，进一步规范学校辅导员申报专业技术职称及其评审工作，促进学校辅导员专业化职业化发展，根据《普通高等学校辅导员队伍建设规定》(教育部令第 43 号)、《高等学校辅导员职业能力标准(暂行)》(教思政〔2014〕2 号)、《云南省高校专职辅导员申报评审专业技术职称暂行办法》等文件要求，结合学校实际，制订本办法。</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第二条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本办法适用于全校辅导员。辅导员是指在学校专职从事大学生日常思想政治教育工作的人员，包括辅导 员、院党委(党总支)副书记、团委(团总支)书记以及二级学院学生工作负责人、班主任、学生工作处各岗位教师等专职工作人员。(以下简称辅导员)</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第三条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学校结合实际，按专任教师职务岗位结构比例合理设置辅导员的相应教师职务岗位，名额分配由学校职称工作领导小组根据申报情况及各类分类报名情况核定指标， 原则上不低于当年全校各级别职称指标数与申报人员数的比例。辅导员专业技术职称更加注重考察辅导员工作业绩</w:t>
      </w:r>
      <w:r>
        <w:rPr>
          <w:rFonts w:hint="eastAsia" w:ascii="方正仿宋_GBK" w:hAnsi="宋体" w:eastAsia="方正仿宋_GBK"/>
          <w:color w:val="auto"/>
          <w:sz w:val="32"/>
          <w:szCs w:val="32"/>
          <w:highlight w:val="none"/>
          <w:lang w:val="en-US" w:eastAsia="zh-CN"/>
        </w:rPr>
        <w:t>和</w:t>
      </w:r>
      <w:r>
        <w:rPr>
          <w:rFonts w:hint="eastAsia" w:ascii="方正仿宋_GBK" w:hAnsi="宋体" w:eastAsia="方正仿宋_GBK"/>
          <w:color w:val="auto"/>
          <w:sz w:val="32"/>
          <w:szCs w:val="32"/>
          <w:highlight w:val="none"/>
        </w:rPr>
        <w:t>育人实效，单列计划、单设标准、单独评审。</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第四条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辅导员初、中、高、正高级专业技术职务名称为助教、讲师、副教授、教授。其中助教为初级职务，讲师为中级职务，副教授为副高级职务，教授为正高级职务。</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第五条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符合条件的辅导员可根据实际工作情况和个人意愿选择申报相应系列专业技术职称。申报教师系列的，可 申报思想政治教育学科，也可申报其他相关学科。申报其他相关学科的辅导员，按照有关规定进行评审，并在评审过程中根据辅导员的工作特点予以优先考虑。申报思想政治教育学科的辅导员，按照本办法规定执行。</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第六条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 xml:space="preserve"> 评审工作遵循以下原则:</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（一）评审工作应符合国家和云南省相关规定；</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（二）突出思想政治教育专业素养与工作实绩相结合；</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（三）坚持综合考评，将思想政治素养、工作年限、职业能力、科学研究、考核评价相结合，充分考虑工作年限、学生数量、兼任岗位等情况，注重所辅导班级及学生的综合发展情况；</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（四）重视职业能力综合评估，包括专业培训、职业素质、获奖情况、科研成果等。</w:t>
      </w:r>
    </w:p>
    <w:p>
      <w:pPr>
        <w:spacing w:line="560" w:lineRule="exact"/>
        <w:ind w:firstLine="640" w:firstLineChars="200"/>
        <w:rPr>
          <w:rFonts w:hint="eastAsia" w:ascii="方正仿宋_GBK" w:hAnsi="宋体" w:eastAsia="方正仿宋_GBK"/>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第二章  申报条件</w:t>
      </w:r>
    </w:p>
    <w:p>
      <w:pPr>
        <w:spacing w:line="560" w:lineRule="exact"/>
        <w:ind w:firstLine="640" w:firstLineChars="200"/>
        <w:rPr>
          <w:rFonts w:hint="eastAsia" w:ascii="方正仿宋_GBK" w:hAnsi="宋体" w:eastAsia="方正仿宋_GBK"/>
          <w:color w:val="auto"/>
          <w:sz w:val="32"/>
          <w:szCs w:val="32"/>
          <w:highlight w:val="none"/>
        </w:rPr>
      </w:pP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第七条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评审助教、讲师、副教授、教授职称均须具备以下基本条件。</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（一）具有良好的思想政治素质、职业道德和学术道德，</w:t>
      </w:r>
    </w:p>
    <w:p>
      <w:pPr>
        <w:spacing w:line="560" w:lineRule="exact"/>
        <w:ind w:firstLine="640" w:firstLineChars="200"/>
        <w:rPr>
          <w:rFonts w:hint="eastAsia" w:ascii="方正仿宋_GBK" w:hAnsi="宋体" w:eastAsia="方正仿宋_GBK"/>
          <w:color w:val="auto"/>
          <w:sz w:val="32"/>
          <w:szCs w:val="32"/>
          <w:highlight w:val="none"/>
        </w:rPr>
        <w:sectPr>
          <w:footerReference r:id="rId4" w:type="default"/>
          <w:pgSz w:w="11910" w:h="16840"/>
          <w:pgMar w:top="1400" w:right="1678" w:bottom="1984" w:left="1678" w:header="720" w:footer="720" w:gutter="0"/>
          <w:pgNumType w:fmt="decimal"/>
          <w:cols w:space="720" w:num="1"/>
          <w:rtlGutter w:val="0"/>
        </w:sectPr>
      </w:pP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热爱祖国，对党忠诚，遵纪守法，爱岗敬业，拥护党的领导， 政治立场坚定，是中国特色社会主义的坚定信仰者和社会主义核心价值观的自觉传播者；</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（二）自觉贯彻党和国家的教育方针政策，忠诚人民教育事业，遵守教师职业道德规范，为人师表，教书育人，认真负责做好大学生日常思想政治教育工作，工作方法科学有效；</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（三）具有高等学校教师资格证；</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（四）履行现职期间年度考核在合格以上；</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（五）学历和履职年限要求符合《云南城市建设职业学院教师职称评审管理办法》规定。</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第八条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学校从思政素养、职业能力、工作量、工作实绩、教学情况、科研成果、综合评价等方面对辅导员进行科 学评价，重点考察工作实绩和学生发展质量。</w:t>
      </w:r>
    </w:p>
    <w:p>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辅导员讲党课团课、做形势政策、就业创业、国防教育、 心理咨询、主题班会、资助政策宣讲、入学教育、安全教育等报告均可计入教学业绩。</w:t>
      </w:r>
    </w:p>
    <w:p>
      <w:pPr>
        <w:spacing w:line="560" w:lineRule="exact"/>
        <w:ind w:firstLine="640" w:firstLineChars="200"/>
        <w:rPr>
          <w:rFonts w:hint="eastAsia" w:ascii="方正仿宋_GBK" w:hAnsi="宋体" w:eastAsia="方正仿宋_GBK"/>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after="80"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第三章  评审程序</w:t>
      </w:r>
    </w:p>
    <w:p>
      <w:pPr>
        <w:spacing w:line="560" w:lineRule="exact"/>
        <w:ind w:firstLine="640" w:firstLineChars="200"/>
        <w:rPr>
          <w:rFonts w:hint="eastAsia" w:ascii="方正仿宋_GBK" w:hAnsi="宋体" w:eastAsia="方正仿宋_GBK"/>
          <w:color w:val="auto"/>
          <w:sz w:val="32"/>
          <w:szCs w:val="32"/>
          <w:highlight w:val="none"/>
          <w:lang w:val="en-US" w:eastAsia="zh-CN"/>
        </w:rPr>
      </w:pP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第九条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申报人根据本人具备的任职条件，提交任现职以来的反映本人思想政治表现、业务水平及工作业绩等材 料，向人力资源处提出申报，人力资源处结合平时工作情况审定后推荐给学校职称评审委员会。</w:t>
      </w:r>
    </w:p>
    <w:p>
      <w:pPr>
        <w:spacing w:line="560" w:lineRule="exact"/>
        <w:ind w:firstLine="643" w:firstLineChars="200"/>
        <w:rPr>
          <w:rFonts w:hint="eastAsia" w:ascii="方正仿宋_GBK" w:hAnsi="宋体" w:eastAsia="方正仿宋_GBK"/>
          <w:color w:val="auto"/>
          <w:sz w:val="32"/>
          <w:szCs w:val="32"/>
          <w:highlight w:val="none"/>
        </w:rPr>
        <w:sectPr>
          <w:pgSz w:w="11910" w:h="16840"/>
          <w:pgMar w:top="1400" w:right="1678" w:bottom="1984" w:left="1678" w:header="720" w:footer="720" w:gutter="0"/>
          <w:pgNumType w:fmt="decimal"/>
          <w:cols w:space="720" w:num="1"/>
          <w:rtlGutter w:val="0"/>
        </w:sectPr>
      </w:pPr>
      <w:r>
        <w:rPr>
          <w:rFonts w:hint="eastAsia" w:ascii="方正楷体_GBK" w:eastAsia="方正楷体_GBK"/>
          <w:b/>
          <w:color w:val="auto"/>
          <w:sz w:val="32"/>
          <w:highlight w:val="none"/>
        </w:rPr>
        <w:t>第十条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评审工作按照《云南省高校教师职称评审条</w:t>
      </w:r>
    </w:p>
    <w:p>
      <w:pPr>
        <w:spacing w:line="560" w:lineRule="exact"/>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件》和本办法精神，依据《云南城市建设职业学院辅导员申报教师专业技术职称思想政治教育学科评审指标参考体系》</w:t>
      </w:r>
    </w:p>
    <w:p>
      <w:pPr>
        <w:spacing w:line="560" w:lineRule="exact"/>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（附件 1、2、3、4）实行量化打分，评审组原则上应严格按照量化分从高到低评定，学校职称评审委员会组织评审，评审结果在全校范围内公示。</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第十一条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具体评审流程参照《云南城市建设职业学院教师职称评审管理办法》执行。</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第十二条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 xml:space="preserve"> 辅导员如符合云南省专业技术人员破格评审高级职称的相关规定，可按特殊人才申报评审相应高级职称。</w:t>
      </w:r>
    </w:p>
    <w:p>
      <w:pPr>
        <w:pStyle w:val="6"/>
        <w:keepNext w:val="0"/>
        <w:keepLines w:val="0"/>
        <w:pageBreakBefore w:val="0"/>
        <w:kinsoku/>
        <w:wordWrap/>
        <w:overflowPunct/>
        <w:topLinePunct w:val="0"/>
        <w:bidi w:val="0"/>
        <w:spacing w:line="560" w:lineRule="exact"/>
        <w:textAlignment w:val="auto"/>
        <w:rPr>
          <w:color w:val="auto"/>
          <w:sz w:val="34"/>
          <w:highlight w:val="none"/>
        </w:rPr>
      </w:pPr>
    </w:p>
    <w:p>
      <w:pPr>
        <w:pStyle w:val="6"/>
        <w:keepNext w:val="0"/>
        <w:keepLines w:val="0"/>
        <w:pageBreakBefore w:val="0"/>
        <w:numPr>
          <w:ilvl w:val="0"/>
          <w:numId w:val="7"/>
        </w:numPr>
        <w:kinsoku/>
        <w:wordWrap/>
        <w:overflowPunct/>
        <w:topLinePunct w:val="0"/>
        <w:bidi w:val="0"/>
        <w:spacing w:line="560" w:lineRule="exact"/>
        <w:ind w:left="894" w:leftChars="0" w:right="1233" w:rightChars="0"/>
        <w:jc w:val="center"/>
        <w:textAlignment w:val="auto"/>
        <w:rPr>
          <w:rFonts w:hint="eastAsia" w:ascii="方正黑体_GBK" w:eastAsia="方正黑体_GBK"/>
          <w:b/>
          <w:bCs/>
          <w:color w:val="auto"/>
          <w:highlight w:val="none"/>
          <w:lang w:val="en-US" w:eastAsia="zh-CN"/>
        </w:rPr>
      </w:pPr>
      <w:r>
        <w:rPr>
          <w:rFonts w:hint="eastAsia" w:ascii="方正黑体_GBK" w:eastAsia="方正黑体_GBK"/>
          <w:b/>
          <w:bCs/>
          <w:color w:val="auto"/>
          <w:highlight w:val="none"/>
          <w:lang w:val="en-US" w:eastAsia="zh-CN"/>
        </w:rPr>
        <w:t xml:space="preserve">  组织和管理</w:t>
      </w:r>
    </w:p>
    <w:p>
      <w:pPr>
        <w:pStyle w:val="6"/>
        <w:keepNext w:val="0"/>
        <w:keepLines w:val="0"/>
        <w:pageBreakBefore w:val="0"/>
        <w:numPr>
          <w:ilvl w:val="0"/>
          <w:numId w:val="0"/>
        </w:numPr>
        <w:kinsoku/>
        <w:wordWrap/>
        <w:overflowPunct/>
        <w:topLinePunct w:val="0"/>
        <w:bidi w:val="0"/>
        <w:spacing w:line="560" w:lineRule="exact"/>
        <w:ind w:right="1233" w:rightChars="0"/>
        <w:jc w:val="both"/>
        <w:textAlignment w:val="auto"/>
        <w:rPr>
          <w:rFonts w:hint="eastAsia" w:ascii="方正黑体_GBK" w:eastAsia="方正黑体_GBK"/>
          <w:b/>
          <w:bCs/>
          <w:color w:val="auto"/>
          <w:highlight w:val="none"/>
          <w:lang w:val="en-US" w:eastAsia="zh-CN"/>
        </w:rPr>
      </w:pP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第十三条</w:t>
      </w:r>
      <w:r>
        <w:rPr>
          <w:rFonts w:hint="eastAsia" w:ascii="方正仿宋_GBK" w:hAnsi="宋体" w:eastAsia="方正仿宋_GBK"/>
          <w:color w:val="auto"/>
          <w:sz w:val="32"/>
          <w:szCs w:val="32"/>
          <w:highlight w:val="none"/>
        </w:rPr>
        <w:t xml:space="preserve"> </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 xml:space="preserve">根据岗位工作需要，辅导员与其他教师间可进行正常流动。离开辅导员岗位的，保留已评定的专业技术 职称资格，但不得再以辅导员身份参加专业技术职称评审。 </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第十四条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经核实，在思想政治、遵纪守法、师德师风和学术道德方面存在违纪违法行为的辅导员，实行一票否决制，对评审通过的，取消其专业技术职称资格。</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第十五条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关于辅导员职称聘任事宜，按照学校有关规定及相关文件执行。</w:t>
      </w:r>
    </w:p>
    <w:p>
      <w:pPr>
        <w:spacing w:line="560" w:lineRule="exact"/>
        <w:ind w:firstLine="643" w:firstLineChars="200"/>
        <w:rPr>
          <w:rFonts w:hint="eastAsia" w:ascii="方正仿宋_GBK" w:hAnsi="宋体" w:eastAsia="方正仿宋_GBK"/>
          <w:color w:val="auto"/>
          <w:sz w:val="32"/>
          <w:szCs w:val="32"/>
          <w:highlight w:val="none"/>
        </w:rPr>
      </w:pPr>
      <w:r>
        <w:rPr>
          <w:rFonts w:hint="eastAsia" w:ascii="方正楷体_GBK" w:eastAsia="方正楷体_GBK"/>
          <w:b/>
          <w:color w:val="auto"/>
          <w:sz w:val="32"/>
          <w:highlight w:val="none"/>
        </w:rPr>
        <w:t>第十六条</w:t>
      </w:r>
      <w:r>
        <w:rPr>
          <w:rFonts w:hint="eastAsia" w:ascii="方正仿宋_GBK" w:hAnsi="宋体" w:eastAsia="方正仿宋_GBK"/>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申诉与举报、评审纪律按照学校职称评审规定执行。</w:t>
      </w:r>
    </w:p>
    <w:p>
      <w:pPr>
        <w:pStyle w:val="6"/>
        <w:keepNext w:val="0"/>
        <w:keepLines w:val="0"/>
        <w:pageBreakBefore w:val="0"/>
        <w:kinsoku/>
        <w:wordWrap/>
        <w:overflowPunct/>
        <w:topLinePunct w:val="0"/>
        <w:bidi w:val="0"/>
        <w:spacing w:line="560" w:lineRule="exact"/>
        <w:jc w:val="left"/>
        <w:textAlignment w:val="auto"/>
        <w:rPr>
          <w:color w:val="auto"/>
          <w:sz w:val="34"/>
          <w:highlight w:val="none"/>
        </w:rPr>
      </w:pPr>
    </w:p>
    <w:p>
      <w:pPr>
        <w:pStyle w:val="6"/>
        <w:keepNext w:val="0"/>
        <w:keepLines w:val="0"/>
        <w:pageBreakBefore w:val="0"/>
        <w:numPr>
          <w:ilvl w:val="0"/>
          <w:numId w:val="0"/>
        </w:numPr>
        <w:kinsoku/>
        <w:wordWrap/>
        <w:overflowPunct/>
        <w:topLinePunct w:val="0"/>
        <w:bidi w:val="0"/>
        <w:spacing w:line="560" w:lineRule="exact"/>
        <w:ind w:right="1233" w:rightChars="0"/>
        <w:jc w:val="center"/>
        <w:textAlignment w:val="auto"/>
        <w:rPr>
          <w:rFonts w:hint="eastAsia" w:ascii="方正黑体_GBK" w:eastAsia="方正黑体_GBK"/>
          <w:b/>
          <w:bCs/>
          <w:color w:val="auto"/>
          <w:highlight w:val="none"/>
          <w:lang w:val="en-US" w:eastAsia="zh-CN"/>
        </w:rPr>
      </w:pPr>
      <w:r>
        <w:rPr>
          <w:rFonts w:hint="eastAsia" w:ascii="方正黑体_GBK" w:eastAsia="方正黑体_GBK"/>
          <w:b/>
          <w:bCs/>
          <w:color w:val="auto"/>
          <w:highlight w:val="none"/>
          <w:lang w:val="en-US" w:eastAsia="zh-CN"/>
        </w:rPr>
        <w:t>第五章  附则</w:t>
      </w:r>
    </w:p>
    <w:p>
      <w:pPr>
        <w:pStyle w:val="6"/>
        <w:keepNext w:val="0"/>
        <w:keepLines w:val="0"/>
        <w:pageBreakBefore w:val="0"/>
        <w:kinsoku/>
        <w:wordWrap/>
        <w:overflowPunct/>
        <w:topLinePunct w:val="0"/>
        <w:bidi w:val="0"/>
        <w:spacing w:before="9" w:line="560" w:lineRule="exact"/>
        <w:ind w:left="760"/>
        <w:textAlignment w:val="auto"/>
        <w:rPr>
          <w:rFonts w:hint="eastAsia" w:ascii="方正楷体_GBK" w:eastAsia="方正楷体_GBK"/>
          <w:b/>
          <w:bCs/>
          <w:color w:val="auto"/>
          <w:spacing w:val="18"/>
          <w:highlight w:val="none"/>
        </w:rPr>
      </w:pPr>
    </w:p>
    <w:p>
      <w:pPr>
        <w:pStyle w:val="6"/>
        <w:keepNext w:val="0"/>
        <w:keepLines w:val="0"/>
        <w:pageBreakBefore w:val="0"/>
        <w:kinsoku/>
        <w:wordWrap/>
        <w:overflowPunct/>
        <w:topLinePunct w:val="0"/>
        <w:bidi w:val="0"/>
        <w:spacing w:before="9" w:line="560" w:lineRule="exact"/>
        <w:ind w:left="760"/>
        <w:textAlignment w:val="auto"/>
        <w:rPr>
          <w:color w:val="auto"/>
          <w:highlight w:val="none"/>
        </w:rPr>
      </w:pPr>
      <w:r>
        <w:rPr>
          <w:rFonts w:hint="eastAsia" w:ascii="方正楷体_GBK" w:eastAsia="方正楷体_GBK"/>
          <w:b/>
          <w:bCs/>
          <w:color w:val="auto"/>
          <w:spacing w:val="18"/>
          <w:highlight w:val="none"/>
        </w:rPr>
        <w:t>第十七条</w:t>
      </w:r>
      <w:r>
        <w:rPr>
          <w:rFonts w:hint="eastAsia" w:ascii="方正楷体_GBK" w:eastAsia="方正楷体_GBK"/>
          <w:b/>
          <w:bCs/>
          <w:color w:val="auto"/>
          <w:spacing w:val="18"/>
          <w:highlight w:val="none"/>
          <w:lang w:val="en-US" w:eastAsia="zh-CN"/>
        </w:rPr>
        <w:t xml:space="preserve">  </w:t>
      </w:r>
      <w:r>
        <w:rPr>
          <w:color w:val="auto"/>
          <w:highlight w:val="none"/>
        </w:rPr>
        <w:t>本办法由人力资源处、学生工作处负责解释。</w:t>
      </w:r>
    </w:p>
    <w:p>
      <w:pPr>
        <w:pStyle w:val="6"/>
        <w:keepNext w:val="0"/>
        <w:keepLines w:val="0"/>
        <w:pageBreakBefore w:val="0"/>
        <w:kinsoku/>
        <w:wordWrap/>
        <w:overflowPunct/>
        <w:topLinePunct w:val="0"/>
        <w:bidi w:val="0"/>
        <w:spacing w:before="47" w:line="560" w:lineRule="exact"/>
        <w:ind w:left="760"/>
        <w:textAlignment w:val="auto"/>
        <w:rPr>
          <w:color w:val="auto"/>
          <w:highlight w:val="none"/>
        </w:rPr>
      </w:pPr>
      <w:r>
        <w:rPr>
          <w:rFonts w:hint="eastAsia" w:ascii="方正楷体_GBK" w:eastAsia="方正楷体_GBK"/>
          <w:b/>
          <w:bCs/>
          <w:color w:val="auto"/>
          <w:spacing w:val="18"/>
          <w:highlight w:val="none"/>
        </w:rPr>
        <w:t>第十八</w:t>
      </w:r>
      <w:r>
        <w:rPr>
          <w:rFonts w:hint="eastAsia" w:ascii="方正楷体_GBK" w:eastAsia="方正楷体_GBK"/>
          <w:b/>
          <w:bCs/>
          <w:color w:val="auto"/>
          <w:spacing w:val="18"/>
          <w:highlight w:val="none"/>
          <w:lang w:val="en-US" w:eastAsia="zh-CN"/>
        </w:rPr>
        <w:t xml:space="preserve">条  </w:t>
      </w:r>
      <w:r>
        <w:rPr>
          <w:color w:val="auto"/>
          <w:highlight w:val="none"/>
        </w:rPr>
        <w:t>本办法自发文之日起生效。</w:t>
      </w:r>
    </w:p>
    <w:p>
      <w:pPr>
        <w:pStyle w:val="6"/>
        <w:keepNext w:val="0"/>
        <w:keepLines w:val="0"/>
        <w:pageBreakBefore w:val="0"/>
        <w:kinsoku/>
        <w:wordWrap/>
        <w:overflowPunct/>
        <w:topLinePunct w:val="0"/>
        <w:bidi w:val="0"/>
        <w:spacing w:before="7" w:line="560" w:lineRule="exact"/>
        <w:textAlignment w:val="auto"/>
        <w:rPr>
          <w:color w:val="auto"/>
          <w:sz w:val="37"/>
          <w:highlight w:val="none"/>
        </w:rPr>
      </w:pPr>
    </w:p>
    <w:p>
      <w:pPr>
        <w:pStyle w:val="6"/>
        <w:keepNext w:val="0"/>
        <w:keepLines w:val="0"/>
        <w:pageBreakBefore w:val="0"/>
        <w:kinsoku/>
        <w:wordWrap/>
        <w:overflowPunct/>
        <w:topLinePunct w:val="0"/>
        <w:bidi w:val="0"/>
        <w:spacing w:before="1" w:line="560" w:lineRule="exact"/>
        <w:ind w:left="1718" w:right="1351" w:hanging="960"/>
        <w:textAlignment w:val="auto"/>
        <w:rPr>
          <w:color w:val="auto"/>
          <w:highlight w:val="none"/>
        </w:rPr>
      </w:pPr>
      <w:r>
        <w:rPr>
          <w:color w:val="auto"/>
          <w:highlight w:val="none"/>
        </w:rPr>
        <w:t>附件: 1. 云南城市建设职业学院辅导员申报教师专业技术职称思想政治教育学科评审指标参考体系</w:t>
      </w:r>
    </w:p>
    <w:p>
      <w:pPr>
        <w:pStyle w:val="6"/>
        <w:keepNext w:val="0"/>
        <w:keepLines w:val="0"/>
        <w:pageBreakBefore w:val="0"/>
        <w:kinsoku/>
        <w:wordWrap/>
        <w:overflowPunct/>
        <w:topLinePunct w:val="0"/>
        <w:bidi w:val="0"/>
        <w:spacing w:line="560" w:lineRule="exact"/>
        <w:ind w:left="1718"/>
        <w:textAlignment w:val="auto"/>
        <w:rPr>
          <w:color w:val="auto"/>
          <w:highlight w:val="none"/>
        </w:rPr>
      </w:pPr>
      <w:r>
        <w:rPr>
          <w:color w:val="auto"/>
          <w:highlight w:val="none"/>
        </w:rPr>
        <w:t>（助教）</w:t>
      </w:r>
    </w:p>
    <w:p>
      <w:pPr>
        <w:pStyle w:val="35"/>
        <w:keepNext w:val="0"/>
        <w:keepLines w:val="0"/>
        <w:pageBreakBefore w:val="0"/>
        <w:numPr>
          <w:ilvl w:val="0"/>
          <w:numId w:val="8"/>
        </w:numPr>
        <w:tabs>
          <w:tab w:val="left" w:pos="1971"/>
        </w:tabs>
        <w:kinsoku/>
        <w:wordWrap/>
        <w:overflowPunct/>
        <w:topLinePunct w:val="0"/>
        <w:bidi w:val="0"/>
        <w:spacing w:before="44" w:after="0" w:line="560" w:lineRule="exact"/>
        <w:ind w:left="1716" w:right="1100" w:firstLine="0"/>
        <w:jc w:val="both"/>
        <w:textAlignment w:val="auto"/>
        <w:rPr>
          <w:rFonts w:hint="eastAsia" w:ascii="方正仿宋_GBK" w:eastAsia="方正仿宋_GBK"/>
          <w:color w:val="auto"/>
          <w:sz w:val="32"/>
          <w:highlight w:val="none"/>
        </w:rPr>
      </w:pPr>
      <w:r>
        <w:rPr>
          <w:rFonts w:hint="eastAsia" w:ascii="方正仿宋_GBK" w:eastAsia="方正仿宋_GBK"/>
          <w:color w:val="auto"/>
          <w:spacing w:val="-1"/>
          <w:sz w:val="32"/>
          <w:highlight w:val="none"/>
        </w:rPr>
        <w:t>云南城市建设职业学院辅导员申报教师专业技术职称思想政治教育学科评审指标参考体系</w:t>
      </w:r>
      <w:r>
        <w:rPr>
          <w:rFonts w:hint="eastAsia" w:ascii="方正仿宋_GBK" w:eastAsia="方正仿宋_GBK"/>
          <w:color w:val="auto"/>
          <w:sz w:val="32"/>
          <w:highlight w:val="none"/>
        </w:rPr>
        <w:t>（</w:t>
      </w:r>
      <w:r>
        <w:rPr>
          <w:rFonts w:hint="eastAsia" w:ascii="方正仿宋_GBK" w:eastAsia="方正仿宋_GBK"/>
          <w:color w:val="auto"/>
          <w:spacing w:val="-12"/>
          <w:sz w:val="32"/>
          <w:highlight w:val="none"/>
        </w:rPr>
        <w:t>讲</w:t>
      </w:r>
      <w:r>
        <w:rPr>
          <w:rFonts w:hint="eastAsia" w:ascii="方正仿宋_GBK" w:eastAsia="方正仿宋_GBK"/>
          <w:color w:val="auto"/>
          <w:sz w:val="32"/>
          <w:highlight w:val="none"/>
        </w:rPr>
        <w:t>师）</w:t>
      </w:r>
    </w:p>
    <w:p>
      <w:pPr>
        <w:pStyle w:val="35"/>
        <w:keepNext w:val="0"/>
        <w:keepLines w:val="0"/>
        <w:pageBreakBefore w:val="0"/>
        <w:numPr>
          <w:ilvl w:val="0"/>
          <w:numId w:val="8"/>
        </w:numPr>
        <w:tabs>
          <w:tab w:val="left" w:pos="2127"/>
        </w:tabs>
        <w:kinsoku/>
        <w:wordWrap/>
        <w:overflowPunct/>
        <w:topLinePunct w:val="0"/>
        <w:bidi w:val="0"/>
        <w:spacing w:before="0" w:after="0" w:line="560" w:lineRule="exact"/>
        <w:ind w:left="1699" w:right="1097" w:firstLine="0"/>
        <w:jc w:val="both"/>
        <w:textAlignment w:val="auto"/>
        <w:rPr>
          <w:rFonts w:hint="eastAsia" w:ascii="方正仿宋_GBK" w:eastAsia="方正仿宋_GBK"/>
          <w:color w:val="auto"/>
          <w:sz w:val="32"/>
          <w:highlight w:val="none"/>
        </w:rPr>
      </w:pPr>
      <w:r>
        <w:rPr>
          <w:rFonts w:hint="eastAsia" w:ascii="方正仿宋_GBK" w:eastAsia="方正仿宋_GBK"/>
          <w:color w:val="auto"/>
          <w:spacing w:val="11"/>
          <w:w w:val="95"/>
          <w:sz w:val="32"/>
          <w:highlight w:val="none"/>
        </w:rPr>
        <w:t>云南城市建设职业学院辅导员申报教师专业</w:t>
      </w:r>
      <w:r>
        <w:rPr>
          <w:rFonts w:hint="eastAsia" w:ascii="方正仿宋_GBK" w:eastAsia="方正仿宋_GBK"/>
          <w:color w:val="auto"/>
          <w:spacing w:val="15"/>
          <w:w w:val="95"/>
          <w:sz w:val="32"/>
          <w:highlight w:val="none"/>
        </w:rPr>
        <w:t>技术职称思想政治教育学科评审指标参考体系</w:t>
      </w:r>
    </w:p>
    <w:p>
      <w:pPr>
        <w:pStyle w:val="6"/>
        <w:keepNext w:val="0"/>
        <w:keepLines w:val="0"/>
        <w:pageBreakBefore w:val="0"/>
        <w:kinsoku/>
        <w:wordWrap/>
        <w:overflowPunct/>
        <w:topLinePunct w:val="0"/>
        <w:bidi w:val="0"/>
        <w:spacing w:line="560" w:lineRule="exact"/>
        <w:ind w:left="1699"/>
        <w:textAlignment w:val="auto"/>
        <w:rPr>
          <w:color w:val="auto"/>
          <w:highlight w:val="none"/>
        </w:rPr>
      </w:pPr>
      <w:r>
        <w:rPr>
          <w:color w:val="auto"/>
          <w:highlight w:val="none"/>
        </w:rPr>
        <w:t>（副教授）</w:t>
      </w:r>
    </w:p>
    <w:p>
      <w:pPr>
        <w:pStyle w:val="35"/>
        <w:keepNext w:val="0"/>
        <w:keepLines w:val="0"/>
        <w:pageBreakBefore w:val="0"/>
        <w:numPr>
          <w:ilvl w:val="0"/>
          <w:numId w:val="8"/>
        </w:numPr>
        <w:tabs>
          <w:tab w:val="left" w:pos="2153"/>
        </w:tabs>
        <w:kinsoku/>
        <w:wordWrap/>
        <w:overflowPunct/>
        <w:topLinePunct w:val="0"/>
        <w:bidi w:val="0"/>
        <w:spacing w:before="40" w:after="0" w:line="560" w:lineRule="exact"/>
        <w:ind w:left="1716" w:right="1100" w:firstLine="0"/>
        <w:jc w:val="left"/>
        <w:textAlignment w:val="auto"/>
        <w:rPr>
          <w:rFonts w:hint="eastAsia" w:ascii="方正仿宋_GBK" w:eastAsia="方正仿宋_GBK"/>
          <w:color w:val="auto"/>
          <w:sz w:val="32"/>
          <w:highlight w:val="none"/>
        </w:rPr>
      </w:pPr>
      <w:r>
        <w:rPr>
          <w:rFonts w:hint="eastAsia" w:ascii="方正仿宋_GBK" w:eastAsia="方正仿宋_GBK"/>
          <w:color w:val="auto"/>
          <w:spacing w:val="7"/>
          <w:w w:val="95"/>
          <w:sz w:val="32"/>
          <w:highlight w:val="none"/>
        </w:rPr>
        <w:t>云南城市建设职业学院辅导员申报教师专业</w:t>
      </w:r>
      <w:r>
        <w:rPr>
          <w:rFonts w:hint="eastAsia" w:ascii="方正仿宋_GBK" w:eastAsia="方正仿宋_GBK"/>
          <w:color w:val="auto"/>
          <w:spacing w:val="15"/>
          <w:w w:val="95"/>
          <w:sz w:val="32"/>
          <w:highlight w:val="none"/>
        </w:rPr>
        <w:t>技术职称思想政治教育学科评审指标参考体系</w:t>
      </w:r>
    </w:p>
    <w:p>
      <w:pPr>
        <w:pStyle w:val="6"/>
        <w:keepNext w:val="0"/>
        <w:keepLines w:val="0"/>
        <w:pageBreakBefore w:val="0"/>
        <w:kinsoku/>
        <w:wordWrap/>
        <w:overflowPunct/>
        <w:topLinePunct w:val="0"/>
        <w:bidi w:val="0"/>
        <w:spacing w:line="560" w:lineRule="exact"/>
        <w:ind w:left="1716"/>
        <w:textAlignment w:val="auto"/>
        <w:rPr>
          <w:color w:val="auto"/>
          <w:highlight w:val="none"/>
        </w:rPr>
      </w:pPr>
      <w:r>
        <w:rPr>
          <w:color w:val="auto"/>
          <w:w w:val="95"/>
          <w:highlight w:val="none"/>
        </w:rPr>
        <w:t>（教授）</w:t>
      </w:r>
    </w:p>
    <w:p>
      <w:pPr>
        <w:pStyle w:val="35"/>
        <w:numPr>
          <w:ilvl w:val="0"/>
          <w:numId w:val="8"/>
        </w:numPr>
        <w:tabs>
          <w:tab w:val="left" w:pos="1968"/>
        </w:tabs>
        <w:spacing w:before="44" w:after="0" w:line="261" w:lineRule="auto"/>
        <w:ind w:left="1716" w:right="1100" w:firstLine="0"/>
        <w:jc w:val="both"/>
        <w:rPr>
          <w:rFonts w:hint="eastAsia" w:ascii="方正仿宋_GBK" w:eastAsia="方正仿宋_GBK"/>
          <w:color w:val="auto"/>
          <w:sz w:val="32"/>
          <w:highlight w:val="none"/>
        </w:rPr>
      </w:pPr>
      <w:r>
        <w:rPr>
          <w:rFonts w:hint="eastAsia" w:ascii="方正仿宋_GBK" w:eastAsia="方正仿宋_GBK"/>
          <w:color w:val="auto"/>
          <w:sz w:val="32"/>
          <w:highlight w:val="none"/>
        </w:rPr>
        <w:t>云南城市建设职业学院辅导员（</w:t>
      </w:r>
      <w:r>
        <w:rPr>
          <w:rFonts w:hint="eastAsia" w:ascii="方正仿宋_GBK" w:eastAsia="方正仿宋_GBK"/>
          <w:color w:val="auto"/>
          <w:spacing w:val="3"/>
          <w:sz w:val="32"/>
          <w:highlight w:val="none"/>
        </w:rPr>
        <w:t>班主任</w:t>
      </w:r>
      <w:r>
        <w:rPr>
          <w:rFonts w:hint="eastAsia" w:ascii="方正仿宋_GBK" w:eastAsia="方正仿宋_GBK"/>
          <w:color w:val="auto"/>
          <w:sz w:val="32"/>
          <w:highlight w:val="none"/>
        </w:rPr>
        <w:t>）</w:t>
      </w:r>
      <w:r>
        <w:rPr>
          <w:rFonts w:hint="eastAsia" w:ascii="方正仿宋_GBK" w:eastAsia="方正仿宋_GBK"/>
          <w:color w:val="auto"/>
          <w:spacing w:val="-4"/>
          <w:sz w:val="32"/>
          <w:highlight w:val="none"/>
        </w:rPr>
        <w:t>申报</w:t>
      </w:r>
      <w:r>
        <w:rPr>
          <w:rFonts w:hint="eastAsia" w:ascii="方正仿宋_GBK" w:eastAsia="方正仿宋_GBK"/>
          <w:color w:val="auto"/>
          <w:spacing w:val="15"/>
          <w:w w:val="95"/>
          <w:sz w:val="32"/>
          <w:highlight w:val="none"/>
        </w:rPr>
        <w:t xml:space="preserve">教师专业技术职称思想政治教育学科评审指标 </w:t>
      </w:r>
      <w:r>
        <w:rPr>
          <w:rFonts w:hint="eastAsia" w:ascii="方正仿宋_GBK" w:eastAsia="方正仿宋_GBK"/>
          <w:color w:val="auto"/>
          <w:sz w:val="32"/>
          <w:highlight w:val="none"/>
        </w:rPr>
        <w:t>与分值参考表</w:t>
      </w:r>
    </w:p>
    <w:p>
      <w:pPr>
        <w:spacing w:after="0" w:line="261" w:lineRule="auto"/>
        <w:jc w:val="both"/>
        <w:rPr>
          <w:rFonts w:hint="eastAsia" w:ascii="方正仿宋_GBK" w:eastAsia="方正仿宋_GBK"/>
          <w:color w:val="auto"/>
          <w:sz w:val="32"/>
          <w:highlight w:val="none"/>
        </w:rPr>
        <w:sectPr>
          <w:pgSz w:w="11910" w:h="16840"/>
          <w:pgMar w:top="1400" w:right="1678" w:bottom="1984" w:left="1678" w:header="720" w:footer="720" w:gutter="0"/>
          <w:pgNumType w:fmt="decimal"/>
          <w:cols w:space="720" w:num="1"/>
          <w:rtlGutter w:val="0"/>
        </w:sectPr>
      </w:pPr>
    </w:p>
    <w:p>
      <w:pPr>
        <w:pStyle w:val="6"/>
        <w:spacing w:before="9"/>
        <w:ind w:left="760"/>
        <w:rPr>
          <w:color w:val="auto"/>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page">
                  <wp:posOffset>1044575</wp:posOffset>
                </wp:positionH>
                <wp:positionV relativeFrom="page">
                  <wp:posOffset>1298575</wp:posOffset>
                </wp:positionV>
                <wp:extent cx="5775325" cy="8549005"/>
                <wp:effectExtent l="4445" t="4445" r="11430" b="19050"/>
                <wp:wrapNone/>
                <wp:docPr id="2" name="文本框 2"/>
                <wp:cNvGraphicFramePr/>
                <a:graphic xmlns:a="http://schemas.openxmlformats.org/drawingml/2006/main">
                  <a:graphicData uri="http://schemas.microsoft.com/office/word/2010/wordprocessingShape">
                    <wps:wsp>
                      <wps:cNvSpPr txBox="1"/>
                      <wps:spPr>
                        <a:xfrm>
                          <a:off x="0" y="0"/>
                          <a:ext cx="5775325" cy="8549005"/>
                        </a:xfrm>
                        <a:prstGeom prst="rect">
                          <a:avLst/>
                        </a:prstGeom>
                        <a:noFill/>
                        <a:ln w="9525" cap="flat" cmpd="sng">
                          <a:solidFill>
                            <a:srgbClr val="000000"/>
                          </a:solidFill>
                          <a:prstDash val="solid"/>
                          <a:miter/>
                          <a:headEnd type="none" w="med" len="med"/>
                          <a:tailEnd type="none" w="med" len="med"/>
                        </a:ln>
                      </wps:spPr>
                      <wps:txbx>
                        <w:txbxContent>
                          <w:tbl>
                            <w:tblPr>
                              <w:tblStyle w:val="2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5"/>
                              <w:gridCol w:w="6633"/>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2" w:hRule="atLeast"/>
                              </w:trPr>
                              <w:tc>
                                <w:tcPr>
                                  <w:tcW w:w="9080" w:type="dxa"/>
                                  <w:gridSpan w:val="3"/>
                                </w:tcPr>
                                <w:p>
                                  <w:pPr>
                                    <w:pStyle w:val="44"/>
                                    <w:spacing w:before="149" w:line="417" w:lineRule="auto"/>
                                    <w:ind w:left="43" w:right="29"/>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科评审指标参考体系（助教）</w:t>
                                  </w:r>
                                </w:p>
                                <w:p>
                                  <w:pPr>
                                    <w:pStyle w:val="44"/>
                                    <w:spacing w:line="358" w:lineRule="exact"/>
                                    <w:ind w:left="36" w:right="29"/>
                                    <w:jc w:val="center"/>
                                    <w:rPr>
                                      <w:b/>
                                      <w:sz w:val="28"/>
                                    </w:rPr>
                                  </w:pPr>
                                  <w:r>
                                    <w:rPr>
                                      <w:b/>
                                      <w:sz w:val="28"/>
                                    </w:rPr>
                                    <w:t>（注：总分 100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tcPr>
                                <w:p>
                                  <w:pPr>
                                    <w:pStyle w:val="44"/>
                                    <w:spacing w:before="53"/>
                                    <w:ind w:left="307"/>
                                    <w:rPr>
                                      <w:sz w:val="20"/>
                                    </w:rPr>
                                  </w:pPr>
                                  <w:r>
                                    <w:rPr>
                                      <w:sz w:val="20"/>
                                    </w:rPr>
                                    <w:t>一级指标</w:t>
                                  </w:r>
                                </w:p>
                              </w:tc>
                              <w:tc>
                                <w:tcPr>
                                  <w:tcW w:w="6633" w:type="dxa"/>
                                </w:tcPr>
                                <w:p>
                                  <w:pPr>
                                    <w:pStyle w:val="44"/>
                                    <w:spacing w:before="53"/>
                                    <w:ind w:left="2712" w:right="2706"/>
                                    <w:jc w:val="center"/>
                                    <w:rPr>
                                      <w:sz w:val="20"/>
                                    </w:rPr>
                                  </w:pPr>
                                  <w:r>
                                    <w:rPr>
                                      <w:sz w:val="20"/>
                                    </w:rPr>
                                    <w:t>二级指标</w:t>
                                  </w:r>
                                </w:p>
                              </w:tc>
                              <w:tc>
                                <w:tcPr>
                                  <w:tcW w:w="1032" w:type="dxa"/>
                                </w:tcPr>
                                <w:p>
                                  <w:pPr>
                                    <w:pStyle w:val="44"/>
                                    <w:spacing w:before="53"/>
                                    <w:ind w:left="475" w:right="471"/>
                                    <w:jc w:val="center"/>
                                    <w:rPr>
                                      <w:sz w:val="20"/>
                                    </w:rPr>
                                  </w:pPr>
                                  <w:r>
                                    <w:rPr>
                                      <w:sz w:val="20"/>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1" w:hRule="atLeast"/>
                              </w:trPr>
                              <w:tc>
                                <w:tcPr>
                                  <w:tcW w:w="1415" w:type="dxa"/>
                                  <w:vMerge w:val="restart"/>
                                </w:tcPr>
                                <w:p>
                                  <w:pPr>
                                    <w:pStyle w:val="44"/>
                                    <w:rPr>
                                      <w:rFonts w:ascii="方正仿宋_GBK"/>
                                      <w:sz w:val="20"/>
                                    </w:rPr>
                                  </w:pPr>
                                </w:p>
                                <w:p>
                                  <w:pPr>
                                    <w:pStyle w:val="44"/>
                                    <w:rPr>
                                      <w:rFonts w:ascii="方正仿宋_GBK"/>
                                      <w:sz w:val="20"/>
                                    </w:rPr>
                                  </w:pPr>
                                </w:p>
                                <w:p>
                                  <w:pPr>
                                    <w:pStyle w:val="44"/>
                                    <w:spacing w:before="10"/>
                                    <w:rPr>
                                      <w:rFonts w:ascii="方正仿宋_GBK"/>
                                      <w:sz w:val="27"/>
                                    </w:rPr>
                                  </w:pPr>
                                </w:p>
                                <w:p>
                                  <w:pPr>
                                    <w:pStyle w:val="44"/>
                                    <w:spacing w:before="1"/>
                                    <w:ind w:left="85" w:right="79"/>
                                    <w:jc w:val="center"/>
                                    <w:rPr>
                                      <w:sz w:val="20"/>
                                    </w:rPr>
                                  </w:pPr>
                                  <w:r>
                                    <w:rPr>
                                      <w:sz w:val="20"/>
                                    </w:rPr>
                                    <w:t>一、思政素养</w:t>
                                  </w:r>
                                </w:p>
                                <w:p>
                                  <w:pPr>
                                    <w:pStyle w:val="44"/>
                                    <w:spacing w:before="55"/>
                                    <w:ind w:left="85" w:right="79"/>
                                    <w:jc w:val="center"/>
                                    <w:rPr>
                                      <w:sz w:val="20"/>
                                    </w:rPr>
                                  </w:pPr>
                                  <w:r>
                                    <w:rPr>
                                      <w:sz w:val="20"/>
                                    </w:rPr>
                                    <w:t>（5 分）</w:t>
                                  </w:r>
                                </w:p>
                              </w:tc>
                              <w:tc>
                                <w:tcPr>
                                  <w:tcW w:w="6633" w:type="dxa"/>
                                </w:tcPr>
                                <w:p>
                                  <w:pPr>
                                    <w:pStyle w:val="44"/>
                                    <w:spacing w:before="14"/>
                                    <w:rPr>
                                      <w:rFonts w:ascii="方正仿宋_GBK"/>
                                      <w:sz w:val="11"/>
                                    </w:rPr>
                                  </w:pPr>
                                </w:p>
                                <w:p>
                                  <w:pPr>
                                    <w:pStyle w:val="44"/>
                                    <w:spacing w:line="292" w:lineRule="auto"/>
                                    <w:ind w:left="15" w:right="5"/>
                                    <w:jc w:val="both"/>
                                    <w:rPr>
                                      <w:sz w:val="20"/>
                                    </w:rPr>
                                  </w:pPr>
                                  <w:r>
                                    <w:rPr>
                                      <w:w w:val="95"/>
                                      <w:sz w:val="20"/>
                                    </w:rPr>
                                    <w:t>1</w:t>
                                  </w:r>
                                  <w:r>
                                    <w:rPr>
                                      <w:spacing w:val="-8"/>
                                      <w:w w:val="95"/>
                                      <w:sz w:val="20"/>
                                    </w:rPr>
                                    <w:t xml:space="preserve">、政治立场坚定,热爱祖国，坚定不移拥护中国共产党领导,高举中国特  </w:t>
                                  </w:r>
                                  <w:r>
                                    <w:rPr>
                                      <w:spacing w:val="-11"/>
                                      <w:w w:val="95"/>
                                      <w:sz w:val="20"/>
                                    </w:rPr>
                                    <w:t xml:space="preserve">色社会主义伟大旗帜,全面贯彻党的教育方针。能根据高等教育发展要求  </w:t>
                                  </w:r>
                                  <w:r>
                                    <w:rPr>
                                      <w:spacing w:val="-11"/>
                                      <w:sz w:val="20"/>
                                    </w:rPr>
                                    <w:t>结合学生实际开展工作。(1</w:t>
                                  </w:r>
                                  <w:r>
                                    <w:rPr>
                                      <w:spacing w:val="-26"/>
                                      <w:sz w:val="20"/>
                                    </w:rPr>
                                    <w:t xml:space="preserve"> 分</w:t>
                                  </w:r>
                                  <w:r>
                                    <w:rPr>
                                      <w:sz w:val="20"/>
                                    </w:rPr>
                                    <w:t>）</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2、富有爱心和责任心,真诚关爱和正确引导学生。(1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3、具有良好的道德品质和文明的举止言行。(1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4"/>
                                    <w:ind w:left="15"/>
                                    <w:rPr>
                                      <w:sz w:val="20"/>
                                    </w:rPr>
                                  </w:pPr>
                                  <w:r>
                                    <w:rPr>
                                      <w:sz w:val="20"/>
                                    </w:rPr>
                                    <w:t>4、管理工作公开公平公正,法治理念与人文关怀相结合。(1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5、无违反工作纪律行为。(1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restart"/>
                                </w:tcPr>
                                <w:p>
                                  <w:pPr>
                                    <w:pStyle w:val="44"/>
                                    <w:rPr>
                                      <w:rFonts w:ascii="方正仿宋_GBK"/>
                                      <w:sz w:val="20"/>
                                    </w:rPr>
                                  </w:pPr>
                                </w:p>
                                <w:p>
                                  <w:pPr>
                                    <w:pStyle w:val="44"/>
                                    <w:rPr>
                                      <w:rFonts w:ascii="方正仿宋_GBK"/>
                                      <w:sz w:val="20"/>
                                    </w:rPr>
                                  </w:pPr>
                                </w:p>
                                <w:p>
                                  <w:pPr>
                                    <w:pStyle w:val="44"/>
                                    <w:spacing w:before="5"/>
                                    <w:rPr>
                                      <w:rFonts w:ascii="方正仿宋_GBK"/>
                                      <w:sz w:val="29"/>
                                    </w:rPr>
                                  </w:pPr>
                                </w:p>
                                <w:p>
                                  <w:pPr>
                                    <w:pStyle w:val="44"/>
                                    <w:spacing w:before="1"/>
                                    <w:ind w:left="85" w:right="79"/>
                                    <w:jc w:val="center"/>
                                    <w:rPr>
                                      <w:sz w:val="20"/>
                                    </w:rPr>
                                  </w:pPr>
                                  <w:r>
                                    <w:rPr>
                                      <w:sz w:val="20"/>
                                    </w:rPr>
                                    <w:t>二、职业能力</w:t>
                                  </w:r>
                                </w:p>
                                <w:p>
                                  <w:pPr>
                                    <w:pStyle w:val="44"/>
                                    <w:spacing w:before="55"/>
                                    <w:ind w:left="85" w:right="79"/>
                                    <w:jc w:val="center"/>
                                    <w:rPr>
                                      <w:sz w:val="20"/>
                                    </w:rPr>
                                  </w:pPr>
                                  <w:r>
                                    <w:rPr>
                                      <w:sz w:val="20"/>
                                    </w:rPr>
                                    <w:t>（10 分）</w:t>
                                  </w:r>
                                </w:p>
                              </w:tc>
                              <w:tc>
                                <w:tcPr>
                                  <w:tcW w:w="6633" w:type="dxa"/>
                                </w:tcPr>
                                <w:p>
                                  <w:pPr>
                                    <w:pStyle w:val="44"/>
                                    <w:spacing w:before="53"/>
                                    <w:ind w:left="15"/>
                                    <w:rPr>
                                      <w:sz w:val="20"/>
                                    </w:rPr>
                                  </w:pPr>
                                  <w:r>
                                    <w:rPr>
                                      <w:sz w:val="20"/>
                                    </w:rPr>
                                    <w:t>6、获得校级相关培训合格证书或结业证明。(1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3"/>
                                    <w:ind w:left="15"/>
                                    <w:rPr>
                                      <w:sz w:val="20"/>
                                    </w:rPr>
                                  </w:pPr>
                                  <w:r>
                                    <w:rPr>
                                      <w:w w:val="95"/>
                                      <w:sz w:val="20"/>
                                    </w:rPr>
                                    <w:t>7、在院级及以上辅导员（班主任）演讲、网文、征文等各类单项竞赛中</w:t>
                                  </w:r>
                                </w:p>
                                <w:p>
                                  <w:pPr>
                                    <w:pStyle w:val="44"/>
                                    <w:spacing w:before="56"/>
                                    <w:ind w:left="15"/>
                                    <w:rPr>
                                      <w:sz w:val="20"/>
                                    </w:rPr>
                                  </w:pPr>
                                  <w:r>
                                    <w:rPr>
                                      <w:sz w:val="20"/>
                                    </w:rPr>
                                    <w:t>获奖。(1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8</w:t>
                                  </w:r>
                                  <w:r>
                                    <w:rPr>
                                      <w:spacing w:val="-3"/>
                                      <w:sz w:val="20"/>
                                    </w:rPr>
                                    <w:t>、主持或参与院级及以上辅导员</w:t>
                                  </w:r>
                                  <w:r>
                                    <w:rPr>
                                      <w:sz w:val="20"/>
                                    </w:rPr>
                                    <w:t>（班主任</w:t>
                                  </w:r>
                                  <w:r>
                                    <w:rPr>
                                      <w:spacing w:val="-3"/>
                                      <w:sz w:val="20"/>
                                    </w:rPr>
                                    <w:t>）</w:t>
                                  </w:r>
                                  <w:r>
                                    <w:rPr>
                                      <w:sz w:val="20"/>
                                    </w:rPr>
                                    <w:t>精品项目工作任务。(2</w:t>
                                  </w:r>
                                  <w:r>
                                    <w:rPr>
                                      <w:spacing w:val="-22"/>
                                      <w:sz w:val="20"/>
                                    </w:rPr>
                                    <w:t xml:space="preserve">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9、在院级辅导员（班主任）职业能力大赛中获奖。(2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3"/>
                                    <w:ind w:left="15"/>
                                    <w:rPr>
                                      <w:sz w:val="20"/>
                                    </w:rPr>
                                  </w:pPr>
                                  <w:r>
                                    <w:rPr>
                                      <w:sz w:val="20"/>
                                    </w:rPr>
                                    <w:t>10、获得院级年度优秀辅导员（班主任）或先进工作者及以上荣誉称号</w:t>
                                  </w:r>
                                </w:p>
                                <w:p>
                                  <w:pPr>
                                    <w:pStyle w:val="44"/>
                                    <w:spacing w:before="56"/>
                                    <w:ind w:left="15"/>
                                    <w:rPr>
                                      <w:sz w:val="20"/>
                                    </w:rPr>
                                  </w:pPr>
                                  <w:r>
                                    <w:rPr>
                                      <w:sz w:val="20"/>
                                    </w:rPr>
                                    <w:t>(3 分)</w:t>
                                  </w:r>
                                </w:p>
                              </w:tc>
                              <w:tc>
                                <w:tcPr>
                                  <w:tcW w:w="1032" w:type="dxa"/>
                                </w:tcPr>
                                <w:p>
                                  <w:pPr>
                                    <w:pStyle w:val="44"/>
                                    <w:spacing w:before="43"/>
                                    <w:ind w:left="-116"/>
                                    <w:rPr>
                                      <w:sz w:val="20"/>
                                    </w:rPr>
                                  </w:pPr>
                                  <w:r>
                                    <w:rPr>
                                      <w:w w:val="99"/>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11、代表学院承担专项业务对接一年以上。(1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7"/>
                                    <w:rPr>
                                      <w:rFonts w:ascii="方正仿宋_GBK"/>
                                      <w:sz w:val="29"/>
                                    </w:rPr>
                                  </w:pPr>
                                </w:p>
                                <w:p>
                                  <w:pPr>
                                    <w:pStyle w:val="44"/>
                                    <w:spacing w:line="292" w:lineRule="auto"/>
                                    <w:ind w:left="506" w:right="4" w:hanging="492"/>
                                    <w:rPr>
                                      <w:sz w:val="20"/>
                                    </w:rPr>
                                  </w:pPr>
                                  <w:r>
                                    <w:rPr>
                                      <w:spacing w:val="-4"/>
                                      <w:sz w:val="20"/>
                                    </w:rPr>
                                    <w:t>三、工作量</w:t>
                                  </w:r>
                                  <w:r>
                                    <w:rPr>
                                      <w:spacing w:val="-5"/>
                                      <w:sz w:val="20"/>
                                    </w:rPr>
                                    <w:t xml:space="preserve">（50 </w:t>
                                  </w:r>
                                  <w:r>
                                    <w:rPr>
                                      <w:sz w:val="20"/>
                                    </w:rPr>
                                    <w:t>分）</w:t>
                                  </w:r>
                                </w:p>
                              </w:tc>
                              <w:tc>
                                <w:tcPr>
                                  <w:tcW w:w="6633" w:type="dxa"/>
                                </w:tcPr>
                                <w:p>
                                  <w:pPr>
                                    <w:pStyle w:val="44"/>
                                    <w:spacing w:before="43"/>
                                    <w:ind w:left="15"/>
                                    <w:rPr>
                                      <w:sz w:val="20"/>
                                    </w:rPr>
                                  </w:pPr>
                                  <w:r>
                                    <w:rPr>
                                      <w:sz w:val="20"/>
                                    </w:rPr>
                                    <w:t>12</w:t>
                                  </w:r>
                                  <w:r>
                                    <w:rPr>
                                      <w:spacing w:val="-5"/>
                                      <w:sz w:val="20"/>
                                    </w:rPr>
                                    <w:t>、履职辅导员</w:t>
                                  </w:r>
                                  <w:r>
                                    <w:rPr>
                                      <w:sz w:val="20"/>
                                    </w:rPr>
                                    <w:t>（班主任</w:t>
                                  </w:r>
                                  <w:r>
                                    <w:rPr>
                                      <w:spacing w:val="-12"/>
                                      <w:sz w:val="20"/>
                                    </w:rPr>
                                    <w:t>）</w:t>
                                  </w:r>
                                  <w:r>
                                    <w:rPr>
                                      <w:spacing w:val="-14"/>
                                      <w:sz w:val="20"/>
                                    </w:rPr>
                                    <w:t xml:space="preserve">工作满 </w:t>
                                  </w:r>
                                  <w:r>
                                    <w:rPr>
                                      <w:sz w:val="20"/>
                                    </w:rPr>
                                    <w:t>1</w:t>
                                  </w:r>
                                  <w:r>
                                    <w:rPr>
                                      <w:spacing w:val="-10"/>
                                      <w:sz w:val="20"/>
                                    </w:rPr>
                                    <w:t xml:space="preserve"> 年基础上，每担任辅导员</w:t>
                                  </w:r>
                                  <w:r>
                                    <w:rPr>
                                      <w:sz w:val="20"/>
                                    </w:rPr>
                                    <w:t>（班主任</w:t>
                                  </w:r>
                                </w:p>
                                <w:p>
                                  <w:pPr>
                                    <w:pStyle w:val="44"/>
                                    <w:spacing w:before="56"/>
                                    <w:ind w:left="15"/>
                                    <w:rPr>
                                      <w:sz w:val="20"/>
                                    </w:rPr>
                                  </w:pPr>
                                  <w:r>
                                    <w:rPr>
                                      <w:sz w:val="20"/>
                                    </w:rPr>
                                    <w:t>工作满 1 年加 1 分,最高 4 分。(4 分)</w:t>
                                  </w:r>
                                </w:p>
                              </w:tc>
                              <w:tc>
                                <w:tcPr>
                                  <w:tcW w:w="1032" w:type="dxa"/>
                                </w:tcPr>
                                <w:p>
                                  <w:pPr>
                                    <w:pStyle w:val="44"/>
                                    <w:spacing w:before="43"/>
                                    <w:ind w:left="-116"/>
                                    <w:rPr>
                                      <w:sz w:val="20"/>
                                    </w:rPr>
                                  </w:pPr>
                                  <w:r>
                                    <w:rPr>
                                      <w:w w:val="99"/>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4"/>
                                    <w:ind w:left="15"/>
                                    <w:rPr>
                                      <w:sz w:val="20"/>
                                    </w:rPr>
                                  </w:pPr>
                                  <w:r>
                                    <w:rPr>
                                      <w:w w:val="95"/>
                                      <w:sz w:val="20"/>
                                    </w:rPr>
                                    <w:t>13、独立完成一个年级的辅导员（班主任）工作,或者所负责辅导学生数</w:t>
                                  </w:r>
                                </w:p>
                                <w:p>
                                  <w:pPr>
                                    <w:pStyle w:val="44"/>
                                    <w:spacing w:before="56"/>
                                    <w:ind w:left="15"/>
                                    <w:rPr>
                                      <w:sz w:val="20"/>
                                    </w:rPr>
                                  </w:pPr>
                                  <w:r>
                                    <w:rPr>
                                      <w:sz w:val="20"/>
                                    </w:rPr>
                                    <w:t>量符合教育部师生比规定。(1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5"/>
                                    <w:ind w:left="15"/>
                                    <w:rPr>
                                      <w:sz w:val="20"/>
                                    </w:rPr>
                                  </w:pPr>
                                  <w:r>
                                    <w:rPr>
                                      <w:sz w:val="20"/>
                                    </w:rPr>
                                    <w:t>14、兼任院系党委(支部)副书记或者团委(总支)书记、学生党总支书记</w:t>
                                  </w:r>
                                </w:p>
                                <w:p>
                                  <w:pPr>
                                    <w:pStyle w:val="44"/>
                                    <w:spacing w:before="56"/>
                                    <w:ind w:left="15"/>
                                    <w:rPr>
                                      <w:sz w:val="20"/>
                                    </w:rPr>
                                  </w:pPr>
                                  <w:r>
                                    <w:rPr>
                                      <w:sz w:val="20"/>
                                    </w:rPr>
                                    <w:t>等工作。(2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15、完成学校的政治学习、值班等工作任务。(1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16、关注学生成长环境,及时做好家校联系,并有相关记录。(5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5"/>
                                    <w:ind w:left="15"/>
                                    <w:rPr>
                                      <w:sz w:val="20"/>
                                    </w:rPr>
                                  </w:pPr>
                                  <w:r>
                                    <w:rPr>
                                      <w:sz w:val="20"/>
                                    </w:rPr>
                                    <w:t>17、深入学生课堂，做好听课记录。了解学生的学习情况，与任课老师</w:t>
                                  </w:r>
                                </w:p>
                                <w:p>
                                  <w:pPr>
                                    <w:pStyle w:val="44"/>
                                    <w:spacing w:before="56"/>
                                    <w:ind w:left="15"/>
                                    <w:rPr>
                                      <w:sz w:val="20"/>
                                    </w:rPr>
                                  </w:pPr>
                                  <w:r>
                                    <w:rPr>
                                      <w:sz w:val="20"/>
                                    </w:rPr>
                                    <w:t>保持联系，及时处理好学生学习问题。(5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3"/>
                                    <w:ind w:left="15"/>
                                    <w:rPr>
                                      <w:sz w:val="20"/>
                                    </w:rPr>
                                  </w:pPr>
                                  <w:r>
                                    <w:rPr>
                                      <w:w w:val="95"/>
                                      <w:sz w:val="20"/>
                                    </w:rPr>
                                    <w:t>18、做好贫困学生帮扶和勤工助学工作;在各类奖助学金、综合测评的评</w:t>
                                  </w:r>
                                </w:p>
                                <w:p>
                                  <w:pPr>
                                    <w:pStyle w:val="44"/>
                                    <w:spacing w:before="56"/>
                                    <w:ind w:left="15"/>
                                    <w:rPr>
                                      <w:sz w:val="20"/>
                                    </w:rPr>
                                  </w:pPr>
                                  <w:r>
                                    <w:rPr>
                                      <w:sz w:val="20"/>
                                    </w:rPr>
                                    <w:t>定中无学生投诉。(5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4"/>
                                    <w:ind w:left="15"/>
                                    <w:rPr>
                                      <w:sz w:val="20"/>
                                    </w:rPr>
                                  </w:pPr>
                                  <w:r>
                                    <w:rPr>
                                      <w:sz w:val="20"/>
                                    </w:rPr>
                                    <w:t>19、按学校要求深入学生宿舍,入住学生园区;定期开展宿舍走访工作,</w:t>
                                  </w:r>
                                </w:p>
                                <w:p>
                                  <w:pPr>
                                    <w:pStyle w:val="44"/>
                                    <w:spacing w:before="56"/>
                                    <w:ind w:left="15"/>
                                    <w:rPr>
                                      <w:sz w:val="20"/>
                                    </w:rPr>
                                  </w:pPr>
                                  <w:r>
                                    <w:rPr>
                                      <w:sz w:val="20"/>
                                    </w:rPr>
                                    <w:t>并且有相关工作记录。(5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trPr>
                              <w:tc>
                                <w:tcPr>
                                  <w:tcW w:w="1415" w:type="dxa"/>
                                  <w:vMerge w:val="continue"/>
                                </w:tcPr>
                                <w:p>
                                  <w:pPr>
                                    <w:rPr>
                                      <w:sz w:val="2"/>
                                      <w:szCs w:val="2"/>
                                    </w:rPr>
                                  </w:pPr>
                                </w:p>
                              </w:tc>
                              <w:tc>
                                <w:tcPr>
                                  <w:tcW w:w="6633" w:type="dxa"/>
                                </w:tcPr>
                                <w:p>
                                  <w:pPr>
                                    <w:pStyle w:val="44"/>
                                    <w:spacing w:before="45"/>
                                    <w:ind w:left="15"/>
                                    <w:rPr>
                                      <w:sz w:val="20"/>
                                    </w:rPr>
                                  </w:pPr>
                                  <w:r>
                                    <w:rPr>
                                      <w:w w:val="95"/>
                                      <w:sz w:val="20"/>
                                    </w:rPr>
                                    <w:t>20</w:t>
                                  </w:r>
                                  <w:r>
                                    <w:rPr>
                                      <w:spacing w:val="-9"/>
                                      <w:w w:val="95"/>
                                      <w:sz w:val="20"/>
                                    </w:rPr>
                                    <w:t>、熟练运用相关政策和理论开展工作,了解学生的思想动态以及学习生</w:t>
                                  </w:r>
                                </w:p>
                                <w:p>
                                  <w:pPr>
                                    <w:pStyle w:val="44"/>
                                    <w:spacing w:before="56"/>
                                    <w:ind w:left="15"/>
                                    <w:rPr>
                                      <w:sz w:val="20"/>
                                    </w:rPr>
                                  </w:pPr>
                                  <w:r>
                                    <w:rPr>
                                      <w:w w:val="95"/>
                                      <w:sz w:val="20"/>
                                    </w:rPr>
                                    <w:t>活情况,经常性主动与学生谈心谈话，做好记录,解决大学生实际问题。</w:t>
                                  </w:r>
                                  <w:r>
                                    <w:rPr>
                                      <w:sz w:val="20"/>
                                    </w:rPr>
                                    <w:t>(6 分)</w:t>
                                  </w:r>
                                </w:p>
                              </w:tc>
                              <w:tc>
                                <w:tcPr>
                                  <w:tcW w:w="1032" w:type="dxa"/>
                                </w:tcPr>
                                <w:p>
                                  <w:pPr>
                                    <w:pStyle w:val="44"/>
                                    <w:rPr>
                                      <w:rFonts w:ascii="Times New Roman"/>
                                      <w:sz w:val="20"/>
                                    </w:rPr>
                                  </w:pPr>
                                </w:p>
                              </w:tc>
                            </w:tr>
                          </w:tbl>
                          <w:p>
                            <w:pPr>
                              <w:pStyle w:val="6"/>
                            </w:pPr>
                          </w:p>
                        </w:txbxContent>
                      </wps:txbx>
                      <wps:bodyPr lIns="0" tIns="0" rIns="0" bIns="0" upright="1"/>
                    </wps:wsp>
                  </a:graphicData>
                </a:graphic>
              </wp:anchor>
            </w:drawing>
          </mc:Choice>
          <mc:Fallback>
            <w:pict>
              <v:shape id="_x0000_s1026" o:spid="_x0000_s1026" o:spt="202" type="#_x0000_t202" style="position:absolute;left:0pt;margin-left:82.25pt;margin-top:102.25pt;height:673.15pt;width:454.75pt;mso-position-horizontal-relative:page;mso-position-vertical-relative:page;z-index:251662336;mso-width-relative:page;mso-height-relative:page;" filled="f" stroked="t" coordsize="21600,21600" o:gfxdata="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TkIfh2gAAAA0BAAAPAAAA&#10;AAAAAAEAIAAAACIAAABkcnMvZG93bnJldi54bWxQSwECFAAUAAAACACHTuJAeRNb5hMCAAAyBAAA&#10;DgAAAAAAAAABACAAAAApAQAAZHJzL2Uyb0RvYy54bWxQSwUGAAAAAAYABgBZAQAArgUAAAAA&#10;">
                <v:fill on="f" focussize="0,0"/>
                <v:stroke color="#000000" joinstyle="miter"/>
                <v:imagedata o:title=""/>
                <o:lock v:ext="edit" aspectratio="f"/>
                <v:textbox inset="0mm,0mm,0mm,0mm">
                  <w:txbxContent>
                    <w:tbl>
                      <w:tblPr>
                        <w:tblStyle w:val="2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5"/>
                        <w:gridCol w:w="6633"/>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2" w:hRule="atLeast"/>
                        </w:trPr>
                        <w:tc>
                          <w:tcPr>
                            <w:tcW w:w="9080" w:type="dxa"/>
                            <w:gridSpan w:val="3"/>
                          </w:tcPr>
                          <w:p>
                            <w:pPr>
                              <w:pStyle w:val="44"/>
                              <w:spacing w:before="149" w:line="417" w:lineRule="auto"/>
                              <w:ind w:left="43" w:right="29"/>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科评审指标参考体系（助教）</w:t>
                            </w:r>
                          </w:p>
                          <w:p>
                            <w:pPr>
                              <w:pStyle w:val="44"/>
                              <w:spacing w:line="358" w:lineRule="exact"/>
                              <w:ind w:left="36" w:right="29"/>
                              <w:jc w:val="center"/>
                              <w:rPr>
                                <w:b/>
                                <w:sz w:val="28"/>
                              </w:rPr>
                            </w:pPr>
                            <w:r>
                              <w:rPr>
                                <w:b/>
                                <w:sz w:val="28"/>
                              </w:rPr>
                              <w:t>（注：总分 100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tcPr>
                          <w:p>
                            <w:pPr>
                              <w:pStyle w:val="44"/>
                              <w:spacing w:before="53"/>
                              <w:ind w:left="307"/>
                              <w:rPr>
                                <w:sz w:val="20"/>
                              </w:rPr>
                            </w:pPr>
                            <w:r>
                              <w:rPr>
                                <w:sz w:val="20"/>
                              </w:rPr>
                              <w:t>一级指标</w:t>
                            </w:r>
                          </w:p>
                        </w:tc>
                        <w:tc>
                          <w:tcPr>
                            <w:tcW w:w="6633" w:type="dxa"/>
                          </w:tcPr>
                          <w:p>
                            <w:pPr>
                              <w:pStyle w:val="44"/>
                              <w:spacing w:before="53"/>
                              <w:ind w:left="2712" w:right="2706"/>
                              <w:jc w:val="center"/>
                              <w:rPr>
                                <w:sz w:val="20"/>
                              </w:rPr>
                            </w:pPr>
                            <w:r>
                              <w:rPr>
                                <w:sz w:val="20"/>
                              </w:rPr>
                              <w:t>二级指标</w:t>
                            </w:r>
                          </w:p>
                        </w:tc>
                        <w:tc>
                          <w:tcPr>
                            <w:tcW w:w="1032" w:type="dxa"/>
                          </w:tcPr>
                          <w:p>
                            <w:pPr>
                              <w:pStyle w:val="44"/>
                              <w:spacing w:before="53"/>
                              <w:ind w:left="475" w:right="471"/>
                              <w:jc w:val="center"/>
                              <w:rPr>
                                <w:sz w:val="20"/>
                              </w:rPr>
                            </w:pPr>
                            <w:r>
                              <w:rPr>
                                <w:sz w:val="20"/>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1" w:hRule="atLeast"/>
                        </w:trPr>
                        <w:tc>
                          <w:tcPr>
                            <w:tcW w:w="1415" w:type="dxa"/>
                            <w:vMerge w:val="restart"/>
                          </w:tcPr>
                          <w:p>
                            <w:pPr>
                              <w:pStyle w:val="44"/>
                              <w:rPr>
                                <w:rFonts w:ascii="方正仿宋_GBK"/>
                                <w:sz w:val="20"/>
                              </w:rPr>
                            </w:pPr>
                          </w:p>
                          <w:p>
                            <w:pPr>
                              <w:pStyle w:val="44"/>
                              <w:rPr>
                                <w:rFonts w:ascii="方正仿宋_GBK"/>
                                <w:sz w:val="20"/>
                              </w:rPr>
                            </w:pPr>
                          </w:p>
                          <w:p>
                            <w:pPr>
                              <w:pStyle w:val="44"/>
                              <w:spacing w:before="10"/>
                              <w:rPr>
                                <w:rFonts w:ascii="方正仿宋_GBK"/>
                                <w:sz w:val="27"/>
                              </w:rPr>
                            </w:pPr>
                          </w:p>
                          <w:p>
                            <w:pPr>
                              <w:pStyle w:val="44"/>
                              <w:spacing w:before="1"/>
                              <w:ind w:left="85" w:right="79"/>
                              <w:jc w:val="center"/>
                              <w:rPr>
                                <w:sz w:val="20"/>
                              </w:rPr>
                            </w:pPr>
                            <w:r>
                              <w:rPr>
                                <w:sz w:val="20"/>
                              </w:rPr>
                              <w:t>一、思政素养</w:t>
                            </w:r>
                          </w:p>
                          <w:p>
                            <w:pPr>
                              <w:pStyle w:val="44"/>
                              <w:spacing w:before="55"/>
                              <w:ind w:left="85" w:right="79"/>
                              <w:jc w:val="center"/>
                              <w:rPr>
                                <w:sz w:val="20"/>
                              </w:rPr>
                            </w:pPr>
                            <w:r>
                              <w:rPr>
                                <w:sz w:val="20"/>
                              </w:rPr>
                              <w:t>（5 分）</w:t>
                            </w:r>
                          </w:p>
                        </w:tc>
                        <w:tc>
                          <w:tcPr>
                            <w:tcW w:w="6633" w:type="dxa"/>
                          </w:tcPr>
                          <w:p>
                            <w:pPr>
                              <w:pStyle w:val="44"/>
                              <w:spacing w:before="14"/>
                              <w:rPr>
                                <w:rFonts w:ascii="方正仿宋_GBK"/>
                                <w:sz w:val="11"/>
                              </w:rPr>
                            </w:pPr>
                          </w:p>
                          <w:p>
                            <w:pPr>
                              <w:pStyle w:val="44"/>
                              <w:spacing w:line="292" w:lineRule="auto"/>
                              <w:ind w:left="15" w:right="5"/>
                              <w:jc w:val="both"/>
                              <w:rPr>
                                <w:sz w:val="20"/>
                              </w:rPr>
                            </w:pPr>
                            <w:r>
                              <w:rPr>
                                <w:w w:val="95"/>
                                <w:sz w:val="20"/>
                              </w:rPr>
                              <w:t>1</w:t>
                            </w:r>
                            <w:r>
                              <w:rPr>
                                <w:spacing w:val="-8"/>
                                <w:w w:val="95"/>
                                <w:sz w:val="20"/>
                              </w:rPr>
                              <w:t xml:space="preserve">、政治立场坚定,热爱祖国，坚定不移拥护中国共产党领导,高举中国特  </w:t>
                            </w:r>
                            <w:r>
                              <w:rPr>
                                <w:spacing w:val="-11"/>
                                <w:w w:val="95"/>
                                <w:sz w:val="20"/>
                              </w:rPr>
                              <w:t xml:space="preserve">色社会主义伟大旗帜,全面贯彻党的教育方针。能根据高等教育发展要求  </w:t>
                            </w:r>
                            <w:r>
                              <w:rPr>
                                <w:spacing w:val="-11"/>
                                <w:sz w:val="20"/>
                              </w:rPr>
                              <w:t>结合学生实际开展工作。(1</w:t>
                            </w:r>
                            <w:r>
                              <w:rPr>
                                <w:spacing w:val="-26"/>
                                <w:sz w:val="20"/>
                              </w:rPr>
                              <w:t xml:space="preserve"> 分</w:t>
                            </w:r>
                            <w:r>
                              <w:rPr>
                                <w:sz w:val="20"/>
                              </w:rPr>
                              <w:t>）</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2、富有爱心和责任心,真诚关爱和正确引导学生。(1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3、具有良好的道德品质和文明的举止言行。(1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4"/>
                              <w:ind w:left="15"/>
                              <w:rPr>
                                <w:sz w:val="20"/>
                              </w:rPr>
                            </w:pPr>
                            <w:r>
                              <w:rPr>
                                <w:sz w:val="20"/>
                              </w:rPr>
                              <w:t>4、管理工作公开公平公正,法治理念与人文关怀相结合。(1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5、无违反工作纪律行为。(1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restart"/>
                          </w:tcPr>
                          <w:p>
                            <w:pPr>
                              <w:pStyle w:val="44"/>
                              <w:rPr>
                                <w:rFonts w:ascii="方正仿宋_GBK"/>
                                <w:sz w:val="20"/>
                              </w:rPr>
                            </w:pPr>
                          </w:p>
                          <w:p>
                            <w:pPr>
                              <w:pStyle w:val="44"/>
                              <w:rPr>
                                <w:rFonts w:ascii="方正仿宋_GBK"/>
                                <w:sz w:val="20"/>
                              </w:rPr>
                            </w:pPr>
                          </w:p>
                          <w:p>
                            <w:pPr>
                              <w:pStyle w:val="44"/>
                              <w:spacing w:before="5"/>
                              <w:rPr>
                                <w:rFonts w:ascii="方正仿宋_GBK"/>
                                <w:sz w:val="29"/>
                              </w:rPr>
                            </w:pPr>
                          </w:p>
                          <w:p>
                            <w:pPr>
                              <w:pStyle w:val="44"/>
                              <w:spacing w:before="1"/>
                              <w:ind w:left="85" w:right="79"/>
                              <w:jc w:val="center"/>
                              <w:rPr>
                                <w:sz w:val="20"/>
                              </w:rPr>
                            </w:pPr>
                            <w:r>
                              <w:rPr>
                                <w:sz w:val="20"/>
                              </w:rPr>
                              <w:t>二、职业能力</w:t>
                            </w:r>
                          </w:p>
                          <w:p>
                            <w:pPr>
                              <w:pStyle w:val="44"/>
                              <w:spacing w:before="55"/>
                              <w:ind w:left="85" w:right="79"/>
                              <w:jc w:val="center"/>
                              <w:rPr>
                                <w:sz w:val="20"/>
                              </w:rPr>
                            </w:pPr>
                            <w:r>
                              <w:rPr>
                                <w:sz w:val="20"/>
                              </w:rPr>
                              <w:t>（10 分）</w:t>
                            </w:r>
                          </w:p>
                        </w:tc>
                        <w:tc>
                          <w:tcPr>
                            <w:tcW w:w="6633" w:type="dxa"/>
                          </w:tcPr>
                          <w:p>
                            <w:pPr>
                              <w:pStyle w:val="44"/>
                              <w:spacing w:before="53"/>
                              <w:ind w:left="15"/>
                              <w:rPr>
                                <w:sz w:val="20"/>
                              </w:rPr>
                            </w:pPr>
                            <w:r>
                              <w:rPr>
                                <w:sz w:val="20"/>
                              </w:rPr>
                              <w:t>6、获得校级相关培训合格证书或结业证明。(1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3"/>
                              <w:ind w:left="15"/>
                              <w:rPr>
                                <w:sz w:val="20"/>
                              </w:rPr>
                            </w:pPr>
                            <w:r>
                              <w:rPr>
                                <w:w w:val="95"/>
                                <w:sz w:val="20"/>
                              </w:rPr>
                              <w:t>7、在院级及以上辅导员（班主任）演讲、网文、征文等各类单项竞赛中</w:t>
                            </w:r>
                          </w:p>
                          <w:p>
                            <w:pPr>
                              <w:pStyle w:val="44"/>
                              <w:spacing w:before="56"/>
                              <w:ind w:left="15"/>
                              <w:rPr>
                                <w:sz w:val="20"/>
                              </w:rPr>
                            </w:pPr>
                            <w:r>
                              <w:rPr>
                                <w:sz w:val="20"/>
                              </w:rPr>
                              <w:t>获奖。(1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8</w:t>
                            </w:r>
                            <w:r>
                              <w:rPr>
                                <w:spacing w:val="-3"/>
                                <w:sz w:val="20"/>
                              </w:rPr>
                              <w:t>、主持或参与院级及以上辅导员</w:t>
                            </w:r>
                            <w:r>
                              <w:rPr>
                                <w:sz w:val="20"/>
                              </w:rPr>
                              <w:t>（班主任</w:t>
                            </w:r>
                            <w:r>
                              <w:rPr>
                                <w:spacing w:val="-3"/>
                                <w:sz w:val="20"/>
                              </w:rPr>
                              <w:t>）</w:t>
                            </w:r>
                            <w:r>
                              <w:rPr>
                                <w:sz w:val="20"/>
                              </w:rPr>
                              <w:t>精品项目工作任务。(2</w:t>
                            </w:r>
                            <w:r>
                              <w:rPr>
                                <w:spacing w:val="-22"/>
                                <w:sz w:val="20"/>
                              </w:rPr>
                              <w:t xml:space="preserve">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9、在院级辅导员（班主任）职业能力大赛中获奖。(2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3"/>
                              <w:ind w:left="15"/>
                              <w:rPr>
                                <w:sz w:val="20"/>
                              </w:rPr>
                            </w:pPr>
                            <w:r>
                              <w:rPr>
                                <w:sz w:val="20"/>
                              </w:rPr>
                              <w:t>10、获得院级年度优秀辅导员（班主任）或先进工作者及以上荣誉称号</w:t>
                            </w:r>
                          </w:p>
                          <w:p>
                            <w:pPr>
                              <w:pStyle w:val="44"/>
                              <w:spacing w:before="56"/>
                              <w:ind w:left="15"/>
                              <w:rPr>
                                <w:sz w:val="20"/>
                              </w:rPr>
                            </w:pPr>
                            <w:r>
                              <w:rPr>
                                <w:sz w:val="20"/>
                              </w:rPr>
                              <w:t>(3 分)</w:t>
                            </w:r>
                          </w:p>
                        </w:tc>
                        <w:tc>
                          <w:tcPr>
                            <w:tcW w:w="1032" w:type="dxa"/>
                          </w:tcPr>
                          <w:p>
                            <w:pPr>
                              <w:pStyle w:val="44"/>
                              <w:spacing w:before="43"/>
                              <w:ind w:left="-116"/>
                              <w:rPr>
                                <w:sz w:val="20"/>
                              </w:rPr>
                            </w:pPr>
                            <w:r>
                              <w:rPr>
                                <w:w w:val="99"/>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11、代表学院承担专项业务对接一年以上。(1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7"/>
                              <w:rPr>
                                <w:rFonts w:ascii="方正仿宋_GBK"/>
                                <w:sz w:val="29"/>
                              </w:rPr>
                            </w:pPr>
                          </w:p>
                          <w:p>
                            <w:pPr>
                              <w:pStyle w:val="44"/>
                              <w:spacing w:line="292" w:lineRule="auto"/>
                              <w:ind w:left="506" w:right="4" w:hanging="492"/>
                              <w:rPr>
                                <w:sz w:val="20"/>
                              </w:rPr>
                            </w:pPr>
                            <w:r>
                              <w:rPr>
                                <w:spacing w:val="-4"/>
                                <w:sz w:val="20"/>
                              </w:rPr>
                              <w:t>三、工作量</w:t>
                            </w:r>
                            <w:r>
                              <w:rPr>
                                <w:spacing w:val="-5"/>
                                <w:sz w:val="20"/>
                              </w:rPr>
                              <w:t xml:space="preserve">（50 </w:t>
                            </w:r>
                            <w:r>
                              <w:rPr>
                                <w:sz w:val="20"/>
                              </w:rPr>
                              <w:t>分）</w:t>
                            </w:r>
                          </w:p>
                        </w:tc>
                        <w:tc>
                          <w:tcPr>
                            <w:tcW w:w="6633" w:type="dxa"/>
                          </w:tcPr>
                          <w:p>
                            <w:pPr>
                              <w:pStyle w:val="44"/>
                              <w:spacing w:before="43"/>
                              <w:ind w:left="15"/>
                              <w:rPr>
                                <w:sz w:val="20"/>
                              </w:rPr>
                            </w:pPr>
                            <w:r>
                              <w:rPr>
                                <w:sz w:val="20"/>
                              </w:rPr>
                              <w:t>12</w:t>
                            </w:r>
                            <w:r>
                              <w:rPr>
                                <w:spacing w:val="-5"/>
                                <w:sz w:val="20"/>
                              </w:rPr>
                              <w:t>、履职辅导员</w:t>
                            </w:r>
                            <w:r>
                              <w:rPr>
                                <w:sz w:val="20"/>
                              </w:rPr>
                              <w:t>（班主任</w:t>
                            </w:r>
                            <w:r>
                              <w:rPr>
                                <w:spacing w:val="-12"/>
                                <w:sz w:val="20"/>
                              </w:rPr>
                              <w:t>）</w:t>
                            </w:r>
                            <w:r>
                              <w:rPr>
                                <w:spacing w:val="-14"/>
                                <w:sz w:val="20"/>
                              </w:rPr>
                              <w:t xml:space="preserve">工作满 </w:t>
                            </w:r>
                            <w:r>
                              <w:rPr>
                                <w:sz w:val="20"/>
                              </w:rPr>
                              <w:t>1</w:t>
                            </w:r>
                            <w:r>
                              <w:rPr>
                                <w:spacing w:val="-10"/>
                                <w:sz w:val="20"/>
                              </w:rPr>
                              <w:t xml:space="preserve"> 年基础上，每担任辅导员</w:t>
                            </w:r>
                            <w:r>
                              <w:rPr>
                                <w:sz w:val="20"/>
                              </w:rPr>
                              <w:t>（班主任</w:t>
                            </w:r>
                          </w:p>
                          <w:p>
                            <w:pPr>
                              <w:pStyle w:val="44"/>
                              <w:spacing w:before="56"/>
                              <w:ind w:left="15"/>
                              <w:rPr>
                                <w:sz w:val="20"/>
                              </w:rPr>
                            </w:pPr>
                            <w:r>
                              <w:rPr>
                                <w:sz w:val="20"/>
                              </w:rPr>
                              <w:t>工作满 1 年加 1 分,最高 4 分。(4 分)</w:t>
                            </w:r>
                          </w:p>
                        </w:tc>
                        <w:tc>
                          <w:tcPr>
                            <w:tcW w:w="1032" w:type="dxa"/>
                          </w:tcPr>
                          <w:p>
                            <w:pPr>
                              <w:pStyle w:val="44"/>
                              <w:spacing w:before="43"/>
                              <w:ind w:left="-116"/>
                              <w:rPr>
                                <w:sz w:val="20"/>
                              </w:rPr>
                            </w:pPr>
                            <w:r>
                              <w:rPr>
                                <w:w w:val="99"/>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4"/>
                              <w:ind w:left="15"/>
                              <w:rPr>
                                <w:sz w:val="20"/>
                              </w:rPr>
                            </w:pPr>
                            <w:r>
                              <w:rPr>
                                <w:w w:val="95"/>
                                <w:sz w:val="20"/>
                              </w:rPr>
                              <w:t>13、独立完成一个年级的辅导员（班主任）工作,或者所负责辅导学生数</w:t>
                            </w:r>
                          </w:p>
                          <w:p>
                            <w:pPr>
                              <w:pStyle w:val="44"/>
                              <w:spacing w:before="56"/>
                              <w:ind w:left="15"/>
                              <w:rPr>
                                <w:sz w:val="20"/>
                              </w:rPr>
                            </w:pPr>
                            <w:r>
                              <w:rPr>
                                <w:sz w:val="20"/>
                              </w:rPr>
                              <w:t>量符合教育部师生比规定。(1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5"/>
                              <w:ind w:left="15"/>
                              <w:rPr>
                                <w:sz w:val="20"/>
                              </w:rPr>
                            </w:pPr>
                            <w:r>
                              <w:rPr>
                                <w:sz w:val="20"/>
                              </w:rPr>
                              <w:t>14、兼任院系党委(支部)副书记或者团委(总支)书记、学生党总支书记</w:t>
                            </w:r>
                          </w:p>
                          <w:p>
                            <w:pPr>
                              <w:pStyle w:val="44"/>
                              <w:spacing w:before="56"/>
                              <w:ind w:left="15"/>
                              <w:rPr>
                                <w:sz w:val="20"/>
                              </w:rPr>
                            </w:pPr>
                            <w:r>
                              <w:rPr>
                                <w:sz w:val="20"/>
                              </w:rPr>
                              <w:t>等工作。(2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3"/>
                              <w:ind w:left="15"/>
                              <w:rPr>
                                <w:sz w:val="20"/>
                              </w:rPr>
                            </w:pPr>
                            <w:r>
                              <w:rPr>
                                <w:sz w:val="20"/>
                              </w:rPr>
                              <w:t>15、完成学校的政治学习、值班等工作任务。(1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415" w:type="dxa"/>
                            <w:vMerge w:val="continue"/>
                          </w:tcPr>
                          <w:p>
                            <w:pPr>
                              <w:rPr>
                                <w:sz w:val="2"/>
                                <w:szCs w:val="2"/>
                              </w:rPr>
                            </w:pPr>
                          </w:p>
                        </w:tc>
                        <w:tc>
                          <w:tcPr>
                            <w:tcW w:w="6633" w:type="dxa"/>
                          </w:tcPr>
                          <w:p>
                            <w:pPr>
                              <w:pStyle w:val="44"/>
                              <w:spacing w:before="52"/>
                              <w:ind w:left="15"/>
                              <w:rPr>
                                <w:sz w:val="20"/>
                              </w:rPr>
                            </w:pPr>
                            <w:r>
                              <w:rPr>
                                <w:sz w:val="20"/>
                              </w:rPr>
                              <w:t>16、关注学生成长环境,及时做好家校联系,并有相关记录。(5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5"/>
                              <w:ind w:left="15"/>
                              <w:rPr>
                                <w:sz w:val="20"/>
                              </w:rPr>
                            </w:pPr>
                            <w:r>
                              <w:rPr>
                                <w:sz w:val="20"/>
                              </w:rPr>
                              <w:t>17、深入学生课堂，做好听课记录。了解学生的学习情况，与任课老师</w:t>
                            </w:r>
                          </w:p>
                          <w:p>
                            <w:pPr>
                              <w:pStyle w:val="44"/>
                              <w:spacing w:before="56"/>
                              <w:ind w:left="15"/>
                              <w:rPr>
                                <w:sz w:val="20"/>
                              </w:rPr>
                            </w:pPr>
                            <w:r>
                              <w:rPr>
                                <w:sz w:val="20"/>
                              </w:rPr>
                              <w:t>保持联系，及时处理好学生学习问题。(5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1415" w:type="dxa"/>
                            <w:vMerge w:val="continue"/>
                          </w:tcPr>
                          <w:p>
                            <w:pPr>
                              <w:rPr>
                                <w:sz w:val="2"/>
                                <w:szCs w:val="2"/>
                              </w:rPr>
                            </w:pPr>
                          </w:p>
                        </w:tc>
                        <w:tc>
                          <w:tcPr>
                            <w:tcW w:w="6633" w:type="dxa"/>
                          </w:tcPr>
                          <w:p>
                            <w:pPr>
                              <w:pStyle w:val="44"/>
                              <w:spacing w:before="43"/>
                              <w:ind w:left="15"/>
                              <w:rPr>
                                <w:sz w:val="20"/>
                              </w:rPr>
                            </w:pPr>
                            <w:r>
                              <w:rPr>
                                <w:w w:val="95"/>
                                <w:sz w:val="20"/>
                              </w:rPr>
                              <w:t>18、做好贫困学生帮扶和勤工助学工作;在各类奖助学金、综合测评的评</w:t>
                            </w:r>
                          </w:p>
                          <w:p>
                            <w:pPr>
                              <w:pStyle w:val="44"/>
                              <w:spacing w:before="56"/>
                              <w:ind w:left="15"/>
                              <w:rPr>
                                <w:sz w:val="20"/>
                              </w:rPr>
                            </w:pPr>
                            <w:r>
                              <w:rPr>
                                <w:sz w:val="20"/>
                              </w:rPr>
                              <w:t>定中无学生投诉。(5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trPr>
                        <w:tc>
                          <w:tcPr>
                            <w:tcW w:w="1415" w:type="dxa"/>
                            <w:vMerge w:val="continue"/>
                          </w:tcPr>
                          <w:p>
                            <w:pPr>
                              <w:rPr>
                                <w:sz w:val="2"/>
                                <w:szCs w:val="2"/>
                              </w:rPr>
                            </w:pPr>
                          </w:p>
                        </w:tc>
                        <w:tc>
                          <w:tcPr>
                            <w:tcW w:w="6633" w:type="dxa"/>
                          </w:tcPr>
                          <w:p>
                            <w:pPr>
                              <w:pStyle w:val="44"/>
                              <w:spacing w:before="44"/>
                              <w:ind w:left="15"/>
                              <w:rPr>
                                <w:sz w:val="20"/>
                              </w:rPr>
                            </w:pPr>
                            <w:r>
                              <w:rPr>
                                <w:sz w:val="20"/>
                              </w:rPr>
                              <w:t>19、按学校要求深入学生宿舍,入住学生园区;定期开展宿舍走访工作,</w:t>
                            </w:r>
                          </w:p>
                          <w:p>
                            <w:pPr>
                              <w:pStyle w:val="44"/>
                              <w:spacing w:before="56"/>
                              <w:ind w:left="15"/>
                              <w:rPr>
                                <w:sz w:val="20"/>
                              </w:rPr>
                            </w:pPr>
                            <w:r>
                              <w:rPr>
                                <w:sz w:val="20"/>
                              </w:rPr>
                              <w:t>并且有相关工作记录。(5 分)</w:t>
                            </w:r>
                          </w:p>
                        </w:tc>
                        <w:tc>
                          <w:tcPr>
                            <w:tcW w:w="1032" w:type="dxa"/>
                          </w:tcPr>
                          <w:p>
                            <w:pPr>
                              <w:pStyle w:val="44"/>
                              <w:rPr>
                                <w:rFonts w:ascii="Times New Roman"/>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trPr>
                        <w:tc>
                          <w:tcPr>
                            <w:tcW w:w="1415" w:type="dxa"/>
                            <w:vMerge w:val="continue"/>
                          </w:tcPr>
                          <w:p>
                            <w:pPr>
                              <w:rPr>
                                <w:sz w:val="2"/>
                                <w:szCs w:val="2"/>
                              </w:rPr>
                            </w:pPr>
                          </w:p>
                        </w:tc>
                        <w:tc>
                          <w:tcPr>
                            <w:tcW w:w="6633" w:type="dxa"/>
                          </w:tcPr>
                          <w:p>
                            <w:pPr>
                              <w:pStyle w:val="44"/>
                              <w:spacing w:before="45"/>
                              <w:ind w:left="15"/>
                              <w:rPr>
                                <w:sz w:val="20"/>
                              </w:rPr>
                            </w:pPr>
                            <w:r>
                              <w:rPr>
                                <w:w w:val="95"/>
                                <w:sz w:val="20"/>
                              </w:rPr>
                              <w:t>20</w:t>
                            </w:r>
                            <w:r>
                              <w:rPr>
                                <w:spacing w:val="-9"/>
                                <w:w w:val="95"/>
                                <w:sz w:val="20"/>
                              </w:rPr>
                              <w:t>、熟练运用相关政策和理论开展工作,了解学生的思想动态以及学习生</w:t>
                            </w:r>
                          </w:p>
                          <w:p>
                            <w:pPr>
                              <w:pStyle w:val="44"/>
                              <w:spacing w:before="56"/>
                              <w:ind w:left="15"/>
                              <w:rPr>
                                <w:sz w:val="20"/>
                              </w:rPr>
                            </w:pPr>
                            <w:r>
                              <w:rPr>
                                <w:w w:val="95"/>
                                <w:sz w:val="20"/>
                              </w:rPr>
                              <w:t>活情况,经常性主动与学生谈心谈话，做好记录,解决大学生实际问题。</w:t>
                            </w:r>
                            <w:r>
                              <w:rPr>
                                <w:sz w:val="20"/>
                              </w:rPr>
                              <w:t>(6 分)</w:t>
                            </w:r>
                          </w:p>
                        </w:tc>
                        <w:tc>
                          <w:tcPr>
                            <w:tcW w:w="1032" w:type="dxa"/>
                          </w:tcPr>
                          <w:p>
                            <w:pPr>
                              <w:pStyle w:val="44"/>
                              <w:rPr>
                                <w:rFonts w:ascii="Times New Roman"/>
                                <w:sz w:val="20"/>
                              </w:rPr>
                            </w:pPr>
                          </w:p>
                        </w:tc>
                      </w:tr>
                    </w:tbl>
                    <w:p>
                      <w:pPr>
                        <w:pStyle w:val="6"/>
                      </w:pPr>
                    </w:p>
                  </w:txbxContent>
                </v:textbox>
              </v:shape>
            </w:pict>
          </mc:Fallback>
        </mc:AlternateContent>
      </w:r>
      <w:r>
        <w:rPr>
          <w:color w:val="auto"/>
          <w:highlight w:val="none"/>
        </w:rPr>
        <w:t>附件 1</w:t>
      </w:r>
    </w:p>
    <w:p>
      <w:pPr>
        <w:spacing w:after="0"/>
        <w:rPr>
          <w:color w:val="auto"/>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6508"/>
        <w:gridCol w:w="11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15" w:type="dxa"/>
            <w:vMerge w:val="restart"/>
            <w:tcBorders>
              <w:top w:val="nil"/>
            </w:tcBorders>
          </w:tcPr>
          <w:p>
            <w:pPr>
              <w:rPr>
                <w:color w:val="auto"/>
                <w:sz w:val="2"/>
                <w:szCs w:val="2"/>
                <w:highlight w:val="none"/>
              </w:rPr>
            </w:pPr>
          </w:p>
        </w:tc>
        <w:tc>
          <w:tcPr>
            <w:tcW w:w="6508" w:type="dxa"/>
          </w:tcPr>
          <w:p>
            <w:pPr>
              <w:pStyle w:val="44"/>
              <w:spacing w:before="43" w:line="292" w:lineRule="auto"/>
              <w:ind w:left="15" w:right="3"/>
              <w:rPr>
                <w:color w:val="auto"/>
                <w:sz w:val="20"/>
                <w:highlight w:val="none"/>
              </w:rPr>
            </w:pPr>
            <w:r>
              <w:rPr>
                <w:color w:val="auto"/>
                <w:w w:val="95"/>
                <w:sz w:val="20"/>
                <w:highlight w:val="none"/>
              </w:rPr>
              <w:t>21</w:t>
            </w:r>
            <w:r>
              <w:rPr>
                <w:color w:val="auto"/>
                <w:spacing w:val="-8"/>
                <w:w w:val="95"/>
                <w:sz w:val="20"/>
                <w:highlight w:val="none"/>
              </w:rPr>
              <w:t xml:space="preserve">、积极运用“易班”和“中国大学生在线”等开展网络思想政治教育;  </w:t>
            </w:r>
            <w:r>
              <w:rPr>
                <w:color w:val="auto"/>
                <w:spacing w:val="-8"/>
                <w:sz w:val="20"/>
                <w:highlight w:val="none"/>
              </w:rPr>
              <w:t>建立并及时更新辅导员</w:t>
            </w:r>
            <w:r>
              <w:rPr>
                <w:color w:val="auto"/>
                <w:sz w:val="20"/>
                <w:highlight w:val="none"/>
              </w:rPr>
              <w:t>（班主任</w:t>
            </w:r>
            <w:r>
              <w:rPr>
                <w:color w:val="auto"/>
                <w:spacing w:val="-3"/>
                <w:sz w:val="20"/>
                <w:highlight w:val="none"/>
              </w:rPr>
              <w:t>）</w:t>
            </w:r>
            <w:r>
              <w:rPr>
                <w:color w:val="auto"/>
                <w:spacing w:val="-2"/>
                <w:sz w:val="20"/>
                <w:highlight w:val="none"/>
              </w:rPr>
              <w:t>专属的微信群、公众号、</w:t>
            </w:r>
            <w:r>
              <w:rPr>
                <w:color w:val="auto"/>
                <w:sz w:val="20"/>
                <w:highlight w:val="none"/>
              </w:rPr>
              <w:t>QQ</w:t>
            </w:r>
            <w:r>
              <w:rPr>
                <w:color w:val="auto"/>
                <w:spacing w:val="-13"/>
                <w:sz w:val="20"/>
                <w:highlight w:val="none"/>
              </w:rPr>
              <w:t xml:space="preserve"> 群等大学</w:t>
            </w:r>
          </w:p>
          <w:p>
            <w:pPr>
              <w:pStyle w:val="44"/>
              <w:spacing w:line="255" w:lineRule="exact"/>
              <w:ind w:left="15"/>
              <w:rPr>
                <w:color w:val="auto"/>
                <w:sz w:val="20"/>
                <w:highlight w:val="none"/>
              </w:rPr>
            </w:pPr>
            <w:r>
              <w:rPr>
                <w:color w:val="auto"/>
                <w:sz w:val="20"/>
                <w:highlight w:val="none"/>
              </w:rPr>
              <w:t>生网络思想政治教育工作平台。(2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15" w:type="dxa"/>
            <w:vMerge w:val="continue"/>
            <w:tcBorders>
              <w:top w:val="nil"/>
            </w:tcBorders>
          </w:tcPr>
          <w:p>
            <w:pPr>
              <w:rPr>
                <w:color w:val="auto"/>
                <w:sz w:val="2"/>
                <w:szCs w:val="2"/>
                <w:highlight w:val="none"/>
              </w:rPr>
            </w:pPr>
          </w:p>
        </w:tc>
        <w:tc>
          <w:tcPr>
            <w:tcW w:w="6508" w:type="dxa"/>
          </w:tcPr>
          <w:p>
            <w:pPr>
              <w:pStyle w:val="44"/>
              <w:spacing w:before="44"/>
              <w:ind w:left="15"/>
              <w:rPr>
                <w:color w:val="auto"/>
                <w:sz w:val="20"/>
                <w:highlight w:val="none"/>
              </w:rPr>
            </w:pPr>
            <w:r>
              <w:rPr>
                <w:color w:val="auto"/>
                <w:sz w:val="20"/>
                <w:highlight w:val="none"/>
              </w:rPr>
              <w:t>22、做好学生日常思想政治教育工作，注重学生良好道德品质和实践能</w:t>
            </w:r>
          </w:p>
          <w:p>
            <w:pPr>
              <w:pStyle w:val="44"/>
              <w:spacing w:before="2" w:line="310" w:lineRule="atLeast"/>
              <w:ind w:left="15" w:right="43"/>
              <w:rPr>
                <w:color w:val="auto"/>
                <w:sz w:val="20"/>
                <w:highlight w:val="none"/>
              </w:rPr>
            </w:pPr>
            <w:r>
              <w:rPr>
                <w:color w:val="auto"/>
                <w:w w:val="95"/>
                <w:sz w:val="20"/>
                <w:highlight w:val="none"/>
              </w:rPr>
              <w:t xml:space="preserve">力培养。定期开展有针对性、实效性的“主题班会”，并且有相关工作  </w:t>
            </w:r>
            <w:r>
              <w:rPr>
                <w:color w:val="auto"/>
                <w:sz w:val="20"/>
                <w:highlight w:val="none"/>
              </w:rPr>
              <w:t>记录。(6</w:t>
            </w:r>
            <w:r>
              <w:rPr>
                <w:color w:val="auto"/>
                <w:spacing w:val="-18"/>
                <w:sz w:val="20"/>
                <w:highlight w:val="none"/>
              </w:rPr>
              <w:t xml:space="preserve">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15" w:type="dxa"/>
            <w:vMerge w:val="continue"/>
            <w:tcBorders>
              <w:top w:val="nil"/>
            </w:tcBorders>
          </w:tcPr>
          <w:p>
            <w:pPr>
              <w:rPr>
                <w:color w:val="auto"/>
                <w:sz w:val="2"/>
                <w:szCs w:val="2"/>
                <w:highlight w:val="none"/>
              </w:rPr>
            </w:pPr>
          </w:p>
        </w:tc>
        <w:tc>
          <w:tcPr>
            <w:tcW w:w="6508" w:type="dxa"/>
          </w:tcPr>
          <w:p>
            <w:pPr>
              <w:pStyle w:val="44"/>
              <w:spacing w:before="45"/>
              <w:ind w:left="15"/>
              <w:rPr>
                <w:color w:val="auto"/>
                <w:sz w:val="20"/>
                <w:highlight w:val="none"/>
              </w:rPr>
            </w:pPr>
            <w:r>
              <w:rPr>
                <w:color w:val="auto"/>
                <w:sz w:val="20"/>
                <w:highlight w:val="none"/>
              </w:rPr>
              <w:t>23</w:t>
            </w:r>
            <w:r>
              <w:rPr>
                <w:color w:val="auto"/>
                <w:spacing w:val="-9"/>
                <w:sz w:val="20"/>
                <w:highlight w:val="none"/>
              </w:rPr>
              <w:t>、具有长期丰富的学生事务管理工作经验,能运用相关知识进行服务育</w:t>
            </w:r>
          </w:p>
          <w:p>
            <w:pPr>
              <w:pStyle w:val="44"/>
              <w:spacing w:before="2" w:line="310" w:lineRule="atLeast"/>
              <w:ind w:left="15" w:right="43"/>
              <w:rPr>
                <w:color w:val="auto"/>
                <w:sz w:val="20"/>
                <w:highlight w:val="none"/>
              </w:rPr>
            </w:pPr>
            <w:r>
              <w:rPr>
                <w:color w:val="auto"/>
                <w:w w:val="95"/>
                <w:sz w:val="20"/>
                <w:highlight w:val="none"/>
              </w:rPr>
              <w:t xml:space="preserve">人体系化设计,结合时政和大学生实际,做好大学生思想政治教育、职业  </w:t>
            </w:r>
            <w:r>
              <w:rPr>
                <w:color w:val="auto"/>
                <w:sz w:val="20"/>
                <w:highlight w:val="none"/>
              </w:rPr>
              <w:t>规划、创业就业、心理健康教育等工作。(2</w:t>
            </w:r>
            <w:r>
              <w:rPr>
                <w:color w:val="auto"/>
                <w:spacing w:val="-18"/>
                <w:sz w:val="20"/>
                <w:highlight w:val="none"/>
              </w:rPr>
              <w:t xml:space="preserve">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15" w:type="dxa"/>
            <w:vMerge w:val="continue"/>
            <w:tcBorders>
              <w:top w:val="nil"/>
            </w:tcBorders>
          </w:tcPr>
          <w:p>
            <w:pPr>
              <w:rPr>
                <w:color w:val="auto"/>
                <w:sz w:val="2"/>
                <w:szCs w:val="2"/>
                <w:highlight w:val="none"/>
              </w:rPr>
            </w:pPr>
          </w:p>
        </w:tc>
        <w:tc>
          <w:tcPr>
            <w:tcW w:w="6508" w:type="dxa"/>
          </w:tcPr>
          <w:p>
            <w:pPr>
              <w:pStyle w:val="44"/>
              <w:spacing w:before="43"/>
              <w:ind w:left="15"/>
              <w:rPr>
                <w:color w:val="auto"/>
                <w:sz w:val="20"/>
                <w:highlight w:val="none"/>
              </w:rPr>
            </w:pPr>
            <w:r>
              <w:rPr>
                <w:color w:val="auto"/>
                <w:sz w:val="20"/>
                <w:highlight w:val="none"/>
              </w:rPr>
              <w:t>24、指导和负责学生党团基层组织建设;严格按照程序和纪律认真做好</w:t>
            </w:r>
          </w:p>
          <w:p>
            <w:pPr>
              <w:pStyle w:val="44"/>
              <w:spacing w:before="2" w:line="310" w:lineRule="atLeast"/>
              <w:ind w:left="15" w:right="5"/>
              <w:rPr>
                <w:color w:val="auto"/>
                <w:sz w:val="20"/>
                <w:highlight w:val="none"/>
              </w:rPr>
            </w:pPr>
            <w:r>
              <w:rPr>
                <w:color w:val="auto"/>
                <w:spacing w:val="-7"/>
                <w:w w:val="95"/>
                <w:sz w:val="20"/>
                <w:highlight w:val="none"/>
              </w:rPr>
              <w:t xml:space="preserve">党、团员的发展工作;所带学生入党愿望明显，入党积极分子较多，入党  </w:t>
            </w:r>
            <w:r>
              <w:rPr>
                <w:color w:val="auto"/>
                <w:spacing w:val="-7"/>
                <w:sz w:val="20"/>
                <w:highlight w:val="none"/>
              </w:rPr>
              <w:t>动机纯正。(2</w:t>
            </w:r>
            <w:r>
              <w:rPr>
                <w:color w:val="auto"/>
                <w:spacing w:val="-18"/>
                <w:sz w:val="20"/>
                <w:highlight w:val="none"/>
              </w:rPr>
              <w:t xml:space="preserve">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4"/>
              <w:ind w:left="15"/>
              <w:rPr>
                <w:color w:val="auto"/>
                <w:sz w:val="20"/>
                <w:highlight w:val="none"/>
              </w:rPr>
            </w:pPr>
            <w:r>
              <w:rPr>
                <w:color w:val="auto"/>
                <w:sz w:val="20"/>
                <w:highlight w:val="none"/>
              </w:rPr>
              <w:t>25、特殊学生、违纪学生跟踪管理，有相关工作记录。（4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5"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4"/>
              <w:rPr>
                <w:rFonts w:ascii="方正仿宋_GBK"/>
                <w:color w:val="auto"/>
                <w:sz w:val="17"/>
                <w:highlight w:val="none"/>
              </w:rPr>
            </w:pPr>
          </w:p>
          <w:p>
            <w:pPr>
              <w:pStyle w:val="44"/>
              <w:ind w:left="85" w:right="79"/>
              <w:jc w:val="center"/>
              <w:rPr>
                <w:color w:val="auto"/>
                <w:sz w:val="20"/>
                <w:highlight w:val="none"/>
              </w:rPr>
            </w:pPr>
            <w:r>
              <w:rPr>
                <w:color w:val="auto"/>
                <w:sz w:val="20"/>
                <w:highlight w:val="none"/>
              </w:rPr>
              <w:t>四、工作实绩</w:t>
            </w:r>
          </w:p>
          <w:p>
            <w:pPr>
              <w:pStyle w:val="44"/>
              <w:spacing w:before="56"/>
              <w:ind w:left="85" w:right="79"/>
              <w:jc w:val="center"/>
              <w:rPr>
                <w:color w:val="auto"/>
                <w:sz w:val="20"/>
                <w:highlight w:val="none"/>
              </w:rPr>
            </w:pPr>
            <w:r>
              <w:rPr>
                <w:color w:val="auto"/>
                <w:sz w:val="20"/>
                <w:highlight w:val="none"/>
              </w:rPr>
              <w:t>（15 分）</w:t>
            </w:r>
          </w:p>
        </w:tc>
        <w:tc>
          <w:tcPr>
            <w:tcW w:w="6508" w:type="dxa"/>
          </w:tcPr>
          <w:p>
            <w:pPr>
              <w:pStyle w:val="44"/>
              <w:spacing w:before="53"/>
              <w:ind w:left="15"/>
              <w:rPr>
                <w:color w:val="auto"/>
                <w:sz w:val="20"/>
                <w:highlight w:val="none"/>
              </w:rPr>
            </w:pPr>
            <w:r>
              <w:rPr>
                <w:color w:val="auto"/>
                <w:sz w:val="20"/>
                <w:highlight w:val="none"/>
              </w:rPr>
              <w:t>26</w:t>
            </w:r>
            <w:r>
              <w:rPr>
                <w:color w:val="auto"/>
                <w:spacing w:val="-3"/>
                <w:sz w:val="20"/>
                <w:highlight w:val="none"/>
              </w:rPr>
              <w:t>、所带学生未出现任何重大安全责任事故,应急事件处理得当。(</w:t>
            </w:r>
            <w:r>
              <w:rPr>
                <w:color w:val="auto"/>
                <w:sz w:val="20"/>
                <w:highlight w:val="none"/>
              </w:rPr>
              <w:t>3</w:t>
            </w:r>
            <w:r>
              <w:rPr>
                <w:color w:val="auto"/>
                <w:spacing w:val="-21"/>
                <w:sz w:val="20"/>
                <w:highlight w:val="none"/>
              </w:rPr>
              <w:t xml:space="preserve">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15" w:type="dxa"/>
            <w:vMerge w:val="continue"/>
            <w:tcBorders>
              <w:top w:val="nil"/>
            </w:tcBorders>
          </w:tcPr>
          <w:p>
            <w:pPr>
              <w:rPr>
                <w:color w:val="auto"/>
                <w:sz w:val="2"/>
                <w:szCs w:val="2"/>
                <w:highlight w:val="none"/>
              </w:rPr>
            </w:pPr>
          </w:p>
        </w:tc>
        <w:tc>
          <w:tcPr>
            <w:tcW w:w="6508" w:type="dxa"/>
          </w:tcPr>
          <w:p>
            <w:pPr>
              <w:pStyle w:val="44"/>
              <w:spacing w:before="43" w:line="292" w:lineRule="auto"/>
              <w:ind w:left="15" w:right="5"/>
              <w:rPr>
                <w:color w:val="auto"/>
                <w:sz w:val="20"/>
                <w:highlight w:val="none"/>
              </w:rPr>
            </w:pPr>
            <w:r>
              <w:rPr>
                <w:color w:val="auto"/>
                <w:w w:val="95"/>
                <w:sz w:val="20"/>
                <w:highlight w:val="none"/>
              </w:rPr>
              <w:t>27</w:t>
            </w:r>
            <w:r>
              <w:rPr>
                <w:color w:val="auto"/>
                <w:spacing w:val="-9"/>
                <w:w w:val="95"/>
                <w:sz w:val="20"/>
                <w:highlight w:val="none"/>
              </w:rPr>
              <w:t xml:space="preserve">、能够认真完成学校和学院的各项工作;积极参加学校组织的各项培训  </w:t>
            </w:r>
            <w:r>
              <w:rPr>
                <w:color w:val="auto"/>
                <w:spacing w:val="-9"/>
                <w:sz w:val="20"/>
                <w:highlight w:val="none"/>
              </w:rPr>
              <w:t>活动,按照要求上交工作计划和总结;对各级各部门的通知和要求能够准</w:t>
            </w:r>
          </w:p>
          <w:p>
            <w:pPr>
              <w:pStyle w:val="44"/>
              <w:spacing w:line="255" w:lineRule="exact"/>
              <w:ind w:left="15"/>
              <w:rPr>
                <w:color w:val="auto"/>
                <w:sz w:val="20"/>
                <w:highlight w:val="none"/>
              </w:rPr>
            </w:pPr>
            <w:r>
              <w:rPr>
                <w:color w:val="auto"/>
                <w:sz w:val="20"/>
                <w:highlight w:val="none"/>
              </w:rPr>
              <w:t>确及时的传达给学生,并督促落实。(2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15" w:type="dxa"/>
            <w:vMerge w:val="continue"/>
            <w:tcBorders>
              <w:top w:val="nil"/>
            </w:tcBorders>
          </w:tcPr>
          <w:p>
            <w:pPr>
              <w:rPr>
                <w:color w:val="auto"/>
                <w:sz w:val="2"/>
                <w:szCs w:val="2"/>
                <w:highlight w:val="none"/>
              </w:rPr>
            </w:pPr>
          </w:p>
        </w:tc>
        <w:tc>
          <w:tcPr>
            <w:tcW w:w="6508" w:type="dxa"/>
          </w:tcPr>
          <w:p>
            <w:pPr>
              <w:pStyle w:val="44"/>
              <w:spacing w:before="44"/>
              <w:ind w:left="15"/>
              <w:rPr>
                <w:color w:val="auto"/>
                <w:sz w:val="20"/>
                <w:highlight w:val="none"/>
              </w:rPr>
            </w:pPr>
            <w:r>
              <w:rPr>
                <w:color w:val="auto"/>
                <w:sz w:val="20"/>
                <w:highlight w:val="none"/>
              </w:rPr>
              <w:t>28</w:t>
            </w:r>
            <w:r>
              <w:rPr>
                <w:color w:val="auto"/>
                <w:spacing w:val="-7"/>
                <w:sz w:val="20"/>
                <w:highlight w:val="none"/>
              </w:rPr>
              <w:t xml:space="preserve">、所辅导学生期末成绩优秀率达 </w:t>
            </w:r>
            <w:r>
              <w:rPr>
                <w:color w:val="auto"/>
                <w:sz w:val="20"/>
                <w:highlight w:val="none"/>
              </w:rPr>
              <w:t>3%以上或者就业率达到专业平均水平</w:t>
            </w:r>
          </w:p>
          <w:p>
            <w:pPr>
              <w:pStyle w:val="44"/>
              <w:spacing w:before="56"/>
              <w:ind w:left="15"/>
              <w:rPr>
                <w:color w:val="auto"/>
                <w:sz w:val="20"/>
                <w:highlight w:val="none"/>
              </w:rPr>
            </w:pPr>
            <w:r>
              <w:rPr>
                <w:color w:val="auto"/>
                <w:sz w:val="20"/>
                <w:highlight w:val="none"/>
              </w:rPr>
              <w:t>及以上。(2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15" w:type="dxa"/>
            <w:vMerge w:val="continue"/>
            <w:tcBorders>
              <w:top w:val="nil"/>
            </w:tcBorders>
          </w:tcPr>
          <w:p>
            <w:pPr>
              <w:rPr>
                <w:color w:val="auto"/>
                <w:sz w:val="2"/>
                <w:szCs w:val="2"/>
                <w:highlight w:val="none"/>
              </w:rPr>
            </w:pPr>
          </w:p>
        </w:tc>
        <w:tc>
          <w:tcPr>
            <w:tcW w:w="6508" w:type="dxa"/>
          </w:tcPr>
          <w:p>
            <w:pPr>
              <w:pStyle w:val="44"/>
              <w:spacing w:before="45"/>
              <w:ind w:left="15"/>
              <w:rPr>
                <w:color w:val="auto"/>
                <w:sz w:val="20"/>
                <w:highlight w:val="none"/>
              </w:rPr>
            </w:pPr>
            <w:r>
              <w:rPr>
                <w:color w:val="auto"/>
                <w:sz w:val="20"/>
                <w:highlight w:val="none"/>
              </w:rPr>
              <w:t>29、所辅导班级获得院级及以上表彰，所辅导学生获得院级及以上表彰</w:t>
            </w:r>
          </w:p>
          <w:p>
            <w:pPr>
              <w:pStyle w:val="44"/>
              <w:spacing w:before="56"/>
              <w:ind w:left="15"/>
              <w:rPr>
                <w:color w:val="auto"/>
                <w:sz w:val="20"/>
                <w:highlight w:val="none"/>
              </w:rPr>
            </w:pPr>
            <w:r>
              <w:rPr>
                <w:color w:val="auto"/>
                <w:sz w:val="20"/>
                <w:highlight w:val="none"/>
              </w:rPr>
              <w:t>(2 分)</w:t>
            </w:r>
          </w:p>
        </w:tc>
        <w:tc>
          <w:tcPr>
            <w:tcW w:w="1157" w:type="dxa"/>
          </w:tcPr>
          <w:p>
            <w:pPr>
              <w:pStyle w:val="44"/>
              <w:spacing w:before="45"/>
              <w:ind w:left="-116"/>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15" w:type="dxa"/>
            <w:vMerge w:val="continue"/>
            <w:tcBorders>
              <w:top w:val="nil"/>
            </w:tcBorders>
          </w:tcPr>
          <w:p>
            <w:pPr>
              <w:rPr>
                <w:color w:val="auto"/>
                <w:sz w:val="2"/>
                <w:szCs w:val="2"/>
                <w:highlight w:val="none"/>
              </w:rPr>
            </w:pPr>
          </w:p>
        </w:tc>
        <w:tc>
          <w:tcPr>
            <w:tcW w:w="6508" w:type="dxa"/>
          </w:tcPr>
          <w:p>
            <w:pPr>
              <w:pStyle w:val="44"/>
              <w:spacing w:before="43"/>
              <w:ind w:left="15"/>
              <w:rPr>
                <w:color w:val="auto"/>
                <w:sz w:val="20"/>
                <w:highlight w:val="none"/>
              </w:rPr>
            </w:pPr>
            <w:r>
              <w:rPr>
                <w:color w:val="auto"/>
                <w:sz w:val="20"/>
                <w:highlight w:val="none"/>
              </w:rPr>
              <w:t>30、积极组织学生开展丰富多彩的校内外科技创新、社会实践和体育锻</w:t>
            </w:r>
          </w:p>
          <w:p>
            <w:pPr>
              <w:pStyle w:val="44"/>
              <w:spacing w:before="56"/>
              <w:ind w:left="15"/>
              <w:rPr>
                <w:color w:val="auto"/>
                <w:sz w:val="20"/>
                <w:highlight w:val="none"/>
              </w:rPr>
            </w:pPr>
            <w:r>
              <w:rPr>
                <w:color w:val="auto"/>
                <w:sz w:val="20"/>
                <w:highlight w:val="none"/>
              </w:rPr>
              <w:t>炼等活动,所辅导学生在院级及以上竞赛中获奖。(3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4"/>
              <w:ind w:left="15"/>
              <w:rPr>
                <w:color w:val="auto"/>
                <w:sz w:val="20"/>
                <w:highlight w:val="none"/>
              </w:rPr>
            </w:pPr>
            <w:r>
              <w:rPr>
                <w:color w:val="auto"/>
                <w:sz w:val="20"/>
                <w:highlight w:val="none"/>
              </w:rPr>
              <w:t>31、完成年度个人招生任务。(3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15"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1"/>
              <w:rPr>
                <w:rFonts w:ascii="方正仿宋_GBK"/>
                <w:color w:val="auto"/>
                <w:sz w:val="16"/>
                <w:highlight w:val="none"/>
              </w:rPr>
            </w:pPr>
          </w:p>
          <w:p>
            <w:pPr>
              <w:pStyle w:val="44"/>
              <w:spacing w:before="1" w:line="292" w:lineRule="auto"/>
              <w:ind w:left="506" w:right="4" w:hanging="492"/>
              <w:rPr>
                <w:color w:val="auto"/>
                <w:sz w:val="20"/>
                <w:highlight w:val="none"/>
              </w:rPr>
            </w:pPr>
            <w:r>
              <w:rPr>
                <w:color w:val="auto"/>
                <w:spacing w:val="-19"/>
                <w:sz w:val="20"/>
                <w:highlight w:val="none"/>
              </w:rPr>
              <w:t>五、教学情况</w:t>
            </w:r>
            <w:r>
              <w:rPr>
                <w:color w:val="auto"/>
                <w:spacing w:val="-8"/>
                <w:sz w:val="20"/>
                <w:highlight w:val="none"/>
              </w:rPr>
              <w:t xml:space="preserve">（5 </w:t>
            </w:r>
            <w:r>
              <w:rPr>
                <w:color w:val="auto"/>
                <w:sz w:val="20"/>
                <w:highlight w:val="none"/>
              </w:rPr>
              <w:t>分）</w:t>
            </w:r>
          </w:p>
        </w:tc>
        <w:tc>
          <w:tcPr>
            <w:tcW w:w="6508" w:type="dxa"/>
          </w:tcPr>
          <w:p>
            <w:pPr>
              <w:pStyle w:val="44"/>
              <w:spacing w:before="44"/>
              <w:ind w:left="15"/>
              <w:rPr>
                <w:color w:val="auto"/>
                <w:sz w:val="20"/>
                <w:highlight w:val="none"/>
              </w:rPr>
            </w:pPr>
            <w:r>
              <w:rPr>
                <w:color w:val="auto"/>
                <w:w w:val="95"/>
                <w:sz w:val="20"/>
                <w:highlight w:val="none"/>
              </w:rPr>
              <w:t>32、承担思想政治教育相关课程,或者专业课、公共课、基础课等教学任</w:t>
            </w:r>
          </w:p>
          <w:p>
            <w:pPr>
              <w:pStyle w:val="44"/>
              <w:spacing w:before="55"/>
              <w:ind w:left="15"/>
              <w:rPr>
                <w:color w:val="auto"/>
                <w:sz w:val="20"/>
                <w:highlight w:val="none"/>
              </w:rPr>
            </w:pPr>
            <w:r>
              <w:rPr>
                <w:color w:val="auto"/>
                <w:sz w:val="20"/>
                <w:highlight w:val="none"/>
              </w:rPr>
              <w:t>务,每学年在 36 课时以上(含 36 课时)。(1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15" w:type="dxa"/>
            <w:vMerge w:val="continue"/>
            <w:tcBorders>
              <w:top w:val="nil"/>
            </w:tcBorders>
          </w:tcPr>
          <w:p>
            <w:pPr>
              <w:rPr>
                <w:color w:val="auto"/>
                <w:sz w:val="2"/>
                <w:szCs w:val="2"/>
                <w:highlight w:val="none"/>
              </w:rPr>
            </w:pPr>
          </w:p>
        </w:tc>
        <w:tc>
          <w:tcPr>
            <w:tcW w:w="6508" w:type="dxa"/>
          </w:tcPr>
          <w:p>
            <w:pPr>
              <w:pStyle w:val="44"/>
              <w:spacing w:before="45" w:line="292" w:lineRule="auto"/>
              <w:ind w:left="15" w:right="41"/>
              <w:rPr>
                <w:color w:val="auto"/>
                <w:sz w:val="20"/>
                <w:highlight w:val="none"/>
              </w:rPr>
            </w:pPr>
            <w:r>
              <w:rPr>
                <w:color w:val="auto"/>
                <w:w w:val="95"/>
                <w:sz w:val="20"/>
                <w:highlight w:val="none"/>
              </w:rPr>
              <w:t xml:space="preserve">33、在院级心理健康教育、形势与政策、就业创业指导等与辅导员（班  </w:t>
            </w:r>
            <w:r>
              <w:rPr>
                <w:color w:val="auto"/>
                <w:sz w:val="20"/>
                <w:highlight w:val="none"/>
              </w:rPr>
              <w:t>主任）工作相关的教学竞赛中获奖,或创立相关专业院级精品课程。(1</w:t>
            </w:r>
          </w:p>
          <w:p>
            <w:pPr>
              <w:pStyle w:val="44"/>
              <w:spacing w:line="255" w:lineRule="exact"/>
              <w:ind w:left="15"/>
              <w:rPr>
                <w:color w:val="auto"/>
                <w:sz w:val="20"/>
                <w:highlight w:val="none"/>
              </w:rPr>
            </w:pPr>
            <w:r>
              <w:rPr>
                <w:color w:val="auto"/>
                <w:sz w:val="20"/>
                <w:highlight w:val="none"/>
              </w:rPr>
              <w:t>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2"/>
              <w:ind w:left="15"/>
              <w:rPr>
                <w:color w:val="auto"/>
                <w:sz w:val="20"/>
                <w:highlight w:val="none"/>
              </w:rPr>
            </w:pPr>
            <w:r>
              <w:rPr>
                <w:color w:val="auto"/>
                <w:sz w:val="20"/>
                <w:highlight w:val="none"/>
              </w:rPr>
              <w:t>34、无教学事故通报。(2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2"/>
              <w:ind w:left="15"/>
              <w:rPr>
                <w:color w:val="auto"/>
                <w:sz w:val="20"/>
                <w:highlight w:val="none"/>
              </w:rPr>
            </w:pPr>
            <w:r>
              <w:rPr>
                <w:color w:val="auto"/>
                <w:sz w:val="20"/>
                <w:highlight w:val="none"/>
              </w:rPr>
              <w:t>35、按学校要求管控课堂秩序。(1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restart"/>
          </w:tcPr>
          <w:p>
            <w:pPr>
              <w:pStyle w:val="44"/>
              <w:rPr>
                <w:rFonts w:ascii="方正仿宋_GBK"/>
                <w:color w:val="auto"/>
                <w:sz w:val="20"/>
                <w:highlight w:val="none"/>
              </w:rPr>
            </w:pPr>
          </w:p>
          <w:p>
            <w:pPr>
              <w:pStyle w:val="44"/>
              <w:spacing w:before="11"/>
              <w:rPr>
                <w:rFonts w:ascii="方正仿宋_GBK"/>
                <w:color w:val="auto"/>
                <w:sz w:val="28"/>
                <w:highlight w:val="none"/>
              </w:rPr>
            </w:pPr>
          </w:p>
          <w:p>
            <w:pPr>
              <w:pStyle w:val="44"/>
              <w:spacing w:line="292" w:lineRule="auto"/>
              <w:ind w:left="506" w:right="4" w:hanging="492"/>
              <w:rPr>
                <w:color w:val="auto"/>
                <w:sz w:val="20"/>
                <w:highlight w:val="none"/>
              </w:rPr>
            </w:pPr>
            <w:r>
              <w:rPr>
                <w:color w:val="auto"/>
                <w:spacing w:val="-19"/>
                <w:sz w:val="20"/>
                <w:highlight w:val="none"/>
              </w:rPr>
              <w:t>六、科研成果</w:t>
            </w:r>
            <w:r>
              <w:rPr>
                <w:color w:val="auto"/>
                <w:spacing w:val="-8"/>
                <w:sz w:val="20"/>
                <w:highlight w:val="none"/>
              </w:rPr>
              <w:t xml:space="preserve">（5 </w:t>
            </w:r>
            <w:r>
              <w:rPr>
                <w:color w:val="auto"/>
                <w:sz w:val="20"/>
                <w:highlight w:val="none"/>
              </w:rPr>
              <w:t>分）</w:t>
            </w:r>
          </w:p>
        </w:tc>
        <w:tc>
          <w:tcPr>
            <w:tcW w:w="6508" w:type="dxa"/>
          </w:tcPr>
          <w:p>
            <w:pPr>
              <w:pStyle w:val="44"/>
              <w:spacing w:before="52"/>
              <w:ind w:left="15"/>
              <w:rPr>
                <w:color w:val="auto"/>
                <w:sz w:val="20"/>
                <w:highlight w:val="none"/>
              </w:rPr>
            </w:pPr>
            <w:r>
              <w:rPr>
                <w:color w:val="auto"/>
                <w:sz w:val="20"/>
                <w:highlight w:val="none"/>
              </w:rPr>
              <w:t>36、承担或参与课题研究。(1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4"/>
              <w:ind w:left="15"/>
              <w:rPr>
                <w:color w:val="auto"/>
                <w:sz w:val="20"/>
                <w:highlight w:val="none"/>
              </w:rPr>
            </w:pPr>
            <w:r>
              <w:rPr>
                <w:color w:val="auto"/>
                <w:sz w:val="20"/>
                <w:highlight w:val="none"/>
              </w:rPr>
              <w:t>37、发表论文或专业文章。(1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3"/>
              <w:ind w:left="15"/>
              <w:rPr>
                <w:color w:val="auto"/>
                <w:sz w:val="20"/>
                <w:highlight w:val="none"/>
              </w:rPr>
            </w:pPr>
            <w:r>
              <w:rPr>
                <w:color w:val="auto"/>
                <w:sz w:val="20"/>
                <w:highlight w:val="none"/>
              </w:rPr>
              <w:t>37、发表论文、专业文章获奖。(1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15" w:type="dxa"/>
            <w:vMerge w:val="continue"/>
            <w:tcBorders>
              <w:top w:val="nil"/>
            </w:tcBorders>
          </w:tcPr>
          <w:p>
            <w:pPr>
              <w:rPr>
                <w:color w:val="auto"/>
                <w:sz w:val="2"/>
                <w:szCs w:val="2"/>
                <w:highlight w:val="none"/>
              </w:rPr>
            </w:pPr>
          </w:p>
        </w:tc>
        <w:tc>
          <w:tcPr>
            <w:tcW w:w="6508" w:type="dxa"/>
          </w:tcPr>
          <w:p>
            <w:pPr>
              <w:pStyle w:val="44"/>
              <w:spacing w:before="43"/>
              <w:ind w:left="15"/>
              <w:rPr>
                <w:color w:val="auto"/>
                <w:sz w:val="20"/>
                <w:highlight w:val="none"/>
              </w:rPr>
            </w:pPr>
            <w:r>
              <w:rPr>
                <w:color w:val="auto"/>
                <w:sz w:val="20"/>
                <w:highlight w:val="none"/>
              </w:rPr>
              <w:t>39、主编或者参与出版编著、译著、教材、工具书、读本、参考书籍等</w:t>
            </w:r>
          </w:p>
          <w:p>
            <w:pPr>
              <w:pStyle w:val="44"/>
              <w:spacing w:before="56"/>
              <w:ind w:left="15"/>
              <w:rPr>
                <w:color w:val="auto"/>
                <w:sz w:val="20"/>
                <w:highlight w:val="none"/>
              </w:rPr>
            </w:pPr>
            <w:r>
              <w:rPr>
                <w:color w:val="auto"/>
                <w:sz w:val="20"/>
                <w:highlight w:val="none"/>
              </w:rPr>
              <w:t>（1 分)</w:t>
            </w:r>
          </w:p>
        </w:tc>
        <w:tc>
          <w:tcPr>
            <w:tcW w:w="1157" w:type="dxa"/>
          </w:tcPr>
          <w:p>
            <w:pPr>
              <w:pStyle w:val="44"/>
              <w:spacing w:before="43"/>
              <w:ind w:left="-116"/>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5" w:type="dxa"/>
            <w:vMerge w:val="continue"/>
            <w:tcBorders>
              <w:top w:val="nil"/>
            </w:tcBorders>
          </w:tcPr>
          <w:p>
            <w:pPr>
              <w:rPr>
                <w:color w:val="auto"/>
                <w:sz w:val="2"/>
                <w:szCs w:val="2"/>
                <w:highlight w:val="none"/>
              </w:rPr>
            </w:pPr>
          </w:p>
        </w:tc>
        <w:tc>
          <w:tcPr>
            <w:tcW w:w="6508" w:type="dxa"/>
          </w:tcPr>
          <w:p>
            <w:pPr>
              <w:pStyle w:val="44"/>
              <w:spacing w:before="54"/>
              <w:ind w:left="15"/>
              <w:rPr>
                <w:color w:val="auto"/>
                <w:sz w:val="20"/>
                <w:highlight w:val="none"/>
              </w:rPr>
            </w:pPr>
            <w:r>
              <w:rPr>
                <w:color w:val="auto"/>
                <w:sz w:val="20"/>
                <w:highlight w:val="none"/>
              </w:rPr>
              <w:t>40、出版学术专著或者与辅导员（班主任）工作相关的书籍。(1 分)</w:t>
            </w:r>
          </w:p>
        </w:tc>
        <w:tc>
          <w:tcPr>
            <w:tcW w:w="115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415" w:type="dxa"/>
          </w:tcPr>
          <w:p>
            <w:pPr>
              <w:pStyle w:val="44"/>
              <w:spacing w:before="44"/>
              <w:ind w:left="85" w:right="79"/>
              <w:jc w:val="center"/>
              <w:rPr>
                <w:color w:val="auto"/>
                <w:sz w:val="20"/>
                <w:highlight w:val="none"/>
              </w:rPr>
            </w:pPr>
            <w:r>
              <w:rPr>
                <w:color w:val="auto"/>
                <w:sz w:val="20"/>
                <w:highlight w:val="none"/>
              </w:rPr>
              <w:t>七、综合评价</w:t>
            </w:r>
          </w:p>
          <w:p>
            <w:pPr>
              <w:pStyle w:val="44"/>
              <w:spacing w:before="55"/>
              <w:ind w:left="85" w:right="79"/>
              <w:jc w:val="center"/>
              <w:rPr>
                <w:color w:val="auto"/>
                <w:sz w:val="20"/>
                <w:highlight w:val="none"/>
              </w:rPr>
            </w:pPr>
            <w:r>
              <w:rPr>
                <w:color w:val="auto"/>
                <w:sz w:val="20"/>
                <w:highlight w:val="none"/>
              </w:rPr>
              <w:t>（10 分）</w:t>
            </w:r>
          </w:p>
        </w:tc>
        <w:tc>
          <w:tcPr>
            <w:tcW w:w="6508" w:type="dxa"/>
          </w:tcPr>
          <w:p>
            <w:pPr>
              <w:pStyle w:val="44"/>
              <w:spacing w:before="44"/>
              <w:ind w:left="15"/>
              <w:rPr>
                <w:color w:val="auto"/>
                <w:sz w:val="20"/>
                <w:highlight w:val="none"/>
              </w:rPr>
            </w:pPr>
            <w:r>
              <w:rPr>
                <w:color w:val="auto"/>
                <w:sz w:val="20"/>
                <w:highlight w:val="none"/>
              </w:rPr>
              <w:t>41、辅导员（班主任）工作受到学生、家长满意率达 7O%以上。(3 分)</w:t>
            </w:r>
          </w:p>
          <w:p>
            <w:pPr>
              <w:pStyle w:val="44"/>
              <w:spacing w:before="55"/>
              <w:ind w:left="15"/>
              <w:rPr>
                <w:color w:val="auto"/>
                <w:sz w:val="20"/>
                <w:highlight w:val="none"/>
              </w:rPr>
            </w:pPr>
            <w:r>
              <w:rPr>
                <w:color w:val="auto"/>
                <w:sz w:val="20"/>
                <w:highlight w:val="none"/>
              </w:rPr>
              <w:t>（全年学生评议平均得分 70 分及以上）</w:t>
            </w:r>
          </w:p>
        </w:tc>
        <w:tc>
          <w:tcPr>
            <w:tcW w:w="1157" w:type="dxa"/>
          </w:tcPr>
          <w:p>
            <w:pPr>
              <w:pStyle w:val="44"/>
              <w:rPr>
                <w:rFonts w:ascii="Times New Roman"/>
                <w:color w:val="auto"/>
                <w:sz w:val="18"/>
                <w:highlight w:val="none"/>
              </w:rPr>
            </w:pPr>
          </w:p>
        </w:tc>
      </w:tr>
    </w:tbl>
    <w:p>
      <w:pPr>
        <w:spacing w:after="0"/>
        <w:rPr>
          <w:rFonts w:ascii="Times New Roman"/>
          <w:color w:val="auto"/>
          <w:sz w:val="18"/>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6268"/>
        <w:gridCol w:w="13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15" w:type="dxa"/>
            <w:vMerge w:val="restart"/>
          </w:tcPr>
          <w:p>
            <w:pPr>
              <w:pStyle w:val="44"/>
              <w:rPr>
                <w:rFonts w:ascii="Times New Roman"/>
                <w:color w:val="auto"/>
                <w:sz w:val="18"/>
                <w:highlight w:val="none"/>
              </w:rPr>
            </w:pPr>
          </w:p>
        </w:tc>
        <w:tc>
          <w:tcPr>
            <w:tcW w:w="6268" w:type="dxa"/>
          </w:tcPr>
          <w:p>
            <w:pPr>
              <w:pStyle w:val="44"/>
              <w:spacing w:before="43"/>
              <w:ind w:left="15"/>
              <w:rPr>
                <w:color w:val="auto"/>
                <w:sz w:val="20"/>
                <w:highlight w:val="none"/>
              </w:rPr>
            </w:pPr>
            <w:r>
              <w:rPr>
                <w:color w:val="auto"/>
                <w:sz w:val="20"/>
                <w:highlight w:val="none"/>
              </w:rPr>
              <w:t>42、辅导员（班主任）工作受到学校主管部门、院系领导及同事满意率</w:t>
            </w:r>
          </w:p>
          <w:p>
            <w:pPr>
              <w:pStyle w:val="44"/>
              <w:spacing w:before="56"/>
              <w:ind w:left="15"/>
              <w:rPr>
                <w:color w:val="auto"/>
                <w:sz w:val="20"/>
                <w:highlight w:val="none"/>
              </w:rPr>
            </w:pPr>
            <w:r>
              <w:rPr>
                <w:color w:val="auto"/>
                <w:sz w:val="20"/>
                <w:highlight w:val="none"/>
              </w:rPr>
              <w:t>达 7O%以上。(3 分)（全年行政职能部门测评平均得分 70 分及以上）</w:t>
            </w:r>
          </w:p>
        </w:tc>
        <w:tc>
          <w:tcPr>
            <w:tcW w:w="139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15" w:type="dxa"/>
            <w:vMerge w:val="continue"/>
            <w:tcBorders>
              <w:top w:val="nil"/>
            </w:tcBorders>
          </w:tcPr>
          <w:p>
            <w:pPr>
              <w:rPr>
                <w:color w:val="auto"/>
                <w:sz w:val="2"/>
                <w:szCs w:val="2"/>
                <w:highlight w:val="none"/>
              </w:rPr>
            </w:pPr>
          </w:p>
        </w:tc>
        <w:tc>
          <w:tcPr>
            <w:tcW w:w="6268" w:type="dxa"/>
          </w:tcPr>
          <w:p>
            <w:pPr>
              <w:pStyle w:val="44"/>
              <w:spacing w:before="44"/>
              <w:ind w:left="15"/>
              <w:rPr>
                <w:color w:val="auto"/>
                <w:sz w:val="20"/>
                <w:highlight w:val="none"/>
              </w:rPr>
            </w:pPr>
            <w:r>
              <w:rPr>
                <w:color w:val="auto"/>
                <w:sz w:val="20"/>
                <w:highlight w:val="none"/>
              </w:rPr>
              <w:t>43、辅导员（班主任）</w:t>
            </w:r>
            <w:r>
              <w:rPr>
                <w:color w:val="auto"/>
                <w:spacing w:val="-5"/>
                <w:sz w:val="20"/>
                <w:highlight w:val="none"/>
              </w:rPr>
              <w:t xml:space="preserve">岗位任职年限内，月度考核 </w:t>
            </w:r>
            <w:r>
              <w:rPr>
                <w:color w:val="auto"/>
                <w:sz w:val="20"/>
                <w:highlight w:val="none"/>
              </w:rPr>
              <w:t>1</w:t>
            </w:r>
            <w:r>
              <w:rPr>
                <w:color w:val="auto"/>
                <w:spacing w:val="-22"/>
                <w:sz w:val="20"/>
                <w:highlight w:val="none"/>
              </w:rPr>
              <w:t xml:space="preserve"> 次优秀 </w:t>
            </w:r>
            <w:r>
              <w:rPr>
                <w:color w:val="auto"/>
                <w:sz w:val="20"/>
                <w:highlight w:val="none"/>
              </w:rPr>
              <w:t>0.5</w:t>
            </w:r>
            <w:r>
              <w:rPr>
                <w:color w:val="auto"/>
                <w:spacing w:val="-14"/>
                <w:sz w:val="20"/>
                <w:highlight w:val="none"/>
              </w:rPr>
              <w:t xml:space="preserve"> 分，最</w:t>
            </w:r>
          </w:p>
          <w:p>
            <w:pPr>
              <w:pStyle w:val="44"/>
              <w:spacing w:before="55"/>
              <w:ind w:left="15"/>
              <w:rPr>
                <w:color w:val="auto"/>
                <w:sz w:val="20"/>
                <w:highlight w:val="none"/>
              </w:rPr>
            </w:pPr>
            <w:r>
              <w:rPr>
                <w:color w:val="auto"/>
                <w:sz w:val="20"/>
                <w:highlight w:val="none"/>
              </w:rPr>
              <w:t>高 2 分。(2 分)</w:t>
            </w:r>
          </w:p>
        </w:tc>
        <w:tc>
          <w:tcPr>
            <w:tcW w:w="1397"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15" w:type="dxa"/>
            <w:vMerge w:val="continue"/>
            <w:tcBorders>
              <w:top w:val="nil"/>
            </w:tcBorders>
          </w:tcPr>
          <w:p>
            <w:pPr>
              <w:rPr>
                <w:color w:val="auto"/>
                <w:sz w:val="2"/>
                <w:szCs w:val="2"/>
                <w:highlight w:val="none"/>
              </w:rPr>
            </w:pPr>
          </w:p>
        </w:tc>
        <w:tc>
          <w:tcPr>
            <w:tcW w:w="6268" w:type="dxa"/>
          </w:tcPr>
          <w:p>
            <w:pPr>
              <w:pStyle w:val="44"/>
              <w:spacing w:before="44"/>
              <w:ind w:left="15"/>
              <w:rPr>
                <w:color w:val="auto"/>
                <w:sz w:val="20"/>
                <w:highlight w:val="none"/>
              </w:rPr>
            </w:pPr>
            <w:r>
              <w:rPr>
                <w:color w:val="auto"/>
                <w:sz w:val="20"/>
                <w:highlight w:val="none"/>
              </w:rPr>
              <w:t>44、辅导员（班主任）</w:t>
            </w:r>
            <w:r>
              <w:rPr>
                <w:color w:val="auto"/>
                <w:spacing w:val="-5"/>
                <w:sz w:val="20"/>
                <w:highlight w:val="none"/>
              </w:rPr>
              <w:t xml:space="preserve">岗位任职年限内，年度考核 </w:t>
            </w:r>
            <w:r>
              <w:rPr>
                <w:color w:val="auto"/>
                <w:sz w:val="20"/>
                <w:highlight w:val="none"/>
              </w:rPr>
              <w:t>1</w:t>
            </w:r>
            <w:r>
              <w:rPr>
                <w:color w:val="auto"/>
                <w:spacing w:val="-22"/>
                <w:sz w:val="20"/>
                <w:highlight w:val="none"/>
              </w:rPr>
              <w:t xml:space="preserve"> 次优秀 </w:t>
            </w:r>
            <w:r>
              <w:rPr>
                <w:color w:val="auto"/>
                <w:sz w:val="20"/>
                <w:highlight w:val="none"/>
              </w:rPr>
              <w:t>1</w:t>
            </w:r>
            <w:r>
              <w:rPr>
                <w:color w:val="auto"/>
                <w:spacing w:val="-12"/>
                <w:sz w:val="20"/>
                <w:highlight w:val="none"/>
              </w:rPr>
              <w:t xml:space="preserve"> 分，最高</w:t>
            </w:r>
          </w:p>
          <w:p>
            <w:pPr>
              <w:pStyle w:val="44"/>
              <w:spacing w:before="56"/>
              <w:ind w:left="15"/>
              <w:rPr>
                <w:color w:val="auto"/>
                <w:sz w:val="20"/>
                <w:highlight w:val="none"/>
              </w:rPr>
            </w:pPr>
            <w:r>
              <w:rPr>
                <w:color w:val="auto"/>
                <w:sz w:val="20"/>
                <w:highlight w:val="none"/>
              </w:rPr>
              <w:t>2 分。(2 分)</w:t>
            </w:r>
          </w:p>
        </w:tc>
        <w:tc>
          <w:tcPr>
            <w:tcW w:w="1397" w:type="dxa"/>
          </w:tcPr>
          <w:p>
            <w:pPr>
              <w:pStyle w:val="44"/>
              <w:rPr>
                <w:rFonts w:ascii="Times New Roman"/>
                <w:color w:val="auto"/>
                <w:sz w:val="18"/>
                <w:highlight w:val="none"/>
              </w:rPr>
            </w:pPr>
          </w:p>
        </w:tc>
      </w:tr>
    </w:tbl>
    <w:p>
      <w:pPr>
        <w:pStyle w:val="6"/>
        <w:rPr>
          <w:color w:val="auto"/>
          <w:sz w:val="20"/>
          <w:highlight w:val="none"/>
        </w:rPr>
      </w:pPr>
    </w:p>
    <w:p>
      <w:pPr>
        <w:pStyle w:val="6"/>
        <w:spacing w:before="1"/>
        <w:rPr>
          <w:color w:val="auto"/>
          <w:sz w:val="25"/>
          <w:highlight w:val="none"/>
        </w:rPr>
      </w:pPr>
    </w:p>
    <w:p>
      <w:pPr>
        <w:spacing w:before="71"/>
        <w:ind w:left="120" w:right="0" w:firstLine="0"/>
        <w:jc w:val="left"/>
        <w:rPr>
          <w:color w:val="auto"/>
          <w:sz w:val="20"/>
          <w:highlight w:val="none"/>
        </w:rPr>
      </w:pPr>
      <w:r>
        <w:rPr>
          <w:color w:val="auto"/>
          <w:sz w:val="20"/>
          <w:highlight w:val="none"/>
        </w:rPr>
        <w:t>备注:</w:t>
      </w:r>
    </w:p>
    <w:p>
      <w:pPr>
        <w:pStyle w:val="35"/>
        <w:numPr>
          <w:ilvl w:val="0"/>
          <w:numId w:val="9"/>
        </w:numPr>
        <w:tabs>
          <w:tab w:val="left" w:pos="322"/>
        </w:tabs>
        <w:spacing w:before="56" w:after="0" w:line="292" w:lineRule="auto"/>
        <w:ind w:left="120" w:right="356" w:firstLine="0"/>
        <w:jc w:val="both"/>
        <w:rPr>
          <w:color w:val="auto"/>
          <w:sz w:val="20"/>
          <w:highlight w:val="none"/>
        </w:rPr>
      </w:pPr>
      <w:r>
        <w:rPr>
          <w:color w:val="auto"/>
          <w:spacing w:val="-5"/>
          <w:w w:val="95"/>
          <w:sz w:val="20"/>
          <w:highlight w:val="none"/>
        </w:rPr>
        <w:t>本评审指标中涉及到的工作量、工作成绩、教学、科研、获奖情况等指标,均要求在专职辅导员</w:t>
      </w:r>
      <w:r>
        <w:rPr>
          <w:color w:val="auto"/>
          <w:w w:val="95"/>
          <w:sz w:val="20"/>
          <w:highlight w:val="none"/>
        </w:rPr>
        <w:t xml:space="preserve">（班主   </w:t>
      </w:r>
      <w:r>
        <w:rPr>
          <w:color w:val="auto"/>
          <w:sz w:val="20"/>
          <w:highlight w:val="none"/>
        </w:rPr>
        <w:t>任）工作职责之内。专职辅导员（班主任）工作职责参见《普通高等学校辅导员（班主任）队伍建设规</w:t>
      </w:r>
      <w:r>
        <w:rPr>
          <w:color w:val="auto"/>
          <w:spacing w:val="-6"/>
          <w:sz w:val="20"/>
          <w:highlight w:val="none"/>
        </w:rPr>
        <w:t xml:space="preserve">定》(教育部令第 </w:t>
      </w:r>
      <w:r>
        <w:rPr>
          <w:color w:val="auto"/>
          <w:sz w:val="20"/>
          <w:highlight w:val="none"/>
        </w:rPr>
        <w:t>43</w:t>
      </w:r>
      <w:r>
        <w:rPr>
          <w:color w:val="auto"/>
          <w:spacing w:val="-14"/>
          <w:sz w:val="20"/>
          <w:highlight w:val="none"/>
        </w:rPr>
        <w:t xml:space="preserve"> 号)。</w:t>
      </w:r>
    </w:p>
    <w:p>
      <w:pPr>
        <w:pStyle w:val="35"/>
        <w:numPr>
          <w:ilvl w:val="0"/>
          <w:numId w:val="9"/>
        </w:numPr>
        <w:tabs>
          <w:tab w:val="left" w:pos="322"/>
        </w:tabs>
        <w:spacing w:before="0" w:after="0" w:line="254" w:lineRule="exact"/>
        <w:ind w:left="321" w:right="0" w:hanging="202"/>
        <w:jc w:val="left"/>
        <w:rPr>
          <w:color w:val="auto"/>
          <w:sz w:val="20"/>
          <w:highlight w:val="none"/>
        </w:rPr>
      </w:pPr>
      <w:r>
        <w:rPr>
          <w:color w:val="auto"/>
          <w:sz w:val="20"/>
          <w:highlight w:val="none"/>
        </w:rPr>
        <w:t>本评审指标须在满足评审基本条件的基础上进行,评审基本条件参见本办法第二章。</w:t>
      </w:r>
    </w:p>
    <w:p>
      <w:pPr>
        <w:pStyle w:val="35"/>
        <w:numPr>
          <w:ilvl w:val="0"/>
          <w:numId w:val="9"/>
        </w:numPr>
        <w:tabs>
          <w:tab w:val="left" w:pos="322"/>
        </w:tabs>
        <w:spacing w:before="56" w:after="0" w:line="240" w:lineRule="auto"/>
        <w:ind w:left="321" w:right="0" w:hanging="202"/>
        <w:jc w:val="left"/>
        <w:rPr>
          <w:color w:val="auto"/>
          <w:sz w:val="20"/>
          <w:highlight w:val="none"/>
        </w:rPr>
      </w:pPr>
      <w:r>
        <w:rPr>
          <w:color w:val="auto"/>
          <w:sz w:val="20"/>
          <w:highlight w:val="none"/>
        </w:rPr>
        <w:t>本评审指标“合格率”、“优秀率”、“满意率”、“年度考核优秀”以学校的规定为准。</w:t>
      </w:r>
    </w:p>
    <w:p>
      <w:pPr>
        <w:pStyle w:val="35"/>
        <w:numPr>
          <w:ilvl w:val="0"/>
          <w:numId w:val="9"/>
        </w:numPr>
        <w:tabs>
          <w:tab w:val="left" w:pos="322"/>
        </w:tabs>
        <w:spacing w:before="56" w:after="0" w:line="240" w:lineRule="auto"/>
        <w:ind w:left="321" w:right="0" w:hanging="202"/>
        <w:jc w:val="left"/>
        <w:rPr>
          <w:color w:val="auto"/>
          <w:sz w:val="20"/>
          <w:highlight w:val="none"/>
        </w:rPr>
      </w:pPr>
      <w:r>
        <w:rPr>
          <w:color w:val="auto"/>
          <w:sz w:val="20"/>
          <w:highlight w:val="none"/>
        </w:rPr>
        <w:t>本评审指标中所有加分项所用的论文和奖项需在辅导员（班主任）岗位聘任期内获得。</w:t>
      </w:r>
    </w:p>
    <w:p>
      <w:pPr>
        <w:spacing w:after="0" w:line="240" w:lineRule="auto"/>
        <w:jc w:val="left"/>
        <w:rPr>
          <w:color w:val="auto"/>
          <w:sz w:val="20"/>
          <w:highlight w:val="none"/>
        </w:rPr>
        <w:sectPr>
          <w:pgSz w:w="11910" w:h="16840"/>
          <w:pgMar w:top="1400" w:right="700" w:bottom="1984" w:left="1680" w:header="720" w:footer="720" w:gutter="0"/>
          <w:pgNumType w:fmt="decimal"/>
          <w:cols w:space="720" w:num="1"/>
          <w:rtlGutter w:val="0"/>
        </w:sectPr>
      </w:pPr>
    </w:p>
    <w:p>
      <w:pPr>
        <w:pStyle w:val="6"/>
        <w:spacing w:before="9"/>
        <w:ind w:left="760"/>
        <w:rPr>
          <w:color w:val="auto"/>
          <w:highlight w:val="none"/>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page">
                  <wp:posOffset>1130300</wp:posOffset>
                </wp:positionH>
                <wp:positionV relativeFrom="paragraph">
                  <wp:posOffset>305435</wp:posOffset>
                </wp:positionV>
                <wp:extent cx="5838825" cy="806386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838825" cy="8063865"/>
                        </a:xfrm>
                        <a:prstGeom prst="rect">
                          <a:avLst/>
                        </a:prstGeom>
                        <a:noFill/>
                        <a:ln>
                          <a:noFill/>
                        </a:ln>
                      </wps:spPr>
                      <wps:txbx>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6337"/>
                              <w:gridCol w:w="1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7" w:hRule="atLeast"/>
                              </w:trPr>
                              <w:tc>
                                <w:tcPr>
                                  <w:tcW w:w="9180" w:type="dxa"/>
                                  <w:gridSpan w:val="3"/>
                                </w:tcPr>
                                <w:p>
                                  <w:pPr>
                                    <w:pStyle w:val="44"/>
                                    <w:spacing w:before="236" w:line="417" w:lineRule="auto"/>
                                    <w:ind w:left="93" w:right="78"/>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科评审指标参考体系（讲师）</w:t>
                                  </w:r>
                                </w:p>
                                <w:p>
                                  <w:pPr>
                                    <w:pStyle w:val="44"/>
                                    <w:spacing w:line="358" w:lineRule="exact"/>
                                    <w:ind w:left="86" w:right="78"/>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tcPr>
                                <w:p>
                                  <w:pPr>
                                    <w:pStyle w:val="44"/>
                                    <w:spacing w:before="77"/>
                                    <w:ind w:left="314"/>
                                    <w:rPr>
                                      <w:sz w:val="20"/>
                                    </w:rPr>
                                  </w:pPr>
                                  <w:r>
                                    <w:rPr>
                                      <w:sz w:val="20"/>
                                    </w:rPr>
                                    <w:t>一级指标</w:t>
                                  </w:r>
                                </w:p>
                              </w:tc>
                              <w:tc>
                                <w:tcPr>
                                  <w:tcW w:w="6337" w:type="dxa"/>
                                </w:tcPr>
                                <w:p>
                                  <w:pPr>
                                    <w:pStyle w:val="44"/>
                                    <w:spacing w:before="77"/>
                                    <w:ind w:left="2746" w:right="2741"/>
                                    <w:jc w:val="center"/>
                                    <w:rPr>
                                      <w:sz w:val="20"/>
                                    </w:rPr>
                                  </w:pPr>
                                  <w:r>
                                    <w:rPr>
                                      <w:sz w:val="20"/>
                                    </w:rPr>
                                    <w:t>二级指标</w:t>
                                  </w:r>
                                </w:p>
                              </w:tc>
                              <w:tc>
                                <w:tcPr>
                                  <w:tcW w:w="1412" w:type="dxa"/>
                                </w:tcPr>
                                <w:p>
                                  <w:pPr>
                                    <w:pStyle w:val="44"/>
                                    <w:spacing w:before="77"/>
                                    <w:ind w:left="484" w:right="478"/>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8"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3"/>
                                    <w:rPr>
                                      <w:rFonts w:ascii="方正仿宋_GBK"/>
                                      <w:sz w:val="18"/>
                                    </w:rPr>
                                  </w:pPr>
                                </w:p>
                                <w:p>
                                  <w:pPr>
                                    <w:pStyle w:val="44"/>
                                    <w:spacing w:line="292" w:lineRule="auto"/>
                                    <w:ind w:left="513" w:right="3" w:hanging="500"/>
                                    <w:rPr>
                                      <w:sz w:val="20"/>
                                    </w:rPr>
                                  </w:pPr>
                                  <w:r>
                                    <w:rPr>
                                      <w:spacing w:val="-17"/>
                                      <w:sz w:val="20"/>
                                    </w:rPr>
                                    <w:t>一、思政素养</w:t>
                                  </w:r>
                                  <w:r>
                                    <w:rPr>
                                      <w:spacing w:val="-7"/>
                                      <w:sz w:val="20"/>
                                    </w:rPr>
                                    <w:t xml:space="preserve">（5 </w:t>
                                  </w:r>
                                  <w:r>
                                    <w:rPr>
                                      <w:sz w:val="20"/>
                                    </w:rPr>
                                    <w:t>分）</w:t>
                                  </w:r>
                                </w:p>
                              </w:tc>
                              <w:tc>
                                <w:tcPr>
                                  <w:tcW w:w="6337" w:type="dxa"/>
                                </w:tcPr>
                                <w:p>
                                  <w:pPr>
                                    <w:pStyle w:val="44"/>
                                    <w:spacing w:before="6"/>
                                    <w:rPr>
                                      <w:rFonts w:ascii="方正仿宋_GBK"/>
                                      <w:sz w:val="17"/>
                                    </w:rPr>
                                  </w:pPr>
                                </w:p>
                                <w:p>
                                  <w:pPr>
                                    <w:pStyle w:val="44"/>
                                    <w:spacing w:line="292" w:lineRule="auto"/>
                                    <w:ind w:left="14" w:right="11"/>
                                    <w:jc w:val="both"/>
                                    <w:rPr>
                                      <w:sz w:val="20"/>
                                    </w:rPr>
                                  </w:pPr>
                                  <w:r>
                                    <w:rPr>
                                      <w:w w:val="95"/>
                                      <w:sz w:val="20"/>
                                    </w:rPr>
                                    <w:t xml:space="preserve">1、政治立场坚定,热爱祖国，坚定不移拥护中国共产党领导,高举中国特  色社会主义伟大旗帜,全面贯彻党的教育方针。能根据高等教育发展要求  </w:t>
                                  </w:r>
                                  <w:r>
                                    <w:rPr>
                                      <w:sz w:val="20"/>
                                    </w:rPr>
                                    <w:t>结合学生实际开展工作。(1</w:t>
                                  </w:r>
                                  <w:r>
                                    <w:rPr>
                                      <w:spacing w:val="-26"/>
                                      <w:sz w:val="20"/>
                                    </w:rPr>
                                    <w:t xml:space="preserve"> 分</w:t>
                                  </w:r>
                                  <w:r>
                                    <w:rPr>
                                      <w:sz w:val="20"/>
                                    </w:rPr>
                                    <w:t>）</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2、富有爱心和责任心,真诚关爱和正确引导学生。(1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3、具有良好的道德品质和文明的举止言行。(1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6"/>
                                    <w:ind w:left="14"/>
                                    <w:rPr>
                                      <w:sz w:val="20"/>
                                    </w:rPr>
                                  </w:pPr>
                                  <w:r>
                                    <w:rPr>
                                      <w:sz w:val="20"/>
                                    </w:rPr>
                                    <w:t>4、管理工作公开公平公正,法治理念与人文关怀相结合。(1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5、无违反工作纪律行为。(1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4"/>
                                    <w:rPr>
                                      <w:rFonts w:ascii="方正仿宋_GBK"/>
                                      <w:sz w:val="28"/>
                                    </w:rPr>
                                  </w:pPr>
                                </w:p>
                                <w:p>
                                  <w:pPr>
                                    <w:pStyle w:val="44"/>
                                    <w:spacing w:line="292" w:lineRule="auto"/>
                                    <w:ind w:left="513" w:right="3" w:hanging="500"/>
                                    <w:rPr>
                                      <w:sz w:val="20"/>
                                    </w:rPr>
                                  </w:pPr>
                                  <w:r>
                                    <w:rPr>
                                      <w:spacing w:val="-34"/>
                                      <w:sz w:val="20"/>
                                    </w:rPr>
                                    <w:t>二、职业能力</w:t>
                                  </w:r>
                                  <w:r>
                                    <w:rPr>
                                      <w:spacing w:val="-4"/>
                                      <w:sz w:val="20"/>
                                    </w:rPr>
                                    <w:t xml:space="preserve">（15 </w:t>
                                  </w:r>
                                  <w:r>
                                    <w:rPr>
                                      <w:sz w:val="20"/>
                                    </w:rPr>
                                    <w:t>分）</w:t>
                                  </w:r>
                                </w:p>
                              </w:tc>
                              <w:tc>
                                <w:tcPr>
                                  <w:tcW w:w="6337" w:type="dxa"/>
                                </w:tcPr>
                                <w:p>
                                  <w:pPr>
                                    <w:pStyle w:val="44"/>
                                    <w:spacing w:before="86" w:line="292" w:lineRule="auto"/>
                                    <w:ind w:left="14" w:right="11"/>
                                    <w:rPr>
                                      <w:sz w:val="20"/>
                                    </w:rPr>
                                  </w:pPr>
                                  <w:r>
                                    <w:rPr>
                                      <w:w w:val="95"/>
                                      <w:sz w:val="20"/>
                                    </w:rPr>
                                    <w:t xml:space="preserve">6、获得心理咨询师、职业指导师、创业指导师、就业指导、社工等职业  </w:t>
                                  </w:r>
                                  <w:r>
                                    <w:rPr>
                                      <w:sz w:val="20"/>
                                    </w:rPr>
                                    <w:t>资质证书或者校级相关培训合格证书或结业证明。(2</w:t>
                                  </w:r>
                                  <w:r>
                                    <w:rPr>
                                      <w:spacing w:val="-18"/>
                                      <w:sz w:val="20"/>
                                    </w:rPr>
                                    <w:t xml:space="preserve">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sz w:val="2"/>
                                      <w:szCs w:val="2"/>
                                    </w:rPr>
                                  </w:pPr>
                                </w:p>
                              </w:tc>
                              <w:tc>
                                <w:tcPr>
                                  <w:tcW w:w="6337" w:type="dxa"/>
                                </w:tcPr>
                                <w:p>
                                  <w:pPr>
                                    <w:pStyle w:val="44"/>
                                    <w:spacing w:before="43"/>
                                    <w:ind w:left="14"/>
                                    <w:rPr>
                                      <w:sz w:val="20"/>
                                    </w:rPr>
                                  </w:pPr>
                                  <w:r>
                                    <w:rPr>
                                      <w:sz w:val="20"/>
                                    </w:rPr>
                                    <w:t>7、在校级及以上辅导员（班主任）演讲、网文、征文等各类单项竞赛中</w:t>
                                  </w:r>
                                </w:p>
                                <w:p>
                                  <w:pPr>
                                    <w:pStyle w:val="44"/>
                                    <w:spacing w:before="56"/>
                                    <w:ind w:left="14"/>
                                    <w:rPr>
                                      <w:sz w:val="20"/>
                                    </w:rPr>
                                  </w:pPr>
                                  <w:r>
                                    <w:rPr>
                                      <w:sz w:val="20"/>
                                    </w:rPr>
                                    <w:t>获奖。(1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8、主持或参与校级及以上辅导员（班主任）精品项目工作任务。(2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9、在校级辅导员（班主任）职业能力大赛中获奖。(2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sz w:val="2"/>
                                      <w:szCs w:val="2"/>
                                    </w:rPr>
                                  </w:pPr>
                                </w:p>
                              </w:tc>
                              <w:tc>
                                <w:tcPr>
                                  <w:tcW w:w="6337" w:type="dxa"/>
                                </w:tcPr>
                                <w:p>
                                  <w:pPr>
                                    <w:pStyle w:val="44"/>
                                    <w:spacing w:before="45"/>
                                    <w:ind w:left="14"/>
                                    <w:rPr>
                                      <w:sz w:val="20"/>
                                    </w:rPr>
                                  </w:pPr>
                                  <w:r>
                                    <w:rPr>
                                      <w:sz w:val="20"/>
                                    </w:rPr>
                                    <w:t>10、获得校级年度优秀辅导员（班主任）或先进工作者及以上荣誉称号</w:t>
                                  </w:r>
                                </w:p>
                                <w:p>
                                  <w:pPr>
                                    <w:pStyle w:val="44"/>
                                    <w:spacing w:before="56"/>
                                    <w:ind w:left="14"/>
                                    <w:rPr>
                                      <w:sz w:val="20"/>
                                    </w:rPr>
                                  </w:pPr>
                                  <w:r>
                                    <w:rPr>
                                      <w:sz w:val="20"/>
                                    </w:rPr>
                                    <w:t>(3 分)</w:t>
                                  </w:r>
                                </w:p>
                              </w:tc>
                              <w:tc>
                                <w:tcPr>
                                  <w:tcW w:w="1412" w:type="dxa"/>
                                </w:tcPr>
                                <w:p>
                                  <w:pPr>
                                    <w:pStyle w:val="44"/>
                                    <w:spacing w:before="45"/>
                                    <w:ind w:left="-122"/>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sz w:val="2"/>
                                      <w:szCs w:val="2"/>
                                    </w:rPr>
                                  </w:pPr>
                                </w:p>
                              </w:tc>
                              <w:tc>
                                <w:tcPr>
                                  <w:tcW w:w="6337" w:type="dxa"/>
                                </w:tcPr>
                                <w:p>
                                  <w:pPr>
                                    <w:pStyle w:val="44"/>
                                    <w:spacing w:before="87" w:line="292" w:lineRule="auto"/>
                                    <w:ind w:left="14" w:right="6"/>
                                    <w:rPr>
                                      <w:sz w:val="20"/>
                                    </w:rPr>
                                  </w:pPr>
                                  <w:r>
                                    <w:rPr>
                                      <w:w w:val="95"/>
                                      <w:sz w:val="20"/>
                                    </w:rPr>
                                    <w:t>11</w:t>
                                  </w:r>
                                  <w:r>
                                    <w:rPr>
                                      <w:spacing w:val="-6"/>
                                      <w:w w:val="95"/>
                                      <w:sz w:val="20"/>
                                    </w:rPr>
                                    <w:t>、被评为云南省辅导员</w:t>
                                  </w:r>
                                  <w:r>
                                    <w:rPr>
                                      <w:w w:val="95"/>
                                      <w:sz w:val="20"/>
                                    </w:rPr>
                                    <w:t>（班主任</w:t>
                                  </w:r>
                                  <w:r>
                                    <w:rPr>
                                      <w:spacing w:val="-15"/>
                                      <w:w w:val="95"/>
                                      <w:sz w:val="20"/>
                                    </w:rPr>
                                    <w:t>）</w:t>
                                  </w:r>
                                  <w:r>
                                    <w:rPr>
                                      <w:spacing w:val="-7"/>
                                      <w:w w:val="95"/>
                                      <w:sz w:val="20"/>
                                    </w:rPr>
                                    <w:t xml:space="preserve">“年度人物”或“最受学生敬佩辅导  </w:t>
                                  </w:r>
                                  <w:r>
                                    <w:rPr>
                                      <w:spacing w:val="-7"/>
                                      <w:sz w:val="20"/>
                                    </w:rPr>
                                    <w:t>员（班主任）”等其他荣誉称号。(4</w:t>
                                  </w:r>
                                  <w:r>
                                    <w:rPr>
                                      <w:spacing w:val="-18"/>
                                      <w:sz w:val="20"/>
                                    </w:rPr>
                                    <w:t xml:space="preserve">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12、代表学院承担专项业务对接一年以上。(1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4"/>
                                    <w:rPr>
                                      <w:rFonts w:ascii="方正仿宋_GBK"/>
                                      <w:sz w:val="15"/>
                                    </w:rPr>
                                  </w:pPr>
                                </w:p>
                                <w:p>
                                  <w:pPr>
                                    <w:pStyle w:val="44"/>
                                    <w:spacing w:line="292" w:lineRule="auto"/>
                                    <w:ind w:left="513" w:right="3" w:hanging="500"/>
                                    <w:rPr>
                                      <w:sz w:val="20"/>
                                    </w:rPr>
                                  </w:pPr>
                                  <w:r>
                                    <w:rPr>
                                      <w:sz w:val="20"/>
                                    </w:rPr>
                                    <w:t>三、工作量（40 分）</w:t>
                                  </w:r>
                                </w:p>
                              </w:tc>
                              <w:tc>
                                <w:tcPr>
                                  <w:tcW w:w="6337" w:type="dxa"/>
                                </w:tcPr>
                                <w:p>
                                  <w:pPr>
                                    <w:pStyle w:val="44"/>
                                    <w:spacing w:before="86"/>
                                    <w:ind w:left="14"/>
                                    <w:rPr>
                                      <w:sz w:val="20"/>
                                    </w:rPr>
                                  </w:pPr>
                                  <w:r>
                                    <w:rPr>
                                      <w:sz w:val="20"/>
                                    </w:rPr>
                                    <w:t>13、履职辅导员（班主任）工作满 3 年基础上，每担任辅导员（班主任</w:t>
                                  </w:r>
                                </w:p>
                                <w:p>
                                  <w:pPr>
                                    <w:pStyle w:val="44"/>
                                    <w:spacing w:before="56"/>
                                    <w:ind w:left="14"/>
                                    <w:rPr>
                                      <w:sz w:val="20"/>
                                    </w:rPr>
                                  </w:pPr>
                                  <w:r>
                                    <w:rPr>
                                      <w:sz w:val="20"/>
                                    </w:rPr>
                                    <w:t>工作满 1 年加 1 分,最高 2 分。(2 分)</w:t>
                                  </w:r>
                                </w:p>
                              </w:tc>
                              <w:tc>
                                <w:tcPr>
                                  <w:tcW w:w="1412" w:type="dxa"/>
                                </w:tcPr>
                                <w:p>
                                  <w:pPr>
                                    <w:pStyle w:val="44"/>
                                    <w:spacing w:before="86"/>
                                    <w:ind w:left="-122"/>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continue"/>
                                  <w:tcBorders>
                                    <w:top w:val="nil"/>
                                  </w:tcBorders>
                                </w:tcPr>
                                <w:p>
                                  <w:pPr>
                                    <w:rPr>
                                      <w:sz w:val="2"/>
                                      <w:szCs w:val="2"/>
                                    </w:rPr>
                                  </w:pPr>
                                </w:p>
                              </w:tc>
                              <w:tc>
                                <w:tcPr>
                                  <w:tcW w:w="6337" w:type="dxa"/>
                                </w:tcPr>
                                <w:p>
                                  <w:pPr>
                                    <w:pStyle w:val="44"/>
                                    <w:spacing w:before="86" w:line="292" w:lineRule="auto"/>
                                    <w:ind w:left="14" w:right="11"/>
                                    <w:rPr>
                                      <w:sz w:val="20"/>
                                    </w:rPr>
                                  </w:pPr>
                                  <w:r>
                                    <w:rPr>
                                      <w:w w:val="95"/>
                                      <w:sz w:val="20"/>
                                    </w:rPr>
                                    <w:t xml:space="preserve">14、独立完成一个年级的辅导员（班主任）工作,或者所负责辅导学生数  </w:t>
                                  </w:r>
                                  <w:r>
                                    <w:rPr>
                                      <w:sz w:val="20"/>
                                    </w:rPr>
                                    <w:t>量符合教育部师生比规定。(1</w:t>
                                  </w:r>
                                  <w:r>
                                    <w:rPr>
                                      <w:spacing w:val="-26"/>
                                      <w:sz w:val="20"/>
                                    </w:rPr>
                                    <w:t xml:space="preserve"> 分</w:t>
                                  </w:r>
                                  <w:r>
                                    <w:rPr>
                                      <w:sz w:val="20"/>
                                    </w:rPr>
                                    <w:t>）</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31" w:type="dxa"/>
                                  <w:vMerge w:val="continue"/>
                                  <w:tcBorders>
                                    <w:top w:val="nil"/>
                                  </w:tcBorders>
                                </w:tcPr>
                                <w:p>
                                  <w:pPr>
                                    <w:rPr>
                                      <w:sz w:val="2"/>
                                      <w:szCs w:val="2"/>
                                    </w:rPr>
                                  </w:pPr>
                                </w:p>
                              </w:tc>
                              <w:tc>
                                <w:tcPr>
                                  <w:tcW w:w="6337" w:type="dxa"/>
                                </w:tcPr>
                                <w:p>
                                  <w:pPr>
                                    <w:pStyle w:val="44"/>
                                    <w:spacing w:before="43"/>
                                    <w:ind w:left="14"/>
                                    <w:rPr>
                                      <w:sz w:val="20"/>
                                    </w:rPr>
                                  </w:pPr>
                                  <w:r>
                                    <w:rPr>
                                      <w:sz w:val="20"/>
                                    </w:rPr>
                                    <w:t>15</w:t>
                                  </w:r>
                                  <w:r>
                                    <w:rPr>
                                      <w:spacing w:val="-9"/>
                                      <w:sz w:val="20"/>
                                    </w:rPr>
                                    <w:t>、兼任院系党委(支部)副书记或者团委(总支)书记、学生党总支书记等</w:t>
                                  </w:r>
                                </w:p>
                                <w:p>
                                  <w:pPr>
                                    <w:pStyle w:val="44"/>
                                    <w:spacing w:before="56"/>
                                    <w:ind w:left="14"/>
                                    <w:rPr>
                                      <w:sz w:val="20"/>
                                    </w:rPr>
                                  </w:pPr>
                                  <w:r>
                                    <w:rPr>
                                      <w:sz w:val="20"/>
                                    </w:rPr>
                                    <w:t>工作。(2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16、完成学校的政治学习、值班等工作任务。(1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17、关注学生成长环境,及时做好家校联系,并有相关记录。(4 分)</w:t>
                                  </w:r>
                                </w:p>
                              </w:tc>
                              <w:tc>
                                <w:tcPr>
                                  <w:tcW w:w="1412" w:type="dxa"/>
                                </w:tcPr>
                                <w:p>
                                  <w:pPr>
                                    <w:pStyle w:val="44"/>
                                    <w:rPr>
                                      <w:rFonts w:ascii="Times New Roman"/>
                                      <w:sz w:val="20"/>
                                    </w:rPr>
                                  </w:pPr>
                                </w:p>
                              </w:tc>
                            </w:tr>
                          </w:tbl>
                          <w:p>
                            <w:pPr>
                              <w:pStyle w:val="6"/>
                            </w:pPr>
                          </w:p>
                        </w:txbxContent>
                      </wps:txbx>
                      <wps:bodyPr lIns="0" tIns="0" rIns="0" bIns="0" upright="1"/>
                    </wps:wsp>
                  </a:graphicData>
                </a:graphic>
              </wp:anchor>
            </w:drawing>
          </mc:Choice>
          <mc:Fallback>
            <w:pict>
              <v:shape id="_x0000_s1026" o:spid="_x0000_s1026" o:spt="202" type="#_x0000_t202" style="position:absolute;left:0pt;margin-left:89pt;margin-top:24.05pt;height:634.95pt;width:459.75pt;mso-position-horizontal-relative:page;z-index:251663360;mso-width-relative:page;mso-height-relative:page;" filled="f" stroked="f" coordsize="21600,21600" o:gfxdata="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W6eep2gAAAAwBAAAPAAAAAAAAAAEAIAAAACIAAABkcnMvZG93bnJldi54bWxQ&#10;SwECFAAUAAAACACHTuJAJ1gnorwBAABzAwAADgAAAAAAAAABACAAAAApAQAAZHJzL2Uyb0RvYy54&#10;bWxQSwUGAAAAAAYABgBZAQAAVwUAAAAA&#10;">
                <v:fill on="f" focussize="0,0"/>
                <v:stroke on="f"/>
                <v:imagedata o:title=""/>
                <o:lock v:ext="edit" aspectratio="f"/>
                <v:textbox inset="0mm,0mm,0mm,0mm">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6337"/>
                        <w:gridCol w:w="1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7" w:hRule="atLeast"/>
                        </w:trPr>
                        <w:tc>
                          <w:tcPr>
                            <w:tcW w:w="9180" w:type="dxa"/>
                            <w:gridSpan w:val="3"/>
                          </w:tcPr>
                          <w:p>
                            <w:pPr>
                              <w:pStyle w:val="44"/>
                              <w:spacing w:before="236" w:line="417" w:lineRule="auto"/>
                              <w:ind w:left="93" w:right="78"/>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科评审指标参考体系（讲师）</w:t>
                            </w:r>
                          </w:p>
                          <w:p>
                            <w:pPr>
                              <w:pStyle w:val="44"/>
                              <w:spacing w:line="358" w:lineRule="exact"/>
                              <w:ind w:left="86" w:right="78"/>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tcPr>
                          <w:p>
                            <w:pPr>
                              <w:pStyle w:val="44"/>
                              <w:spacing w:before="77"/>
                              <w:ind w:left="314"/>
                              <w:rPr>
                                <w:sz w:val="20"/>
                              </w:rPr>
                            </w:pPr>
                            <w:r>
                              <w:rPr>
                                <w:sz w:val="20"/>
                              </w:rPr>
                              <w:t>一级指标</w:t>
                            </w:r>
                          </w:p>
                        </w:tc>
                        <w:tc>
                          <w:tcPr>
                            <w:tcW w:w="6337" w:type="dxa"/>
                          </w:tcPr>
                          <w:p>
                            <w:pPr>
                              <w:pStyle w:val="44"/>
                              <w:spacing w:before="77"/>
                              <w:ind w:left="2746" w:right="2741"/>
                              <w:jc w:val="center"/>
                              <w:rPr>
                                <w:sz w:val="20"/>
                              </w:rPr>
                            </w:pPr>
                            <w:r>
                              <w:rPr>
                                <w:sz w:val="20"/>
                              </w:rPr>
                              <w:t>二级指标</w:t>
                            </w:r>
                          </w:p>
                        </w:tc>
                        <w:tc>
                          <w:tcPr>
                            <w:tcW w:w="1412" w:type="dxa"/>
                          </w:tcPr>
                          <w:p>
                            <w:pPr>
                              <w:pStyle w:val="44"/>
                              <w:spacing w:before="77"/>
                              <w:ind w:left="484" w:right="478"/>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8"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3"/>
                              <w:rPr>
                                <w:rFonts w:ascii="方正仿宋_GBK"/>
                                <w:sz w:val="18"/>
                              </w:rPr>
                            </w:pPr>
                          </w:p>
                          <w:p>
                            <w:pPr>
                              <w:pStyle w:val="44"/>
                              <w:spacing w:line="292" w:lineRule="auto"/>
                              <w:ind w:left="513" w:right="3" w:hanging="500"/>
                              <w:rPr>
                                <w:sz w:val="20"/>
                              </w:rPr>
                            </w:pPr>
                            <w:r>
                              <w:rPr>
                                <w:spacing w:val="-17"/>
                                <w:sz w:val="20"/>
                              </w:rPr>
                              <w:t>一、思政素养</w:t>
                            </w:r>
                            <w:r>
                              <w:rPr>
                                <w:spacing w:val="-7"/>
                                <w:sz w:val="20"/>
                              </w:rPr>
                              <w:t xml:space="preserve">（5 </w:t>
                            </w:r>
                            <w:r>
                              <w:rPr>
                                <w:sz w:val="20"/>
                              </w:rPr>
                              <w:t>分）</w:t>
                            </w:r>
                          </w:p>
                        </w:tc>
                        <w:tc>
                          <w:tcPr>
                            <w:tcW w:w="6337" w:type="dxa"/>
                          </w:tcPr>
                          <w:p>
                            <w:pPr>
                              <w:pStyle w:val="44"/>
                              <w:spacing w:before="6"/>
                              <w:rPr>
                                <w:rFonts w:ascii="方正仿宋_GBK"/>
                                <w:sz w:val="17"/>
                              </w:rPr>
                            </w:pPr>
                          </w:p>
                          <w:p>
                            <w:pPr>
                              <w:pStyle w:val="44"/>
                              <w:spacing w:line="292" w:lineRule="auto"/>
                              <w:ind w:left="14" w:right="11"/>
                              <w:jc w:val="both"/>
                              <w:rPr>
                                <w:sz w:val="20"/>
                              </w:rPr>
                            </w:pPr>
                            <w:r>
                              <w:rPr>
                                <w:w w:val="95"/>
                                <w:sz w:val="20"/>
                              </w:rPr>
                              <w:t xml:space="preserve">1、政治立场坚定,热爱祖国，坚定不移拥护中国共产党领导,高举中国特  色社会主义伟大旗帜,全面贯彻党的教育方针。能根据高等教育发展要求  </w:t>
                            </w:r>
                            <w:r>
                              <w:rPr>
                                <w:sz w:val="20"/>
                              </w:rPr>
                              <w:t>结合学生实际开展工作。(1</w:t>
                            </w:r>
                            <w:r>
                              <w:rPr>
                                <w:spacing w:val="-26"/>
                                <w:sz w:val="20"/>
                              </w:rPr>
                              <w:t xml:space="preserve"> 分</w:t>
                            </w:r>
                            <w:r>
                              <w:rPr>
                                <w:sz w:val="20"/>
                              </w:rPr>
                              <w:t>）</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2、富有爱心和责任心,真诚关爱和正确引导学生。(1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3、具有良好的道德品质和文明的举止言行。(1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6"/>
                              <w:ind w:left="14"/>
                              <w:rPr>
                                <w:sz w:val="20"/>
                              </w:rPr>
                            </w:pPr>
                            <w:r>
                              <w:rPr>
                                <w:sz w:val="20"/>
                              </w:rPr>
                              <w:t>4、管理工作公开公平公正,法治理念与人文关怀相结合。(1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5、无违反工作纪律行为。(1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4"/>
                              <w:rPr>
                                <w:rFonts w:ascii="方正仿宋_GBK"/>
                                <w:sz w:val="28"/>
                              </w:rPr>
                            </w:pPr>
                          </w:p>
                          <w:p>
                            <w:pPr>
                              <w:pStyle w:val="44"/>
                              <w:spacing w:line="292" w:lineRule="auto"/>
                              <w:ind w:left="513" w:right="3" w:hanging="500"/>
                              <w:rPr>
                                <w:sz w:val="20"/>
                              </w:rPr>
                            </w:pPr>
                            <w:r>
                              <w:rPr>
                                <w:spacing w:val="-34"/>
                                <w:sz w:val="20"/>
                              </w:rPr>
                              <w:t>二、职业能力</w:t>
                            </w:r>
                            <w:r>
                              <w:rPr>
                                <w:spacing w:val="-4"/>
                                <w:sz w:val="20"/>
                              </w:rPr>
                              <w:t xml:space="preserve">（15 </w:t>
                            </w:r>
                            <w:r>
                              <w:rPr>
                                <w:sz w:val="20"/>
                              </w:rPr>
                              <w:t>分）</w:t>
                            </w:r>
                          </w:p>
                        </w:tc>
                        <w:tc>
                          <w:tcPr>
                            <w:tcW w:w="6337" w:type="dxa"/>
                          </w:tcPr>
                          <w:p>
                            <w:pPr>
                              <w:pStyle w:val="44"/>
                              <w:spacing w:before="86" w:line="292" w:lineRule="auto"/>
                              <w:ind w:left="14" w:right="11"/>
                              <w:rPr>
                                <w:sz w:val="20"/>
                              </w:rPr>
                            </w:pPr>
                            <w:r>
                              <w:rPr>
                                <w:w w:val="95"/>
                                <w:sz w:val="20"/>
                              </w:rPr>
                              <w:t xml:space="preserve">6、获得心理咨询师、职业指导师、创业指导师、就业指导、社工等职业  </w:t>
                            </w:r>
                            <w:r>
                              <w:rPr>
                                <w:sz w:val="20"/>
                              </w:rPr>
                              <w:t>资质证书或者校级相关培训合格证书或结业证明。(2</w:t>
                            </w:r>
                            <w:r>
                              <w:rPr>
                                <w:spacing w:val="-18"/>
                                <w:sz w:val="20"/>
                              </w:rPr>
                              <w:t xml:space="preserve">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sz w:val="2"/>
                                <w:szCs w:val="2"/>
                              </w:rPr>
                            </w:pPr>
                          </w:p>
                        </w:tc>
                        <w:tc>
                          <w:tcPr>
                            <w:tcW w:w="6337" w:type="dxa"/>
                          </w:tcPr>
                          <w:p>
                            <w:pPr>
                              <w:pStyle w:val="44"/>
                              <w:spacing w:before="43"/>
                              <w:ind w:left="14"/>
                              <w:rPr>
                                <w:sz w:val="20"/>
                              </w:rPr>
                            </w:pPr>
                            <w:r>
                              <w:rPr>
                                <w:sz w:val="20"/>
                              </w:rPr>
                              <w:t>7、在校级及以上辅导员（班主任）演讲、网文、征文等各类单项竞赛中</w:t>
                            </w:r>
                          </w:p>
                          <w:p>
                            <w:pPr>
                              <w:pStyle w:val="44"/>
                              <w:spacing w:before="56"/>
                              <w:ind w:left="14"/>
                              <w:rPr>
                                <w:sz w:val="20"/>
                              </w:rPr>
                            </w:pPr>
                            <w:r>
                              <w:rPr>
                                <w:sz w:val="20"/>
                              </w:rPr>
                              <w:t>获奖。(1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8、主持或参与校级及以上辅导员（班主任）精品项目工作任务。(2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9、在校级辅导员（班主任）职业能力大赛中获奖。(2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sz w:val="2"/>
                                <w:szCs w:val="2"/>
                              </w:rPr>
                            </w:pPr>
                          </w:p>
                        </w:tc>
                        <w:tc>
                          <w:tcPr>
                            <w:tcW w:w="6337" w:type="dxa"/>
                          </w:tcPr>
                          <w:p>
                            <w:pPr>
                              <w:pStyle w:val="44"/>
                              <w:spacing w:before="45"/>
                              <w:ind w:left="14"/>
                              <w:rPr>
                                <w:sz w:val="20"/>
                              </w:rPr>
                            </w:pPr>
                            <w:r>
                              <w:rPr>
                                <w:sz w:val="20"/>
                              </w:rPr>
                              <w:t>10、获得校级年度优秀辅导员（班主任）或先进工作者及以上荣誉称号</w:t>
                            </w:r>
                          </w:p>
                          <w:p>
                            <w:pPr>
                              <w:pStyle w:val="44"/>
                              <w:spacing w:before="56"/>
                              <w:ind w:left="14"/>
                              <w:rPr>
                                <w:sz w:val="20"/>
                              </w:rPr>
                            </w:pPr>
                            <w:r>
                              <w:rPr>
                                <w:sz w:val="20"/>
                              </w:rPr>
                              <w:t>(3 分)</w:t>
                            </w:r>
                          </w:p>
                        </w:tc>
                        <w:tc>
                          <w:tcPr>
                            <w:tcW w:w="1412" w:type="dxa"/>
                          </w:tcPr>
                          <w:p>
                            <w:pPr>
                              <w:pStyle w:val="44"/>
                              <w:spacing w:before="45"/>
                              <w:ind w:left="-122"/>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sz w:val="2"/>
                                <w:szCs w:val="2"/>
                              </w:rPr>
                            </w:pPr>
                          </w:p>
                        </w:tc>
                        <w:tc>
                          <w:tcPr>
                            <w:tcW w:w="6337" w:type="dxa"/>
                          </w:tcPr>
                          <w:p>
                            <w:pPr>
                              <w:pStyle w:val="44"/>
                              <w:spacing w:before="87" w:line="292" w:lineRule="auto"/>
                              <w:ind w:left="14" w:right="6"/>
                              <w:rPr>
                                <w:sz w:val="20"/>
                              </w:rPr>
                            </w:pPr>
                            <w:r>
                              <w:rPr>
                                <w:w w:val="95"/>
                                <w:sz w:val="20"/>
                              </w:rPr>
                              <w:t>11</w:t>
                            </w:r>
                            <w:r>
                              <w:rPr>
                                <w:spacing w:val="-6"/>
                                <w:w w:val="95"/>
                                <w:sz w:val="20"/>
                              </w:rPr>
                              <w:t>、被评为云南省辅导员</w:t>
                            </w:r>
                            <w:r>
                              <w:rPr>
                                <w:w w:val="95"/>
                                <w:sz w:val="20"/>
                              </w:rPr>
                              <w:t>（班主任</w:t>
                            </w:r>
                            <w:r>
                              <w:rPr>
                                <w:spacing w:val="-15"/>
                                <w:w w:val="95"/>
                                <w:sz w:val="20"/>
                              </w:rPr>
                              <w:t>）</w:t>
                            </w:r>
                            <w:r>
                              <w:rPr>
                                <w:spacing w:val="-7"/>
                                <w:w w:val="95"/>
                                <w:sz w:val="20"/>
                              </w:rPr>
                              <w:t xml:space="preserve">“年度人物”或“最受学生敬佩辅导  </w:t>
                            </w:r>
                            <w:r>
                              <w:rPr>
                                <w:spacing w:val="-7"/>
                                <w:sz w:val="20"/>
                              </w:rPr>
                              <w:t>员（班主任）”等其他荣誉称号。(4</w:t>
                            </w:r>
                            <w:r>
                              <w:rPr>
                                <w:spacing w:val="-18"/>
                                <w:sz w:val="20"/>
                              </w:rPr>
                              <w:t xml:space="preserve">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12、代表学院承担专项业务对接一年以上。(1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4"/>
                              <w:rPr>
                                <w:rFonts w:ascii="方正仿宋_GBK"/>
                                <w:sz w:val="15"/>
                              </w:rPr>
                            </w:pPr>
                          </w:p>
                          <w:p>
                            <w:pPr>
                              <w:pStyle w:val="44"/>
                              <w:spacing w:line="292" w:lineRule="auto"/>
                              <w:ind w:left="513" w:right="3" w:hanging="500"/>
                              <w:rPr>
                                <w:sz w:val="20"/>
                              </w:rPr>
                            </w:pPr>
                            <w:r>
                              <w:rPr>
                                <w:sz w:val="20"/>
                              </w:rPr>
                              <w:t>三、工作量（40 分）</w:t>
                            </w:r>
                          </w:p>
                        </w:tc>
                        <w:tc>
                          <w:tcPr>
                            <w:tcW w:w="6337" w:type="dxa"/>
                          </w:tcPr>
                          <w:p>
                            <w:pPr>
                              <w:pStyle w:val="44"/>
                              <w:spacing w:before="86"/>
                              <w:ind w:left="14"/>
                              <w:rPr>
                                <w:sz w:val="20"/>
                              </w:rPr>
                            </w:pPr>
                            <w:r>
                              <w:rPr>
                                <w:sz w:val="20"/>
                              </w:rPr>
                              <w:t>13、履职辅导员（班主任）工作满 3 年基础上，每担任辅导员（班主任</w:t>
                            </w:r>
                          </w:p>
                          <w:p>
                            <w:pPr>
                              <w:pStyle w:val="44"/>
                              <w:spacing w:before="56"/>
                              <w:ind w:left="14"/>
                              <w:rPr>
                                <w:sz w:val="20"/>
                              </w:rPr>
                            </w:pPr>
                            <w:r>
                              <w:rPr>
                                <w:sz w:val="20"/>
                              </w:rPr>
                              <w:t>工作满 1 年加 1 分,最高 2 分。(2 分)</w:t>
                            </w:r>
                          </w:p>
                        </w:tc>
                        <w:tc>
                          <w:tcPr>
                            <w:tcW w:w="1412" w:type="dxa"/>
                          </w:tcPr>
                          <w:p>
                            <w:pPr>
                              <w:pStyle w:val="44"/>
                              <w:spacing w:before="86"/>
                              <w:ind w:left="-122"/>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continue"/>
                            <w:tcBorders>
                              <w:top w:val="nil"/>
                            </w:tcBorders>
                          </w:tcPr>
                          <w:p>
                            <w:pPr>
                              <w:rPr>
                                <w:sz w:val="2"/>
                                <w:szCs w:val="2"/>
                              </w:rPr>
                            </w:pPr>
                          </w:p>
                        </w:tc>
                        <w:tc>
                          <w:tcPr>
                            <w:tcW w:w="6337" w:type="dxa"/>
                          </w:tcPr>
                          <w:p>
                            <w:pPr>
                              <w:pStyle w:val="44"/>
                              <w:spacing w:before="86" w:line="292" w:lineRule="auto"/>
                              <w:ind w:left="14" w:right="11"/>
                              <w:rPr>
                                <w:sz w:val="20"/>
                              </w:rPr>
                            </w:pPr>
                            <w:r>
                              <w:rPr>
                                <w:w w:val="95"/>
                                <w:sz w:val="20"/>
                              </w:rPr>
                              <w:t xml:space="preserve">14、独立完成一个年级的辅导员（班主任）工作,或者所负责辅导学生数  </w:t>
                            </w:r>
                            <w:r>
                              <w:rPr>
                                <w:sz w:val="20"/>
                              </w:rPr>
                              <w:t>量符合教育部师生比规定。(1</w:t>
                            </w:r>
                            <w:r>
                              <w:rPr>
                                <w:spacing w:val="-26"/>
                                <w:sz w:val="20"/>
                              </w:rPr>
                              <w:t xml:space="preserve"> 分</w:t>
                            </w:r>
                            <w:r>
                              <w:rPr>
                                <w:sz w:val="20"/>
                              </w:rPr>
                              <w:t>）</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31" w:type="dxa"/>
                            <w:vMerge w:val="continue"/>
                            <w:tcBorders>
                              <w:top w:val="nil"/>
                            </w:tcBorders>
                          </w:tcPr>
                          <w:p>
                            <w:pPr>
                              <w:rPr>
                                <w:sz w:val="2"/>
                                <w:szCs w:val="2"/>
                              </w:rPr>
                            </w:pPr>
                          </w:p>
                        </w:tc>
                        <w:tc>
                          <w:tcPr>
                            <w:tcW w:w="6337" w:type="dxa"/>
                          </w:tcPr>
                          <w:p>
                            <w:pPr>
                              <w:pStyle w:val="44"/>
                              <w:spacing w:before="43"/>
                              <w:ind w:left="14"/>
                              <w:rPr>
                                <w:sz w:val="20"/>
                              </w:rPr>
                            </w:pPr>
                            <w:r>
                              <w:rPr>
                                <w:sz w:val="20"/>
                              </w:rPr>
                              <w:t>15</w:t>
                            </w:r>
                            <w:r>
                              <w:rPr>
                                <w:spacing w:val="-9"/>
                                <w:sz w:val="20"/>
                              </w:rPr>
                              <w:t>、兼任院系党委(支部)副书记或者团委(总支)书记、学生党总支书记等</w:t>
                            </w:r>
                          </w:p>
                          <w:p>
                            <w:pPr>
                              <w:pStyle w:val="44"/>
                              <w:spacing w:before="56"/>
                              <w:ind w:left="14"/>
                              <w:rPr>
                                <w:sz w:val="20"/>
                              </w:rPr>
                            </w:pPr>
                            <w:r>
                              <w:rPr>
                                <w:sz w:val="20"/>
                              </w:rPr>
                              <w:t>工作。(2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sz w:val="2"/>
                                <w:szCs w:val="2"/>
                              </w:rPr>
                            </w:pPr>
                          </w:p>
                        </w:tc>
                        <w:tc>
                          <w:tcPr>
                            <w:tcW w:w="6337" w:type="dxa"/>
                          </w:tcPr>
                          <w:p>
                            <w:pPr>
                              <w:pStyle w:val="44"/>
                              <w:spacing w:before="75"/>
                              <w:ind w:left="14"/>
                              <w:rPr>
                                <w:sz w:val="20"/>
                              </w:rPr>
                            </w:pPr>
                            <w:r>
                              <w:rPr>
                                <w:sz w:val="20"/>
                              </w:rPr>
                              <w:t>16、完成学校的政治学习、值班等工作任务。(1 分)</w:t>
                            </w:r>
                          </w:p>
                        </w:tc>
                        <w:tc>
                          <w:tcPr>
                            <w:tcW w:w="141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431" w:type="dxa"/>
                            <w:vMerge w:val="continue"/>
                            <w:tcBorders>
                              <w:top w:val="nil"/>
                            </w:tcBorders>
                          </w:tcPr>
                          <w:p>
                            <w:pPr>
                              <w:rPr>
                                <w:sz w:val="2"/>
                                <w:szCs w:val="2"/>
                              </w:rPr>
                            </w:pPr>
                          </w:p>
                        </w:tc>
                        <w:tc>
                          <w:tcPr>
                            <w:tcW w:w="6337" w:type="dxa"/>
                          </w:tcPr>
                          <w:p>
                            <w:pPr>
                              <w:pStyle w:val="44"/>
                              <w:spacing w:before="77"/>
                              <w:ind w:left="14"/>
                              <w:rPr>
                                <w:sz w:val="20"/>
                              </w:rPr>
                            </w:pPr>
                            <w:r>
                              <w:rPr>
                                <w:sz w:val="20"/>
                              </w:rPr>
                              <w:t>17、关注学生成长环境,及时做好家校联系,并有相关记录。(4 分)</w:t>
                            </w:r>
                          </w:p>
                        </w:tc>
                        <w:tc>
                          <w:tcPr>
                            <w:tcW w:w="1412" w:type="dxa"/>
                          </w:tcPr>
                          <w:p>
                            <w:pPr>
                              <w:pStyle w:val="44"/>
                              <w:rPr>
                                <w:rFonts w:ascii="Times New Roman"/>
                                <w:sz w:val="20"/>
                              </w:rPr>
                            </w:pPr>
                          </w:p>
                        </w:tc>
                      </w:tr>
                    </w:tbl>
                    <w:p>
                      <w:pPr>
                        <w:pStyle w:val="6"/>
                      </w:pPr>
                    </w:p>
                  </w:txbxContent>
                </v:textbox>
              </v:shape>
            </w:pict>
          </mc:Fallback>
        </mc:AlternateContent>
      </w:r>
      <w:r>
        <w:rPr>
          <w:color w:val="auto"/>
          <w:highlight w:val="none"/>
        </w:rPr>
        <w:t>附件 2</w:t>
      </w:r>
    </w:p>
    <w:p>
      <w:pPr>
        <w:spacing w:after="0"/>
        <w:rPr>
          <w:color w:val="auto"/>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6337"/>
        <w:gridCol w:w="1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restart"/>
          </w:tcPr>
          <w:p>
            <w:pPr>
              <w:pStyle w:val="44"/>
              <w:rPr>
                <w:rFonts w:ascii="Times New Roman"/>
                <w:color w:val="auto"/>
                <w:sz w:val="18"/>
                <w:highlight w:val="none"/>
              </w:rPr>
            </w:pPr>
          </w:p>
        </w:tc>
        <w:tc>
          <w:tcPr>
            <w:tcW w:w="6337" w:type="dxa"/>
          </w:tcPr>
          <w:p>
            <w:pPr>
              <w:pStyle w:val="44"/>
              <w:spacing w:before="86" w:line="292" w:lineRule="auto"/>
              <w:ind w:left="14" w:right="3"/>
              <w:rPr>
                <w:color w:val="auto"/>
                <w:sz w:val="20"/>
                <w:highlight w:val="none"/>
              </w:rPr>
            </w:pPr>
            <w:r>
              <w:rPr>
                <w:color w:val="auto"/>
                <w:w w:val="95"/>
                <w:sz w:val="20"/>
                <w:highlight w:val="none"/>
              </w:rPr>
              <w:t>18</w:t>
            </w:r>
            <w:r>
              <w:rPr>
                <w:color w:val="auto"/>
                <w:spacing w:val="-11"/>
                <w:w w:val="95"/>
                <w:sz w:val="20"/>
                <w:highlight w:val="none"/>
              </w:rPr>
              <w:t xml:space="preserve">、深入学生课堂，做好听课记录。了解学生的学习情况，与任课老师保  </w:t>
            </w:r>
            <w:r>
              <w:rPr>
                <w:color w:val="auto"/>
                <w:spacing w:val="-11"/>
                <w:sz w:val="20"/>
                <w:highlight w:val="none"/>
              </w:rPr>
              <w:t>持联系，及时处理好学生学习问题。(4</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color w:val="auto"/>
                <w:sz w:val="2"/>
                <w:szCs w:val="2"/>
                <w:highlight w:val="none"/>
              </w:rPr>
            </w:pPr>
          </w:p>
        </w:tc>
        <w:tc>
          <w:tcPr>
            <w:tcW w:w="6337" w:type="dxa"/>
          </w:tcPr>
          <w:p>
            <w:pPr>
              <w:pStyle w:val="44"/>
              <w:spacing w:before="86" w:line="292" w:lineRule="auto"/>
              <w:ind w:left="14" w:right="11"/>
              <w:rPr>
                <w:color w:val="auto"/>
                <w:sz w:val="20"/>
                <w:highlight w:val="none"/>
              </w:rPr>
            </w:pPr>
            <w:r>
              <w:rPr>
                <w:color w:val="auto"/>
                <w:w w:val="95"/>
                <w:sz w:val="20"/>
                <w:highlight w:val="none"/>
              </w:rPr>
              <w:t xml:space="preserve">19、做好贫困学生帮扶和勤工助学工作;在各类奖助学金、综合测评的评  </w:t>
            </w:r>
            <w:r>
              <w:rPr>
                <w:color w:val="auto"/>
                <w:sz w:val="20"/>
                <w:highlight w:val="none"/>
              </w:rPr>
              <w:t>定中无学生投诉。(5</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continue"/>
            <w:tcBorders>
              <w:top w:val="nil"/>
            </w:tcBorders>
          </w:tcPr>
          <w:p>
            <w:pPr>
              <w:rPr>
                <w:color w:val="auto"/>
                <w:sz w:val="2"/>
                <w:szCs w:val="2"/>
                <w:highlight w:val="none"/>
              </w:rPr>
            </w:pPr>
          </w:p>
        </w:tc>
        <w:tc>
          <w:tcPr>
            <w:tcW w:w="6337" w:type="dxa"/>
          </w:tcPr>
          <w:p>
            <w:pPr>
              <w:pStyle w:val="44"/>
              <w:spacing w:before="87" w:line="292" w:lineRule="auto"/>
              <w:ind w:left="14" w:right="11"/>
              <w:rPr>
                <w:color w:val="auto"/>
                <w:sz w:val="20"/>
                <w:highlight w:val="none"/>
              </w:rPr>
            </w:pPr>
            <w:r>
              <w:rPr>
                <w:color w:val="auto"/>
                <w:w w:val="95"/>
                <w:sz w:val="20"/>
                <w:highlight w:val="none"/>
              </w:rPr>
              <w:t xml:space="preserve">20、按学校要求深入学生宿舍,入住学生园区;定期开展宿舍走访工作,并  </w:t>
            </w:r>
            <w:r>
              <w:rPr>
                <w:color w:val="auto"/>
                <w:sz w:val="20"/>
                <w:highlight w:val="none"/>
              </w:rPr>
              <w:t>且有相关工作记录。(4</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ind w:left="14"/>
              <w:rPr>
                <w:color w:val="auto"/>
                <w:sz w:val="20"/>
                <w:highlight w:val="none"/>
              </w:rPr>
            </w:pPr>
            <w:r>
              <w:rPr>
                <w:color w:val="auto"/>
                <w:sz w:val="20"/>
                <w:highlight w:val="none"/>
              </w:rPr>
              <w:t>21、熟练运用相关政策和理论开展工作,了解学生的思想动态以及学习生</w:t>
            </w:r>
          </w:p>
          <w:p>
            <w:pPr>
              <w:pStyle w:val="44"/>
              <w:spacing w:before="3" w:line="310" w:lineRule="atLeast"/>
              <w:ind w:left="14" w:right="4"/>
              <w:rPr>
                <w:color w:val="auto"/>
                <w:sz w:val="20"/>
                <w:highlight w:val="none"/>
              </w:rPr>
            </w:pPr>
            <w:r>
              <w:rPr>
                <w:color w:val="auto"/>
                <w:spacing w:val="-5"/>
                <w:w w:val="95"/>
                <w:sz w:val="20"/>
                <w:highlight w:val="none"/>
              </w:rPr>
              <w:t>活情况,经常性主动与学生谈心谈话，做好记录,解决大学生实际问题。(</w:t>
            </w:r>
            <w:r>
              <w:rPr>
                <w:color w:val="auto"/>
                <w:w w:val="95"/>
                <w:sz w:val="20"/>
                <w:highlight w:val="none"/>
              </w:rPr>
              <w:t xml:space="preserve">4  </w:t>
            </w:r>
            <w:r>
              <w:rPr>
                <w:color w:val="auto"/>
                <w:sz w:val="20"/>
                <w:highlight w:val="none"/>
              </w:rPr>
              <w:t>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31" w:type="dxa"/>
            <w:vMerge w:val="continue"/>
            <w:tcBorders>
              <w:top w:val="nil"/>
            </w:tcBorders>
          </w:tcPr>
          <w:p>
            <w:pPr>
              <w:rPr>
                <w:color w:val="auto"/>
                <w:sz w:val="2"/>
                <w:szCs w:val="2"/>
                <w:highlight w:val="none"/>
              </w:rPr>
            </w:pPr>
          </w:p>
        </w:tc>
        <w:tc>
          <w:tcPr>
            <w:tcW w:w="6337" w:type="dxa"/>
          </w:tcPr>
          <w:p>
            <w:pPr>
              <w:pStyle w:val="44"/>
              <w:spacing w:before="44" w:line="292" w:lineRule="auto"/>
              <w:ind w:left="14" w:right="9"/>
              <w:rPr>
                <w:color w:val="auto"/>
                <w:sz w:val="20"/>
                <w:highlight w:val="none"/>
              </w:rPr>
            </w:pPr>
            <w:r>
              <w:rPr>
                <w:color w:val="auto"/>
                <w:w w:val="95"/>
                <w:sz w:val="20"/>
                <w:highlight w:val="none"/>
              </w:rPr>
              <w:t xml:space="preserve">22、积极运用“易班”和“中国大学生在线”等开展网络思想政治教育;  </w:t>
            </w:r>
            <w:r>
              <w:rPr>
                <w:color w:val="auto"/>
                <w:sz w:val="20"/>
                <w:highlight w:val="none"/>
              </w:rPr>
              <w:t>建立并及时更新辅导员（班主任）专属的微信群、公众号、QQ</w:t>
            </w:r>
            <w:r>
              <w:rPr>
                <w:color w:val="auto"/>
                <w:spacing w:val="-12"/>
                <w:sz w:val="20"/>
                <w:highlight w:val="none"/>
              </w:rPr>
              <w:t xml:space="preserve"> 群等大学</w:t>
            </w:r>
          </w:p>
          <w:p>
            <w:pPr>
              <w:pStyle w:val="44"/>
              <w:spacing w:line="255" w:lineRule="exact"/>
              <w:ind w:left="14"/>
              <w:rPr>
                <w:color w:val="auto"/>
                <w:sz w:val="20"/>
                <w:highlight w:val="none"/>
              </w:rPr>
            </w:pPr>
            <w:r>
              <w:rPr>
                <w:color w:val="auto"/>
                <w:sz w:val="20"/>
                <w:highlight w:val="none"/>
              </w:rPr>
              <w:t>生网络思想政治教育工作平台。(2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ind w:left="14"/>
              <w:rPr>
                <w:color w:val="auto"/>
                <w:sz w:val="20"/>
                <w:highlight w:val="none"/>
              </w:rPr>
            </w:pPr>
            <w:r>
              <w:rPr>
                <w:color w:val="auto"/>
                <w:sz w:val="20"/>
                <w:highlight w:val="none"/>
              </w:rPr>
              <w:t>23</w:t>
            </w:r>
            <w:r>
              <w:rPr>
                <w:color w:val="auto"/>
                <w:spacing w:val="-10"/>
                <w:sz w:val="20"/>
                <w:highlight w:val="none"/>
              </w:rPr>
              <w:t>、做好学生日常思想政治教育工作，注重学生良好道德品质和实践能力</w:t>
            </w:r>
          </w:p>
          <w:p>
            <w:pPr>
              <w:pStyle w:val="44"/>
              <w:spacing w:before="2" w:line="310" w:lineRule="atLeast"/>
              <w:ind w:left="14" w:right="104"/>
              <w:rPr>
                <w:color w:val="auto"/>
                <w:sz w:val="20"/>
                <w:highlight w:val="none"/>
              </w:rPr>
            </w:pPr>
            <w:r>
              <w:rPr>
                <w:color w:val="auto"/>
                <w:spacing w:val="-14"/>
                <w:w w:val="95"/>
                <w:sz w:val="20"/>
                <w:highlight w:val="none"/>
              </w:rPr>
              <w:t xml:space="preserve">培养。定期开展有针对性、实效性的“主题班会”，并且有相关工作记录  </w:t>
            </w:r>
            <w:r>
              <w:rPr>
                <w:color w:val="auto"/>
                <w:spacing w:val="-14"/>
                <w:sz w:val="20"/>
                <w:highlight w:val="none"/>
              </w:rPr>
              <w:t>(4</w:t>
            </w:r>
            <w:r>
              <w:rPr>
                <w:color w:val="auto"/>
                <w:spacing w:val="-18"/>
                <w:sz w:val="20"/>
                <w:highlight w:val="none"/>
              </w:rPr>
              <w:t xml:space="preserve"> 分)</w:t>
            </w:r>
          </w:p>
        </w:tc>
        <w:tc>
          <w:tcPr>
            <w:tcW w:w="1412" w:type="dxa"/>
          </w:tcPr>
          <w:p>
            <w:pPr>
              <w:pStyle w:val="44"/>
              <w:rPr>
                <w:rFonts w:ascii="方正仿宋_GBK"/>
                <w:color w:val="auto"/>
                <w:sz w:val="22"/>
                <w:highlight w:val="none"/>
              </w:rPr>
            </w:pPr>
          </w:p>
          <w:p>
            <w:pPr>
              <w:pStyle w:val="44"/>
              <w:spacing w:before="1"/>
              <w:ind w:left="-117"/>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 w:hRule="atLeast"/>
        </w:trPr>
        <w:tc>
          <w:tcPr>
            <w:tcW w:w="1431" w:type="dxa"/>
            <w:vMerge w:val="continue"/>
            <w:tcBorders>
              <w:top w:val="nil"/>
            </w:tcBorders>
          </w:tcPr>
          <w:p>
            <w:pPr>
              <w:rPr>
                <w:color w:val="auto"/>
                <w:sz w:val="2"/>
                <w:szCs w:val="2"/>
                <w:highlight w:val="none"/>
              </w:rPr>
            </w:pPr>
          </w:p>
        </w:tc>
        <w:tc>
          <w:tcPr>
            <w:tcW w:w="6337" w:type="dxa"/>
          </w:tcPr>
          <w:p>
            <w:pPr>
              <w:pStyle w:val="44"/>
              <w:spacing w:before="99" w:line="292" w:lineRule="auto"/>
              <w:ind w:left="14" w:right="3"/>
              <w:jc w:val="both"/>
              <w:rPr>
                <w:color w:val="auto"/>
                <w:sz w:val="20"/>
                <w:highlight w:val="none"/>
              </w:rPr>
            </w:pPr>
            <w:r>
              <w:rPr>
                <w:color w:val="auto"/>
                <w:sz w:val="20"/>
                <w:highlight w:val="none"/>
              </w:rPr>
              <w:t>24、具有长期丰富的学生事务管理工作经验,能运用相关知识进行服务育</w:t>
            </w:r>
            <w:r>
              <w:rPr>
                <w:color w:val="auto"/>
                <w:spacing w:val="-4"/>
                <w:w w:val="95"/>
                <w:sz w:val="20"/>
                <w:highlight w:val="none"/>
              </w:rPr>
              <w:t xml:space="preserve">人体系化设计,结合时政和大学生实际,做好大学生思想政治教育、职业规  </w:t>
            </w:r>
            <w:r>
              <w:rPr>
                <w:color w:val="auto"/>
                <w:spacing w:val="-4"/>
                <w:sz w:val="20"/>
                <w:highlight w:val="none"/>
              </w:rPr>
              <w:t>划、创业就业、心理健康教育等工作。(2</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line="292" w:lineRule="auto"/>
              <w:ind w:left="14" w:right="11"/>
              <w:rPr>
                <w:color w:val="auto"/>
                <w:sz w:val="20"/>
                <w:highlight w:val="none"/>
              </w:rPr>
            </w:pPr>
            <w:r>
              <w:rPr>
                <w:color w:val="auto"/>
                <w:sz w:val="20"/>
                <w:highlight w:val="none"/>
              </w:rPr>
              <w:t>25</w:t>
            </w:r>
            <w:r>
              <w:rPr>
                <w:color w:val="auto"/>
                <w:spacing w:val="-11"/>
                <w:sz w:val="20"/>
                <w:highlight w:val="none"/>
              </w:rPr>
              <w:t>、指导和负责学生党团基层组织建设;严格按照程序和纪律认真做好党</w:t>
            </w:r>
            <w:r>
              <w:rPr>
                <w:color w:val="auto"/>
                <w:spacing w:val="-11"/>
                <w:w w:val="95"/>
                <w:sz w:val="20"/>
                <w:highlight w:val="none"/>
              </w:rPr>
              <w:t>团员的发展工作;所带学生入党愿望明显，入党积极分子较多，入党动机</w:t>
            </w:r>
          </w:p>
          <w:p>
            <w:pPr>
              <w:pStyle w:val="44"/>
              <w:spacing w:line="255" w:lineRule="exact"/>
              <w:ind w:left="14"/>
              <w:rPr>
                <w:color w:val="auto"/>
                <w:sz w:val="20"/>
                <w:highlight w:val="none"/>
              </w:rPr>
            </w:pPr>
            <w:r>
              <w:rPr>
                <w:color w:val="auto"/>
                <w:sz w:val="20"/>
                <w:highlight w:val="none"/>
              </w:rPr>
              <w:t>纯正。(2 分)</w:t>
            </w:r>
          </w:p>
        </w:tc>
        <w:tc>
          <w:tcPr>
            <w:tcW w:w="1412" w:type="dxa"/>
          </w:tcPr>
          <w:p>
            <w:pPr>
              <w:pStyle w:val="44"/>
              <w:spacing w:before="43"/>
              <w:ind w:left="-117"/>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color w:val="auto"/>
                <w:sz w:val="2"/>
                <w:szCs w:val="2"/>
                <w:highlight w:val="none"/>
              </w:rPr>
            </w:pPr>
          </w:p>
        </w:tc>
        <w:tc>
          <w:tcPr>
            <w:tcW w:w="6337" w:type="dxa"/>
          </w:tcPr>
          <w:p>
            <w:pPr>
              <w:pStyle w:val="44"/>
              <w:spacing w:before="75"/>
              <w:ind w:left="14"/>
              <w:rPr>
                <w:color w:val="auto"/>
                <w:sz w:val="20"/>
                <w:highlight w:val="none"/>
              </w:rPr>
            </w:pPr>
            <w:r>
              <w:rPr>
                <w:color w:val="auto"/>
                <w:sz w:val="20"/>
                <w:highlight w:val="none"/>
              </w:rPr>
              <w:t>26、特殊学生、违纪学生跟踪管理，有相关工作记录。（3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12"/>
              <w:rPr>
                <w:rFonts w:ascii="方正仿宋_GBK"/>
                <w:color w:val="auto"/>
                <w:sz w:val="22"/>
                <w:highlight w:val="none"/>
              </w:rPr>
            </w:pPr>
          </w:p>
          <w:p>
            <w:pPr>
              <w:pStyle w:val="44"/>
              <w:spacing w:line="292" w:lineRule="auto"/>
              <w:ind w:left="513" w:right="3" w:hanging="500"/>
              <w:rPr>
                <w:color w:val="auto"/>
                <w:sz w:val="20"/>
                <w:highlight w:val="none"/>
              </w:rPr>
            </w:pPr>
            <w:r>
              <w:rPr>
                <w:color w:val="auto"/>
                <w:spacing w:val="-34"/>
                <w:sz w:val="20"/>
                <w:highlight w:val="none"/>
              </w:rPr>
              <w:t>四、工作实绩</w:t>
            </w:r>
            <w:r>
              <w:rPr>
                <w:color w:val="auto"/>
                <w:spacing w:val="-4"/>
                <w:sz w:val="20"/>
                <w:highlight w:val="none"/>
              </w:rPr>
              <w:t xml:space="preserve">（15 </w:t>
            </w:r>
            <w:r>
              <w:rPr>
                <w:color w:val="auto"/>
                <w:sz w:val="20"/>
                <w:highlight w:val="none"/>
              </w:rPr>
              <w:t>分）</w:t>
            </w:r>
          </w:p>
        </w:tc>
        <w:tc>
          <w:tcPr>
            <w:tcW w:w="6337" w:type="dxa"/>
          </w:tcPr>
          <w:p>
            <w:pPr>
              <w:pStyle w:val="44"/>
              <w:spacing w:before="77"/>
              <w:ind w:left="14"/>
              <w:rPr>
                <w:color w:val="auto"/>
                <w:sz w:val="20"/>
                <w:highlight w:val="none"/>
              </w:rPr>
            </w:pPr>
            <w:r>
              <w:rPr>
                <w:color w:val="auto"/>
                <w:sz w:val="20"/>
                <w:highlight w:val="none"/>
              </w:rPr>
              <w:t>27、所带学生未出现任何重大安全责任事故,应急事件处理得当。(3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31" w:type="dxa"/>
            <w:vMerge w:val="continue"/>
            <w:tcBorders>
              <w:top w:val="nil"/>
            </w:tcBorders>
          </w:tcPr>
          <w:p>
            <w:pPr>
              <w:rPr>
                <w:color w:val="auto"/>
                <w:sz w:val="2"/>
                <w:szCs w:val="2"/>
                <w:highlight w:val="none"/>
              </w:rPr>
            </w:pPr>
          </w:p>
        </w:tc>
        <w:tc>
          <w:tcPr>
            <w:tcW w:w="6337" w:type="dxa"/>
          </w:tcPr>
          <w:p>
            <w:pPr>
              <w:pStyle w:val="44"/>
              <w:spacing w:before="45" w:line="292" w:lineRule="auto"/>
              <w:ind w:left="14" w:right="11"/>
              <w:rPr>
                <w:color w:val="auto"/>
                <w:sz w:val="20"/>
                <w:highlight w:val="none"/>
              </w:rPr>
            </w:pPr>
            <w:r>
              <w:rPr>
                <w:color w:val="auto"/>
                <w:w w:val="95"/>
                <w:sz w:val="20"/>
                <w:highlight w:val="none"/>
              </w:rPr>
              <w:t xml:space="preserve">28、能够认真完成学校和学院的各项工作;积极参加学校组织的各项培训  </w:t>
            </w:r>
            <w:r>
              <w:rPr>
                <w:color w:val="auto"/>
                <w:sz w:val="20"/>
                <w:highlight w:val="none"/>
              </w:rPr>
              <w:t>活动,按照要求上交工作计划和总结;对各级各部门的通知和要求能够准</w:t>
            </w:r>
          </w:p>
          <w:p>
            <w:pPr>
              <w:pStyle w:val="44"/>
              <w:spacing w:line="255" w:lineRule="exact"/>
              <w:ind w:left="14"/>
              <w:rPr>
                <w:color w:val="auto"/>
                <w:sz w:val="20"/>
                <w:highlight w:val="none"/>
              </w:rPr>
            </w:pPr>
            <w:r>
              <w:rPr>
                <w:color w:val="auto"/>
                <w:sz w:val="20"/>
                <w:highlight w:val="none"/>
              </w:rPr>
              <w:t>确及时的传达给学生,并督促落实。(2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ind w:left="14"/>
              <w:rPr>
                <w:color w:val="auto"/>
                <w:sz w:val="20"/>
                <w:highlight w:val="none"/>
              </w:rPr>
            </w:pPr>
            <w:r>
              <w:rPr>
                <w:color w:val="auto"/>
                <w:sz w:val="20"/>
                <w:highlight w:val="none"/>
              </w:rPr>
              <w:t>29、所辅导学生期末成绩优秀率达 6%以上或者就业率达到专业平均水平</w:t>
            </w:r>
          </w:p>
          <w:p>
            <w:pPr>
              <w:pStyle w:val="44"/>
              <w:spacing w:before="56"/>
              <w:ind w:left="14"/>
              <w:rPr>
                <w:color w:val="auto"/>
                <w:sz w:val="20"/>
                <w:highlight w:val="none"/>
              </w:rPr>
            </w:pPr>
            <w:r>
              <w:rPr>
                <w:color w:val="auto"/>
                <w:sz w:val="20"/>
                <w:highlight w:val="none"/>
              </w:rPr>
              <w:t>及以上。(2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color w:val="auto"/>
                <w:sz w:val="2"/>
                <w:szCs w:val="2"/>
                <w:highlight w:val="none"/>
              </w:rPr>
            </w:pPr>
          </w:p>
        </w:tc>
        <w:tc>
          <w:tcPr>
            <w:tcW w:w="6337" w:type="dxa"/>
          </w:tcPr>
          <w:p>
            <w:pPr>
              <w:pStyle w:val="44"/>
              <w:spacing w:before="44"/>
              <w:ind w:left="14"/>
              <w:rPr>
                <w:color w:val="auto"/>
                <w:sz w:val="20"/>
                <w:highlight w:val="none"/>
              </w:rPr>
            </w:pPr>
            <w:r>
              <w:rPr>
                <w:color w:val="auto"/>
                <w:sz w:val="20"/>
                <w:highlight w:val="none"/>
              </w:rPr>
              <w:t>30、所辅导班级获得校级及以上表彰，所辅导学生获得校级及以上表彰</w:t>
            </w:r>
          </w:p>
          <w:p>
            <w:pPr>
              <w:pStyle w:val="44"/>
              <w:spacing w:before="56"/>
              <w:ind w:left="14"/>
              <w:rPr>
                <w:color w:val="auto"/>
                <w:sz w:val="20"/>
                <w:highlight w:val="none"/>
              </w:rPr>
            </w:pPr>
            <w:r>
              <w:rPr>
                <w:color w:val="auto"/>
                <w:sz w:val="20"/>
                <w:highlight w:val="none"/>
              </w:rPr>
              <w:t>(2 分)</w:t>
            </w:r>
          </w:p>
        </w:tc>
        <w:tc>
          <w:tcPr>
            <w:tcW w:w="1412" w:type="dxa"/>
          </w:tcPr>
          <w:p>
            <w:pPr>
              <w:pStyle w:val="44"/>
              <w:spacing w:before="44"/>
              <w:ind w:left="-122"/>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color w:val="auto"/>
                <w:sz w:val="2"/>
                <w:szCs w:val="2"/>
                <w:highlight w:val="none"/>
              </w:rPr>
            </w:pPr>
          </w:p>
        </w:tc>
        <w:tc>
          <w:tcPr>
            <w:tcW w:w="6337" w:type="dxa"/>
          </w:tcPr>
          <w:p>
            <w:pPr>
              <w:pStyle w:val="44"/>
              <w:spacing w:before="86" w:line="292" w:lineRule="auto"/>
              <w:ind w:left="14" w:right="3"/>
              <w:rPr>
                <w:color w:val="auto"/>
                <w:sz w:val="20"/>
                <w:highlight w:val="none"/>
              </w:rPr>
            </w:pPr>
            <w:r>
              <w:rPr>
                <w:color w:val="auto"/>
                <w:w w:val="95"/>
                <w:sz w:val="20"/>
                <w:highlight w:val="none"/>
              </w:rPr>
              <w:t>31</w:t>
            </w:r>
            <w:r>
              <w:rPr>
                <w:color w:val="auto"/>
                <w:spacing w:val="-9"/>
                <w:w w:val="95"/>
                <w:sz w:val="20"/>
                <w:highlight w:val="none"/>
              </w:rPr>
              <w:t xml:space="preserve">、积极组织学生开展丰富多彩的校内外科技创新、社会实践和体育锻炼  </w:t>
            </w:r>
            <w:r>
              <w:rPr>
                <w:color w:val="auto"/>
                <w:spacing w:val="-9"/>
                <w:sz w:val="20"/>
                <w:highlight w:val="none"/>
              </w:rPr>
              <w:t>等活动,所辅导学生在校级及以上竞赛中获奖。(3</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color w:val="auto"/>
                <w:sz w:val="2"/>
                <w:szCs w:val="2"/>
                <w:highlight w:val="none"/>
              </w:rPr>
            </w:pPr>
          </w:p>
        </w:tc>
        <w:tc>
          <w:tcPr>
            <w:tcW w:w="6337" w:type="dxa"/>
          </w:tcPr>
          <w:p>
            <w:pPr>
              <w:pStyle w:val="44"/>
              <w:spacing w:before="76"/>
              <w:ind w:left="14"/>
              <w:rPr>
                <w:color w:val="auto"/>
                <w:sz w:val="20"/>
                <w:highlight w:val="none"/>
              </w:rPr>
            </w:pPr>
            <w:r>
              <w:rPr>
                <w:color w:val="auto"/>
                <w:sz w:val="20"/>
                <w:highlight w:val="none"/>
              </w:rPr>
              <w:t>32、完成年度个人招生任务。(3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10"/>
              <w:rPr>
                <w:rFonts w:ascii="方正仿宋_GBK"/>
                <w:color w:val="auto"/>
                <w:sz w:val="14"/>
                <w:highlight w:val="none"/>
              </w:rPr>
            </w:pPr>
          </w:p>
          <w:p>
            <w:pPr>
              <w:pStyle w:val="44"/>
              <w:spacing w:line="292" w:lineRule="auto"/>
              <w:ind w:left="513" w:right="3" w:hanging="500"/>
              <w:rPr>
                <w:color w:val="auto"/>
                <w:sz w:val="20"/>
                <w:highlight w:val="none"/>
              </w:rPr>
            </w:pPr>
            <w:r>
              <w:rPr>
                <w:color w:val="auto"/>
                <w:spacing w:val="-17"/>
                <w:sz w:val="20"/>
                <w:highlight w:val="none"/>
              </w:rPr>
              <w:t>五、教学情况</w:t>
            </w:r>
            <w:r>
              <w:rPr>
                <w:color w:val="auto"/>
                <w:spacing w:val="-7"/>
                <w:sz w:val="20"/>
                <w:highlight w:val="none"/>
              </w:rPr>
              <w:t xml:space="preserve">（5 </w:t>
            </w:r>
            <w:r>
              <w:rPr>
                <w:color w:val="auto"/>
                <w:sz w:val="20"/>
                <w:highlight w:val="none"/>
              </w:rPr>
              <w:t>分）</w:t>
            </w:r>
          </w:p>
        </w:tc>
        <w:tc>
          <w:tcPr>
            <w:tcW w:w="6337" w:type="dxa"/>
          </w:tcPr>
          <w:p>
            <w:pPr>
              <w:pStyle w:val="44"/>
              <w:spacing w:before="87" w:line="292" w:lineRule="auto"/>
              <w:ind w:left="14" w:right="11"/>
              <w:rPr>
                <w:color w:val="auto"/>
                <w:sz w:val="20"/>
                <w:highlight w:val="none"/>
              </w:rPr>
            </w:pPr>
            <w:r>
              <w:rPr>
                <w:color w:val="auto"/>
                <w:w w:val="95"/>
                <w:sz w:val="20"/>
                <w:highlight w:val="none"/>
              </w:rPr>
              <w:t xml:space="preserve">33、承担思想政治教育相关课程,或者专业课、公共课、基础课等教学任  </w:t>
            </w:r>
            <w:r>
              <w:rPr>
                <w:color w:val="auto"/>
                <w:spacing w:val="-8"/>
                <w:sz w:val="20"/>
                <w:highlight w:val="none"/>
              </w:rPr>
              <w:t xml:space="preserve">务,每学年在 </w:t>
            </w:r>
            <w:r>
              <w:rPr>
                <w:color w:val="auto"/>
                <w:sz w:val="20"/>
                <w:highlight w:val="none"/>
              </w:rPr>
              <w:t>36</w:t>
            </w:r>
            <w:r>
              <w:rPr>
                <w:color w:val="auto"/>
                <w:spacing w:val="-15"/>
                <w:sz w:val="20"/>
                <w:highlight w:val="none"/>
              </w:rPr>
              <w:t xml:space="preserve"> 课时以上(含 </w:t>
            </w:r>
            <w:r>
              <w:rPr>
                <w:color w:val="auto"/>
                <w:sz w:val="20"/>
                <w:highlight w:val="none"/>
              </w:rPr>
              <w:t>36</w:t>
            </w:r>
            <w:r>
              <w:rPr>
                <w:color w:val="auto"/>
                <w:spacing w:val="-10"/>
                <w:sz w:val="20"/>
                <w:highlight w:val="none"/>
              </w:rPr>
              <w:t xml:space="preserve"> 课时)。(</w:t>
            </w:r>
            <w:r>
              <w:rPr>
                <w:color w:val="auto"/>
                <w:sz w:val="20"/>
                <w:highlight w:val="none"/>
              </w:rPr>
              <w:t>1</w:t>
            </w:r>
            <w:r>
              <w:rPr>
                <w:color w:val="auto"/>
                <w:spacing w:val="-18"/>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color w:val="auto"/>
                <w:sz w:val="2"/>
                <w:szCs w:val="2"/>
                <w:highlight w:val="none"/>
              </w:rPr>
            </w:pPr>
          </w:p>
        </w:tc>
        <w:tc>
          <w:tcPr>
            <w:tcW w:w="6337" w:type="dxa"/>
          </w:tcPr>
          <w:p>
            <w:pPr>
              <w:pStyle w:val="44"/>
              <w:spacing w:before="88" w:line="292" w:lineRule="auto"/>
              <w:ind w:left="14" w:right="6"/>
              <w:rPr>
                <w:color w:val="auto"/>
                <w:sz w:val="20"/>
                <w:highlight w:val="none"/>
              </w:rPr>
            </w:pPr>
            <w:r>
              <w:rPr>
                <w:color w:val="auto"/>
                <w:w w:val="95"/>
                <w:sz w:val="20"/>
                <w:highlight w:val="none"/>
              </w:rPr>
              <w:t>34</w:t>
            </w:r>
            <w:r>
              <w:rPr>
                <w:color w:val="auto"/>
                <w:spacing w:val="-9"/>
                <w:w w:val="95"/>
                <w:sz w:val="20"/>
                <w:highlight w:val="none"/>
              </w:rPr>
              <w:t>、在校级心理健康教育、形势与政策、就业创业指导等与辅导员</w:t>
            </w:r>
            <w:r>
              <w:rPr>
                <w:color w:val="auto"/>
                <w:w w:val="95"/>
                <w:sz w:val="20"/>
                <w:highlight w:val="none"/>
              </w:rPr>
              <w:t xml:space="preserve">（班主  </w:t>
            </w:r>
            <w:r>
              <w:rPr>
                <w:color w:val="auto"/>
                <w:sz w:val="20"/>
                <w:highlight w:val="none"/>
              </w:rPr>
              <w:t>任）工作相关的教学竞赛中获奖,或创立相关专业校级精品课程。(1</w:t>
            </w:r>
            <w:r>
              <w:rPr>
                <w:color w:val="auto"/>
                <w:spacing w:val="-19"/>
                <w:sz w:val="20"/>
                <w:highlight w:val="none"/>
              </w:rPr>
              <w:t xml:space="preserve">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color w:val="auto"/>
                <w:sz w:val="2"/>
                <w:szCs w:val="2"/>
                <w:highlight w:val="none"/>
              </w:rPr>
            </w:pPr>
          </w:p>
        </w:tc>
        <w:tc>
          <w:tcPr>
            <w:tcW w:w="6337" w:type="dxa"/>
          </w:tcPr>
          <w:p>
            <w:pPr>
              <w:pStyle w:val="44"/>
              <w:spacing w:before="76"/>
              <w:ind w:left="14"/>
              <w:rPr>
                <w:color w:val="auto"/>
                <w:sz w:val="20"/>
                <w:highlight w:val="none"/>
              </w:rPr>
            </w:pPr>
            <w:r>
              <w:rPr>
                <w:color w:val="auto"/>
                <w:sz w:val="20"/>
                <w:highlight w:val="none"/>
              </w:rPr>
              <w:t>35、无教学事故通报。(2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431" w:type="dxa"/>
            <w:vMerge w:val="continue"/>
            <w:tcBorders>
              <w:top w:val="nil"/>
            </w:tcBorders>
          </w:tcPr>
          <w:p>
            <w:pPr>
              <w:rPr>
                <w:color w:val="auto"/>
                <w:sz w:val="2"/>
                <w:szCs w:val="2"/>
                <w:highlight w:val="none"/>
              </w:rPr>
            </w:pPr>
          </w:p>
        </w:tc>
        <w:tc>
          <w:tcPr>
            <w:tcW w:w="6337" w:type="dxa"/>
          </w:tcPr>
          <w:p>
            <w:pPr>
              <w:pStyle w:val="44"/>
              <w:spacing w:before="75"/>
              <w:ind w:left="14"/>
              <w:rPr>
                <w:color w:val="auto"/>
                <w:sz w:val="20"/>
                <w:highlight w:val="none"/>
              </w:rPr>
            </w:pPr>
            <w:r>
              <w:rPr>
                <w:color w:val="auto"/>
                <w:sz w:val="20"/>
                <w:highlight w:val="none"/>
              </w:rPr>
              <w:t>36、按学校要求管控课堂秩序。(1 分)</w:t>
            </w:r>
          </w:p>
        </w:tc>
        <w:tc>
          <w:tcPr>
            <w:tcW w:w="1412" w:type="dxa"/>
          </w:tcPr>
          <w:p>
            <w:pPr>
              <w:pStyle w:val="44"/>
              <w:rPr>
                <w:rFonts w:ascii="Times New Roman"/>
                <w:color w:val="auto"/>
                <w:sz w:val="18"/>
                <w:highlight w:val="none"/>
              </w:rPr>
            </w:pPr>
          </w:p>
        </w:tc>
      </w:tr>
    </w:tbl>
    <w:p>
      <w:pPr>
        <w:spacing w:after="0"/>
        <w:rPr>
          <w:rFonts w:ascii="Times New Roman"/>
          <w:color w:val="auto"/>
          <w:sz w:val="18"/>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6337"/>
        <w:gridCol w:w="1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6"/>
              <w:rPr>
                <w:rFonts w:ascii="方正仿宋_GBK"/>
                <w:color w:val="auto"/>
                <w:sz w:val="14"/>
                <w:highlight w:val="none"/>
              </w:rPr>
            </w:pPr>
          </w:p>
          <w:p>
            <w:pPr>
              <w:pStyle w:val="44"/>
              <w:spacing w:before="1" w:line="292" w:lineRule="auto"/>
              <w:ind w:left="513" w:right="3" w:hanging="500"/>
              <w:rPr>
                <w:color w:val="auto"/>
                <w:sz w:val="20"/>
                <w:highlight w:val="none"/>
              </w:rPr>
            </w:pPr>
            <w:r>
              <w:rPr>
                <w:color w:val="auto"/>
                <w:spacing w:val="-34"/>
                <w:sz w:val="20"/>
                <w:highlight w:val="none"/>
              </w:rPr>
              <w:t>六、科研成果</w:t>
            </w:r>
            <w:r>
              <w:rPr>
                <w:color w:val="auto"/>
                <w:spacing w:val="-4"/>
                <w:sz w:val="20"/>
                <w:highlight w:val="none"/>
              </w:rPr>
              <w:t xml:space="preserve">（10 </w:t>
            </w:r>
            <w:r>
              <w:rPr>
                <w:color w:val="auto"/>
                <w:sz w:val="20"/>
                <w:highlight w:val="none"/>
              </w:rPr>
              <w:t>分）</w:t>
            </w:r>
          </w:p>
        </w:tc>
        <w:tc>
          <w:tcPr>
            <w:tcW w:w="6337" w:type="dxa"/>
          </w:tcPr>
          <w:p>
            <w:pPr>
              <w:pStyle w:val="44"/>
              <w:spacing w:before="76"/>
              <w:ind w:left="14"/>
              <w:rPr>
                <w:color w:val="auto"/>
                <w:sz w:val="20"/>
                <w:highlight w:val="none"/>
              </w:rPr>
            </w:pPr>
            <w:r>
              <w:rPr>
                <w:color w:val="auto"/>
                <w:sz w:val="20"/>
                <w:highlight w:val="none"/>
              </w:rPr>
              <w:t>37、承担或参与校级课题研究。(2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1431" w:type="dxa"/>
            <w:vMerge w:val="continue"/>
            <w:tcBorders>
              <w:top w:val="nil"/>
            </w:tcBorders>
          </w:tcPr>
          <w:p>
            <w:pPr>
              <w:rPr>
                <w:color w:val="auto"/>
                <w:sz w:val="2"/>
                <w:szCs w:val="2"/>
                <w:highlight w:val="none"/>
              </w:rPr>
            </w:pPr>
          </w:p>
        </w:tc>
        <w:tc>
          <w:tcPr>
            <w:tcW w:w="6337" w:type="dxa"/>
          </w:tcPr>
          <w:p>
            <w:pPr>
              <w:pStyle w:val="44"/>
              <w:spacing w:before="76"/>
              <w:ind w:left="14"/>
              <w:rPr>
                <w:color w:val="auto"/>
                <w:sz w:val="20"/>
                <w:highlight w:val="none"/>
              </w:rPr>
            </w:pPr>
            <w:r>
              <w:rPr>
                <w:color w:val="auto"/>
                <w:sz w:val="20"/>
                <w:highlight w:val="none"/>
              </w:rPr>
              <w:t>38、发表论文或专业文章。(2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color w:val="auto"/>
                <w:sz w:val="2"/>
                <w:szCs w:val="2"/>
                <w:highlight w:val="none"/>
              </w:rPr>
            </w:pPr>
          </w:p>
        </w:tc>
        <w:tc>
          <w:tcPr>
            <w:tcW w:w="6337" w:type="dxa"/>
          </w:tcPr>
          <w:p>
            <w:pPr>
              <w:pStyle w:val="44"/>
              <w:spacing w:before="75"/>
              <w:ind w:left="14"/>
              <w:rPr>
                <w:color w:val="auto"/>
                <w:sz w:val="20"/>
                <w:highlight w:val="none"/>
              </w:rPr>
            </w:pPr>
            <w:r>
              <w:rPr>
                <w:color w:val="auto"/>
                <w:sz w:val="20"/>
                <w:highlight w:val="none"/>
              </w:rPr>
              <w:t>39、发表论文、专业文章获奖。(2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ind w:left="14"/>
              <w:rPr>
                <w:color w:val="auto"/>
                <w:sz w:val="20"/>
                <w:highlight w:val="none"/>
              </w:rPr>
            </w:pPr>
            <w:r>
              <w:rPr>
                <w:color w:val="auto"/>
                <w:sz w:val="20"/>
                <w:highlight w:val="none"/>
              </w:rPr>
              <w:t>40、主编或者参与出版编著、译著、教材、工具书、读本、参考书籍等</w:t>
            </w:r>
          </w:p>
          <w:p>
            <w:pPr>
              <w:pStyle w:val="44"/>
              <w:spacing w:before="56"/>
              <w:ind w:left="14"/>
              <w:rPr>
                <w:color w:val="auto"/>
                <w:sz w:val="20"/>
                <w:highlight w:val="none"/>
              </w:rPr>
            </w:pPr>
            <w:r>
              <w:rPr>
                <w:color w:val="auto"/>
                <w:sz w:val="20"/>
                <w:highlight w:val="none"/>
              </w:rPr>
              <w:t>（2 分)</w:t>
            </w:r>
          </w:p>
        </w:tc>
        <w:tc>
          <w:tcPr>
            <w:tcW w:w="1412" w:type="dxa"/>
          </w:tcPr>
          <w:p>
            <w:pPr>
              <w:pStyle w:val="44"/>
              <w:spacing w:before="43"/>
              <w:ind w:left="-122"/>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31" w:type="dxa"/>
            <w:vMerge w:val="continue"/>
            <w:tcBorders>
              <w:top w:val="nil"/>
            </w:tcBorders>
          </w:tcPr>
          <w:p>
            <w:pPr>
              <w:rPr>
                <w:color w:val="auto"/>
                <w:sz w:val="2"/>
                <w:szCs w:val="2"/>
                <w:highlight w:val="none"/>
              </w:rPr>
            </w:pPr>
          </w:p>
        </w:tc>
        <w:tc>
          <w:tcPr>
            <w:tcW w:w="6337" w:type="dxa"/>
          </w:tcPr>
          <w:p>
            <w:pPr>
              <w:pStyle w:val="44"/>
              <w:spacing w:before="75"/>
              <w:ind w:left="14"/>
              <w:rPr>
                <w:color w:val="auto"/>
                <w:sz w:val="20"/>
                <w:highlight w:val="none"/>
              </w:rPr>
            </w:pPr>
            <w:r>
              <w:rPr>
                <w:color w:val="auto"/>
                <w:sz w:val="20"/>
                <w:highlight w:val="none"/>
              </w:rPr>
              <w:t>41、出版学术专著或者与辅导员（班主任）工作相关的书籍。(2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43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162" w:line="292" w:lineRule="auto"/>
              <w:ind w:left="513" w:right="3" w:hanging="500"/>
              <w:rPr>
                <w:color w:val="auto"/>
                <w:sz w:val="20"/>
                <w:highlight w:val="none"/>
              </w:rPr>
            </w:pPr>
            <w:r>
              <w:rPr>
                <w:color w:val="auto"/>
                <w:spacing w:val="-34"/>
                <w:sz w:val="20"/>
                <w:highlight w:val="none"/>
              </w:rPr>
              <w:t>七、综合评价</w:t>
            </w:r>
            <w:r>
              <w:rPr>
                <w:color w:val="auto"/>
                <w:spacing w:val="-4"/>
                <w:sz w:val="20"/>
                <w:highlight w:val="none"/>
              </w:rPr>
              <w:t xml:space="preserve">（10 </w:t>
            </w:r>
            <w:r>
              <w:rPr>
                <w:color w:val="auto"/>
                <w:sz w:val="20"/>
                <w:highlight w:val="none"/>
              </w:rPr>
              <w:t>分）</w:t>
            </w:r>
          </w:p>
        </w:tc>
        <w:tc>
          <w:tcPr>
            <w:tcW w:w="6337" w:type="dxa"/>
          </w:tcPr>
          <w:p>
            <w:pPr>
              <w:pStyle w:val="44"/>
              <w:spacing w:before="86" w:line="292" w:lineRule="auto"/>
              <w:ind w:left="14" w:right="3"/>
              <w:rPr>
                <w:color w:val="auto"/>
                <w:sz w:val="20"/>
                <w:highlight w:val="none"/>
              </w:rPr>
            </w:pPr>
            <w:r>
              <w:rPr>
                <w:color w:val="auto"/>
                <w:sz w:val="20"/>
                <w:highlight w:val="none"/>
              </w:rPr>
              <w:t>42</w:t>
            </w:r>
            <w:r>
              <w:rPr>
                <w:color w:val="auto"/>
                <w:spacing w:val="-17"/>
                <w:sz w:val="20"/>
                <w:highlight w:val="none"/>
              </w:rPr>
              <w:t>、辅导员</w:t>
            </w:r>
            <w:r>
              <w:rPr>
                <w:color w:val="auto"/>
                <w:sz w:val="20"/>
                <w:highlight w:val="none"/>
              </w:rPr>
              <w:t>（班主任</w:t>
            </w:r>
            <w:r>
              <w:rPr>
                <w:color w:val="auto"/>
                <w:spacing w:val="-31"/>
                <w:sz w:val="20"/>
                <w:highlight w:val="none"/>
              </w:rPr>
              <w:t>）</w:t>
            </w:r>
            <w:r>
              <w:rPr>
                <w:color w:val="auto"/>
                <w:spacing w:val="-9"/>
                <w:sz w:val="20"/>
                <w:highlight w:val="none"/>
              </w:rPr>
              <w:t xml:space="preserve">工作受到学生、家长满意率达 </w:t>
            </w:r>
            <w:r>
              <w:rPr>
                <w:color w:val="auto"/>
                <w:sz w:val="20"/>
                <w:highlight w:val="none"/>
              </w:rPr>
              <w:t>8O</w:t>
            </w:r>
            <w:r>
              <w:rPr>
                <w:color w:val="auto"/>
                <w:spacing w:val="-7"/>
                <w:sz w:val="20"/>
                <w:highlight w:val="none"/>
              </w:rPr>
              <w:t>%以上。(</w:t>
            </w:r>
            <w:r>
              <w:rPr>
                <w:color w:val="auto"/>
                <w:sz w:val="20"/>
                <w:highlight w:val="none"/>
              </w:rPr>
              <w:t>3</w:t>
            </w:r>
            <w:r>
              <w:rPr>
                <w:color w:val="auto"/>
                <w:spacing w:val="-25"/>
                <w:sz w:val="20"/>
                <w:highlight w:val="none"/>
              </w:rPr>
              <w:t xml:space="preserve"> 分)</w:t>
            </w:r>
            <w:r>
              <w:rPr>
                <w:color w:val="auto"/>
                <w:spacing w:val="-16"/>
                <w:sz w:val="20"/>
                <w:highlight w:val="none"/>
              </w:rPr>
              <w:t>（</w:t>
            </w:r>
            <w:r>
              <w:rPr>
                <w:color w:val="auto"/>
                <w:sz w:val="20"/>
                <w:highlight w:val="none"/>
              </w:rPr>
              <w:t>全</w:t>
            </w:r>
            <w:r>
              <w:rPr>
                <w:color w:val="auto"/>
                <w:spacing w:val="-6"/>
                <w:sz w:val="20"/>
                <w:highlight w:val="none"/>
              </w:rPr>
              <w:t xml:space="preserve">年学生评议平均得分 </w:t>
            </w:r>
            <w:r>
              <w:rPr>
                <w:color w:val="auto"/>
                <w:sz w:val="20"/>
                <w:highlight w:val="none"/>
              </w:rPr>
              <w:t>80</w:t>
            </w:r>
            <w:r>
              <w:rPr>
                <w:color w:val="auto"/>
                <w:spacing w:val="-12"/>
                <w:sz w:val="20"/>
                <w:highlight w:val="none"/>
              </w:rPr>
              <w:t xml:space="preserve"> 分及以上</w:t>
            </w:r>
            <w:r>
              <w:rPr>
                <w:color w:val="auto"/>
                <w:sz w:val="20"/>
                <w:highlight w:val="none"/>
              </w:rPr>
              <w:t>）</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431" w:type="dxa"/>
            <w:vMerge w:val="continue"/>
            <w:tcBorders>
              <w:top w:val="nil"/>
            </w:tcBorders>
          </w:tcPr>
          <w:p>
            <w:pPr>
              <w:rPr>
                <w:color w:val="auto"/>
                <w:sz w:val="2"/>
                <w:szCs w:val="2"/>
                <w:highlight w:val="none"/>
              </w:rPr>
            </w:pPr>
          </w:p>
        </w:tc>
        <w:tc>
          <w:tcPr>
            <w:tcW w:w="6337" w:type="dxa"/>
          </w:tcPr>
          <w:p>
            <w:pPr>
              <w:pStyle w:val="44"/>
              <w:spacing w:before="86"/>
              <w:ind w:left="14"/>
              <w:rPr>
                <w:color w:val="auto"/>
                <w:sz w:val="20"/>
                <w:highlight w:val="none"/>
              </w:rPr>
            </w:pPr>
            <w:r>
              <w:rPr>
                <w:color w:val="auto"/>
                <w:sz w:val="20"/>
                <w:highlight w:val="none"/>
              </w:rPr>
              <w:t>43</w:t>
            </w:r>
            <w:r>
              <w:rPr>
                <w:color w:val="auto"/>
                <w:spacing w:val="-12"/>
                <w:sz w:val="20"/>
                <w:highlight w:val="none"/>
              </w:rPr>
              <w:t>、辅导员</w:t>
            </w:r>
            <w:r>
              <w:rPr>
                <w:color w:val="auto"/>
                <w:sz w:val="20"/>
                <w:highlight w:val="none"/>
              </w:rPr>
              <w:t>（班主任</w:t>
            </w:r>
            <w:r>
              <w:rPr>
                <w:color w:val="auto"/>
                <w:spacing w:val="-24"/>
                <w:sz w:val="20"/>
                <w:highlight w:val="none"/>
              </w:rPr>
              <w:t>）</w:t>
            </w:r>
            <w:r>
              <w:rPr>
                <w:color w:val="auto"/>
                <w:spacing w:val="-3"/>
                <w:sz w:val="20"/>
                <w:highlight w:val="none"/>
              </w:rPr>
              <w:t>工作受到学校主管部门、院系领导及同事满意率达</w:t>
            </w:r>
          </w:p>
          <w:p>
            <w:pPr>
              <w:pStyle w:val="44"/>
              <w:spacing w:before="56"/>
              <w:ind w:left="14"/>
              <w:rPr>
                <w:color w:val="auto"/>
                <w:sz w:val="20"/>
                <w:highlight w:val="none"/>
              </w:rPr>
            </w:pPr>
            <w:r>
              <w:rPr>
                <w:color w:val="auto"/>
                <w:sz w:val="20"/>
                <w:highlight w:val="none"/>
              </w:rPr>
              <w:t>8O%以上。(3 分)（全年行政职能部门测评平均得分 80 分及以上）</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31" w:type="dxa"/>
            <w:vMerge w:val="continue"/>
            <w:tcBorders>
              <w:top w:val="nil"/>
            </w:tcBorders>
          </w:tcPr>
          <w:p>
            <w:pPr>
              <w:rPr>
                <w:color w:val="auto"/>
                <w:sz w:val="2"/>
                <w:szCs w:val="2"/>
                <w:highlight w:val="none"/>
              </w:rPr>
            </w:pPr>
          </w:p>
        </w:tc>
        <w:tc>
          <w:tcPr>
            <w:tcW w:w="6337" w:type="dxa"/>
          </w:tcPr>
          <w:p>
            <w:pPr>
              <w:pStyle w:val="44"/>
              <w:spacing w:before="43"/>
              <w:ind w:left="14"/>
              <w:rPr>
                <w:color w:val="auto"/>
                <w:sz w:val="20"/>
                <w:highlight w:val="none"/>
              </w:rPr>
            </w:pPr>
            <w:r>
              <w:rPr>
                <w:color w:val="auto"/>
                <w:sz w:val="20"/>
                <w:highlight w:val="none"/>
              </w:rPr>
              <w:t>44</w:t>
            </w:r>
            <w:r>
              <w:rPr>
                <w:color w:val="auto"/>
                <w:spacing w:val="-10"/>
                <w:sz w:val="20"/>
                <w:highlight w:val="none"/>
              </w:rPr>
              <w:t>、辅导员</w:t>
            </w:r>
            <w:r>
              <w:rPr>
                <w:color w:val="auto"/>
                <w:sz w:val="20"/>
                <w:highlight w:val="none"/>
              </w:rPr>
              <w:t>（班主任</w:t>
            </w:r>
            <w:r>
              <w:rPr>
                <w:color w:val="auto"/>
                <w:spacing w:val="-17"/>
                <w:sz w:val="20"/>
                <w:highlight w:val="none"/>
              </w:rPr>
              <w:t>）</w:t>
            </w:r>
            <w:r>
              <w:rPr>
                <w:color w:val="auto"/>
                <w:spacing w:val="-7"/>
                <w:sz w:val="20"/>
                <w:highlight w:val="none"/>
              </w:rPr>
              <w:t xml:space="preserve">岗位任职年限内，月度考核 </w:t>
            </w:r>
            <w:r>
              <w:rPr>
                <w:color w:val="auto"/>
                <w:sz w:val="20"/>
                <w:highlight w:val="none"/>
              </w:rPr>
              <w:t>1</w:t>
            </w:r>
            <w:r>
              <w:rPr>
                <w:color w:val="auto"/>
                <w:spacing w:val="-22"/>
                <w:sz w:val="20"/>
                <w:highlight w:val="none"/>
              </w:rPr>
              <w:t xml:space="preserve"> 次优秀 </w:t>
            </w:r>
            <w:r>
              <w:rPr>
                <w:color w:val="auto"/>
                <w:sz w:val="20"/>
                <w:highlight w:val="none"/>
              </w:rPr>
              <w:t>0.5</w:t>
            </w:r>
            <w:r>
              <w:rPr>
                <w:color w:val="auto"/>
                <w:spacing w:val="-16"/>
                <w:sz w:val="20"/>
                <w:highlight w:val="none"/>
              </w:rPr>
              <w:t xml:space="preserve"> 分，最高</w:t>
            </w:r>
          </w:p>
          <w:p>
            <w:pPr>
              <w:pStyle w:val="44"/>
              <w:spacing w:before="56"/>
              <w:ind w:left="14"/>
              <w:rPr>
                <w:color w:val="auto"/>
                <w:sz w:val="20"/>
                <w:highlight w:val="none"/>
              </w:rPr>
            </w:pPr>
            <w:r>
              <w:rPr>
                <w:color w:val="auto"/>
                <w:sz w:val="20"/>
                <w:highlight w:val="none"/>
              </w:rPr>
              <w:t>2 分。(2 分)</w:t>
            </w:r>
          </w:p>
        </w:tc>
        <w:tc>
          <w:tcPr>
            <w:tcW w:w="141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431" w:type="dxa"/>
            <w:vMerge w:val="continue"/>
            <w:tcBorders>
              <w:top w:val="nil"/>
            </w:tcBorders>
          </w:tcPr>
          <w:p>
            <w:pPr>
              <w:rPr>
                <w:color w:val="auto"/>
                <w:sz w:val="2"/>
                <w:szCs w:val="2"/>
                <w:highlight w:val="none"/>
              </w:rPr>
            </w:pPr>
          </w:p>
        </w:tc>
        <w:tc>
          <w:tcPr>
            <w:tcW w:w="6337" w:type="dxa"/>
          </w:tcPr>
          <w:p>
            <w:pPr>
              <w:pStyle w:val="44"/>
              <w:spacing w:before="44"/>
              <w:ind w:left="14"/>
              <w:rPr>
                <w:color w:val="auto"/>
                <w:sz w:val="20"/>
                <w:highlight w:val="none"/>
              </w:rPr>
            </w:pPr>
            <w:r>
              <w:rPr>
                <w:color w:val="auto"/>
                <w:sz w:val="20"/>
                <w:highlight w:val="none"/>
              </w:rPr>
              <w:t>45</w:t>
            </w:r>
            <w:r>
              <w:rPr>
                <w:color w:val="auto"/>
                <w:spacing w:val="-5"/>
                <w:sz w:val="20"/>
                <w:highlight w:val="none"/>
              </w:rPr>
              <w:t>、辅导员</w:t>
            </w:r>
            <w:r>
              <w:rPr>
                <w:color w:val="auto"/>
                <w:sz w:val="20"/>
                <w:highlight w:val="none"/>
              </w:rPr>
              <w:t>（班主任</w:t>
            </w:r>
            <w:r>
              <w:rPr>
                <w:color w:val="auto"/>
                <w:spacing w:val="-7"/>
                <w:sz w:val="20"/>
                <w:highlight w:val="none"/>
              </w:rPr>
              <w:t>）</w:t>
            </w:r>
            <w:r>
              <w:rPr>
                <w:color w:val="auto"/>
                <w:spacing w:val="-6"/>
                <w:sz w:val="20"/>
                <w:highlight w:val="none"/>
              </w:rPr>
              <w:t xml:space="preserve">岗位任职年限内，年度考核 </w:t>
            </w:r>
            <w:r>
              <w:rPr>
                <w:color w:val="auto"/>
                <w:sz w:val="20"/>
                <w:highlight w:val="none"/>
              </w:rPr>
              <w:t>1</w:t>
            </w:r>
            <w:r>
              <w:rPr>
                <w:color w:val="auto"/>
                <w:spacing w:val="-22"/>
                <w:sz w:val="20"/>
                <w:highlight w:val="none"/>
              </w:rPr>
              <w:t xml:space="preserve"> 次优秀 </w:t>
            </w:r>
            <w:r>
              <w:rPr>
                <w:color w:val="auto"/>
                <w:sz w:val="20"/>
                <w:highlight w:val="none"/>
              </w:rPr>
              <w:t>1</w:t>
            </w:r>
            <w:r>
              <w:rPr>
                <w:color w:val="auto"/>
                <w:spacing w:val="-19"/>
                <w:sz w:val="20"/>
                <w:highlight w:val="none"/>
              </w:rPr>
              <w:t xml:space="preserve"> 分，最高 </w:t>
            </w:r>
            <w:r>
              <w:rPr>
                <w:color w:val="auto"/>
                <w:sz w:val="20"/>
                <w:highlight w:val="none"/>
              </w:rPr>
              <w:t>2</w:t>
            </w:r>
          </w:p>
          <w:p>
            <w:pPr>
              <w:pStyle w:val="44"/>
              <w:spacing w:before="56"/>
              <w:ind w:left="14"/>
              <w:rPr>
                <w:color w:val="auto"/>
                <w:sz w:val="20"/>
                <w:highlight w:val="none"/>
              </w:rPr>
            </w:pPr>
            <w:r>
              <w:rPr>
                <w:color w:val="auto"/>
                <w:sz w:val="20"/>
                <w:highlight w:val="none"/>
              </w:rPr>
              <w:t>分。(2 分)</w:t>
            </w:r>
          </w:p>
        </w:tc>
        <w:tc>
          <w:tcPr>
            <w:tcW w:w="1412" w:type="dxa"/>
          </w:tcPr>
          <w:p>
            <w:pPr>
              <w:pStyle w:val="44"/>
              <w:rPr>
                <w:rFonts w:ascii="Times New Roman"/>
                <w:color w:val="auto"/>
                <w:sz w:val="18"/>
                <w:highlight w:val="none"/>
              </w:rPr>
            </w:pPr>
          </w:p>
        </w:tc>
      </w:tr>
    </w:tbl>
    <w:p>
      <w:pPr>
        <w:pStyle w:val="6"/>
        <w:rPr>
          <w:color w:val="auto"/>
          <w:sz w:val="20"/>
          <w:highlight w:val="none"/>
        </w:rPr>
      </w:pPr>
    </w:p>
    <w:p>
      <w:pPr>
        <w:pStyle w:val="6"/>
        <w:rPr>
          <w:color w:val="auto"/>
          <w:sz w:val="20"/>
          <w:highlight w:val="none"/>
        </w:rPr>
      </w:pPr>
    </w:p>
    <w:p>
      <w:pPr>
        <w:pStyle w:val="6"/>
        <w:spacing w:before="10"/>
        <w:rPr>
          <w:color w:val="auto"/>
          <w:sz w:val="21"/>
          <w:highlight w:val="none"/>
        </w:rPr>
      </w:pPr>
    </w:p>
    <w:p>
      <w:pPr>
        <w:spacing w:before="71"/>
        <w:ind w:left="120" w:right="0" w:firstLine="0"/>
        <w:jc w:val="left"/>
        <w:rPr>
          <w:color w:val="auto"/>
          <w:sz w:val="20"/>
          <w:highlight w:val="none"/>
        </w:rPr>
      </w:pPr>
      <w:r>
        <w:rPr>
          <w:color w:val="auto"/>
          <w:sz w:val="20"/>
          <w:highlight w:val="none"/>
        </w:rPr>
        <w:t>备注:</w:t>
      </w:r>
    </w:p>
    <w:p>
      <w:pPr>
        <w:pStyle w:val="35"/>
        <w:numPr>
          <w:ilvl w:val="0"/>
          <w:numId w:val="10"/>
        </w:numPr>
        <w:tabs>
          <w:tab w:val="left" w:pos="322"/>
        </w:tabs>
        <w:spacing w:before="56" w:after="0" w:line="292" w:lineRule="auto"/>
        <w:ind w:left="120" w:right="154" w:firstLine="0"/>
        <w:jc w:val="left"/>
        <w:rPr>
          <w:color w:val="auto"/>
          <w:sz w:val="20"/>
          <w:highlight w:val="none"/>
        </w:rPr>
      </w:pPr>
      <w:r>
        <w:rPr>
          <w:color w:val="auto"/>
          <w:sz w:val="20"/>
          <w:highlight w:val="none"/>
        </w:rPr>
        <w:t>本评审指标中涉及到的工作量、工作成绩、教学、科研、获奖情况等指标,均要求在专职辅导员（班主</w:t>
      </w:r>
      <w:r>
        <w:rPr>
          <w:color w:val="auto"/>
          <w:w w:val="95"/>
          <w:sz w:val="20"/>
          <w:highlight w:val="none"/>
        </w:rPr>
        <w:t>任</w:t>
      </w:r>
      <w:r>
        <w:rPr>
          <w:color w:val="auto"/>
          <w:spacing w:val="-22"/>
          <w:w w:val="95"/>
          <w:sz w:val="20"/>
          <w:highlight w:val="none"/>
        </w:rPr>
        <w:t>）</w:t>
      </w:r>
      <w:r>
        <w:rPr>
          <w:color w:val="auto"/>
          <w:spacing w:val="-5"/>
          <w:w w:val="95"/>
          <w:sz w:val="20"/>
          <w:highlight w:val="none"/>
        </w:rPr>
        <w:t>工作职责之内。专职辅导员</w:t>
      </w:r>
      <w:r>
        <w:rPr>
          <w:color w:val="auto"/>
          <w:w w:val="95"/>
          <w:sz w:val="20"/>
          <w:highlight w:val="none"/>
        </w:rPr>
        <w:t>（班主任</w:t>
      </w:r>
      <w:r>
        <w:rPr>
          <w:color w:val="auto"/>
          <w:spacing w:val="-22"/>
          <w:w w:val="95"/>
          <w:sz w:val="20"/>
          <w:highlight w:val="none"/>
        </w:rPr>
        <w:t>）</w:t>
      </w:r>
      <w:r>
        <w:rPr>
          <w:color w:val="auto"/>
          <w:spacing w:val="-6"/>
          <w:w w:val="95"/>
          <w:sz w:val="20"/>
          <w:highlight w:val="none"/>
        </w:rPr>
        <w:t>工作职责参见《普通高等学校辅导员</w:t>
      </w:r>
      <w:r>
        <w:rPr>
          <w:color w:val="auto"/>
          <w:w w:val="95"/>
          <w:sz w:val="20"/>
          <w:highlight w:val="none"/>
        </w:rPr>
        <w:t>（班主任</w:t>
      </w:r>
      <w:r>
        <w:rPr>
          <w:color w:val="auto"/>
          <w:spacing w:val="-19"/>
          <w:w w:val="95"/>
          <w:sz w:val="20"/>
          <w:highlight w:val="none"/>
        </w:rPr>
        <w:t>）</w:t>
      </w:r>
      <w:r>
        <w:rPr>
          <w:color w:val="auto"/>
          <w:w w:val="95"/>
          <w:sz w:val="20"/>
          <w:highlight w:val="none"/>
        </w:rPr>
        <w:t xml:space="preserve">队伍建设规定》    </w:t>
      </w:r>
      <w:r>
        <w:rPr>
          <w:color w:val="auto"/>
          <w:spacing w:val="-8"/>
          <w:sz w:val="20"/>
          <w:highlight w:val="none"/>
        </w:rPr>
        <w:t xml:space="preserve">(教育部令第 </w:t>
      </w:r>
      <w:r>
        <w:rPr>
          <w:color w:val="auto"/>
          <w:sz w:val="20"/>
          <w:highlight w:val="none"/>
        </w:rPr>
        <w:t>43</w:t>
      </w:r>
      <w:r>
        <w:rPr>
          <w:color w:val="auto"/>
          <w:spacing w:val="-14"/>
          <w:sz w:val="20"/>
          <w:highlight w:val="none"/>
        </w:rPr>
        <w:t xml:space="preserve"> 号)。</w:t>
      </w:r>
    </w:p>
    <w:p>
      <w:pPr>
        <w:pStyle w:val="35"/>
        <w:numPr>
          <w:ilvl w:val="0"/>
          <w:numId w:val="10"/>
        </w:numPr>
        <w:tabs>
          <w:tab w:val="left" w:pos="322"/>
        </w:tabs>
        <w:spacing w:before="0" w:after="0" w:line="254" w:lineRule="exact"/>
        <w:ind w:left="321" w:right="0" w:hanging="202"/>
        <w:jc w:val="left"/>
        <w:rPr>
          <w:color w:val="auto"/>
          <w:sz w:val="20"/>
          <w:highlight w:val="none"/>
        </w:rPr>
      </w:pPr>
      <w:r>
        <w:rPr>
          <w:color w:val="auto"/>
          <w:sz w:val="20"/>
          <w:highlight w:val="none"/>
        </w:rPr>
        <w:t>本评审指标须在满足评审基本条件的基础上进行,评审基本条件参见本办法第二章。</w:t>
      </w:r>
    </w:p>
    <w:p>
      <w:pPr>
        <w:pStyle w:val="35"/>
        <w:numPr>
          <w:ilvl w:val="0"/>
          <w:numId w:val="10"/>
        </w:numPr>
        <w:tabs>
          <w:tab w:val="left" w:pos="322"/>
        </w:tabs>
        <w:spacing w:before="55" w:after="0" w:line="240" w:lineRule="auto"/>
        <w:ind w:left="321" w:right="0" w:hanging="202"/>
        <w:jc w:val="left"/>
        <w:rPr>
          <w:color w:val="auto"/>
          <w:sz w:val="20"/>
          <w:highlight w:val="none"/>
        </w:rPr>
      </w:pPr>
      <w:r>
        <w:rPr>
          <w:color w:val="auto"/>
          <w:sz w:val="20"/>
          <w:highlight w:val="none"/>
        </w:rPr>
        <w:t>本评审指标“合格率”、“优秀率”、“满意率”、“年度考核优秀”以学校的规定为准。</w:t>
      </w:r>
    </w:p>
    <w:p>
      <w:pPr>
        <w:pStyle w:val="35"/>
        <w:numPr>
          <w:ilvl w:val="0"/>
          <w:numId w:val="10"/>
        </w:numPr>
        <w:tabs>
          <w:tab w:val="left" w:pos="322"/>
        </w:tabs>
        <w:spacing w:before="56" w:after="0" w:line="240" w:lineRule="auto"/>
        <w:ind w:left="321" w:right="0" w:hanging="202"/>
        <w:jc w:val="left"/>
        <w:rPr>
          <w:color w:val="auto"/>
          <w:sz w:val="20"/>
          <w:highlight w:val="none"/>
        </w:rPr>
      </w:pPr>
      <w:r>
        <w:rPr>
          <w:color w:val="auto"/>
          <w:sz w:val="20"/>
          <w:highlight w:val="none"/>
        </w:rPr>
        <w:t>本评审指标中所有加分项所用的论文和奖项需在辅导员（班主任）岗位聘任期内获得。</w:t>
      </w:r>
    </w:p>
    <w:p>
      <w:pPr>
        <w:spacing w:after="0" w:line="240" w:lineRule="auto"/>
        <w:jc w:val="left"/>
        <w:rPr>
          <w:color w:val="auto"/>
          <w:sz w:val="20"/>
          <w:highlight w:val="none"/>
        </w:rPr>
        <w:sectPr>
          <w:pgSz w:w="11910" w:h="16840"/>
          <w:pgMar w:top="1400" w:right="700" w:bottom="1984" w:left="1680" w:header="720" w:footer="720" w:gutter="0"/>
          <w:pgNumType w:fmt="decimal"/>
          <w:cols w:space="720" w:num="1"/>
          <w:rtlGutter w:val="0"/>
        </w:sectPr>
      </w:pPr>
    </w:p>
    <w:p>
      <w:pPr>
        <w:pStyle w:val="6"/>
        <w:spacing w:before="9"/>
        <w:ind w:left="760"/>
        <w:rPr>
          <w:color w:val="auto"/>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page">
                  <wp:posOffset>1130300</wp:posOffset>
                </wp:positionH>
                <wp:positionV relativeFrom="paragraph">
                  <wp:posOffset>305435</wp:posOffset>
                </wp:positionV>
                <wp:extent cx="5864225" cy="81476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864225" cy="8147685"/>
                        </a:xfrm>
                        <a:prstGeom prst="rect">
                          <a:avLst/>
                        </a:prstGeom>
                        <a:noFill/>
                        <a:ln>
                          <a:noFill/>
                        </a:ln>
                      </wps:spPr>
                      <wps:txbx>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58"/>
                              <w:gridCol w:w="1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9220" w:type="dxa"/>
                                  <w:gridSpan w:val="3"/>
                                </w:tcPr>
                                <w:p>
                                  <w:pPr>
                                    <w:pStyle w:val="44"/>
                                    <w:spacing w:before="195" w:line="417" w:lineRule="auto"/>
                                    <w:ind w:left="113" w:right="99"/>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科评审指标参考体系（副教授）</w:t>
                                  </w:r>
                                </w:p>
                                <w:p>
                                  <w:pPr>
                                    <w:pStyle w:val="44"/>
                                    <w:spacing w:line="358" w:lineRule="exact"/>
                                    <w:ind w:left="105" w:right="99"/>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tcPr>
                                <w:p>
                                  <w:pPr>
                                    <w:pStyle w:val="44"/>
                                    <w:spacing w:before="86"/>
                                    <w:ind w:left="245"/>
                                    <w:rPr>
                                      <w:sz w:val="20"/>
                                    </w:rPr>
                                  </w:pPr>
                                  <w:r>
                                    <w:rPr>
                                      <w:sz w:val="20"/>
                                    </w:rPr>
                                    <w:t>一级指标</w:t>
                                  </w:r>
                                </w:p>
                              </w:tc>
                              <w:tc>
                                <w:tcPr>
                                  <w:tcW w:w="6658" w:type="dxa"/>
                                </w:tcPr>
                                <w:p>
                                  <w:pPr>
                                    <w:pStyle w:val="44"/>
                                    <w:spacing w:before="86"/>
                                    <w:ind w:left="2909" w:right="2899"/>
                                    <w:jc w:val="center"/>
                                    <w:rPr>
                                      <w:sz w:val="20"/>
                                    </w:rPr>
                                  </w:pPr>
                                  <w:r>
                                    <w:rPr>
                                      <w:sz w:val="20"/>
                                    </w:rPr>
                                    <w:t>二级指标</w:t>
                                  </w:r>
                                </w:p>
                              </w:tc>
                              <w:tc>
                                <w:tcPr>
                                  <w:tcW w:w="1272" w:type="dxa"/>
                                </w:tcPr>
                                <w:p>
                                  <w:pPr>
                                    <w:pStyle w:val="44"/>
                                    <w:spacing w:before="86"/>
                                    <w:ind w:left="414" w:right="407"/>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5"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1"/>
                                    <w:rPr>
                                      <w:rFonts w:ascii="方正仿宋_GBK"/>
                                      <w:sz w:val="19"/>
                                    </w:rPr>
                                  </w:pPr>
                                </w:p>
                                <w:p>
                                  <w:pPr>
                                    <w:pStyle w:val="44"/>
                                    <w:ind w:left="23" w:right="17"/>
                                    <w:jc w:val="center"/>
                                    <w:rPr>
                                      <w:sz w:val="20"/>
                                    </w:rPr>
                                  </w:pPr>
                                  <w:r>
                                    <w:rPr>
                                      <w:sz w:val="20"/>
                                    </w:rPr>
                                    <w:t>一、思政素养</w:t>
                                  </w:r>
                                </w:p>
                                <w:p>
                                  <w:pPr>
                                    <w:pStyle w:val="44"/>
                                    <w:spacing w:before="56"/>
                                    <w:ind w:left="23" w:right="17"/>
                                    <w:jc w:val="center"/>
                                    <w:rPr>
                                      <w:sz w:val="20"/>
                                    </w:rPr>
                                  </w:pPr>
                                  <w:r>
                                    <w:rPr>
                                      <w:sz w:val="20"/>
                                    </w:rPr>
                                    <w:t>（5 分）</w:t>
                                  </w:r>
                                </w:p>
                              </w:tc>
                              <w:tc>
                                <w:tcPr>
                                  <w:tcW w:w="6658" w:type="dxa"/>
                                </w:tcPr>
                                <w:p>
                                  <w:pPr>
                                    <w:pStyle w:val="44"/>
                                    <w:rPr>
                                      <w:rFonts w:ascii="方正仿宋_GBK"/>
                                      <w:sz w:val="16"/>
                                    </w:rPr>
                                  </w:pPr>
                                </w:p>
                                <w:p>
                                  <w:pPr>
                                    <w:pStyle w:val="44"/>
                                    <w:spacing w:line="292" w:lineRule="auto"/>
                                    <w:ind w:left="13" w:right="3"/>
                                    <w:jc w:val="both"/>
                                    <w:rPr>
                                      <w:sz w:val="20"/>
                                    </w:rPr>
                                  </w:pPr>
                                  <w:r>
                                    <w:rPr>
                                      <w:w w:val="95"/>
                                      <w:sz w:val="20"/>
                                    </w:rPr>
                                    <w:t>1</w:t>
                                  </w:r>
                                  <w:r>
                                    <w:rPr>
                                      <w:spacing w:val="-9"/>
                                      <w:w w:val="95"/>
                                      <w:sz w:val="20"/>
                                    </w:rPr>
                                    <w:t xml:space="preserve">、政治立场坚定,热爱祖国，坚定不移拥护中国共产党领导,高举中国特色社  </w:t>
                                  </w:r>
                                  <w:r>
                                    <w:rPr>
                                      <w:spacing w:val="-13"/>
                                      <w:w w:val="95"/>
                                      <w:sz w:val="20"/>
                                    </w:rPr>
                                    <w:t xml:space="preserve">会主义伟大旗帜,全面贯彻党的教育方针。能根据高等教育发展要求结合学生  </w:t>
                                  </w:r>
                                  <w:r>
                                    <w:rPr>
                                      <w:spacing w:val="-13"/>
                                      <w:sz w:val="20"/>
                                    </w:rPr>
                                    <w:t>实际开展工作。(1</w:t>
                                  </w:r>
                                  <w:r>
                                    <w:rPr>
                                      <w:spacing w:val="-26"/>
                                      <w:sz w:val="20"/>
                                    </w:rPr>
                                    <w:t xml:space="preserve"> 分</w:t>
                                  </w:r>
                                  <w:r>
                                    <w:rPr>
                                      <w:sz w:val="20"/>
                                    </w:rPr>
                                    <w:t>）</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2、富有爱心和责任心,真诚关爱和正确引导学生。(1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290" w:type="dxa"/>
                                  <w:vMerge w:val="continue"/>
                                  <w:tcBorders>
                                    <w:top w:val="nil"/>
                                  </w:tcBorders>
                                </w:tcPr>
                                <w:p>
                                  <w:pPr>
                                    <w:rPr>
                                      <w:sz w:val="2"/>
                                      <w:szCs w:val="2"/>
                                    </w:rPr>
                                  </w:pPr>
                                </w:p>
                              </w:tc>
                              <w:tc>
                                <w:tcPr>
                                  <w:tcW w:w="6658" w:type="dxa"/>
                                </w:tcPr>
                                <w:p>
                                  <w:pPr>
                                    <w:pStyle w:val="44"/>
                                    <w:spacing w:before="86"/>
                                    <w:ind w:left="13"/>
                                    <w:rPr>
                                      <w:sz w:val="20"/>
                                    </w:rPr>
                                  </w:pPr>
                                  <w:r>
                                    <w:rPr>
                                      <w:sz w:val="20"/>
                                    </w:rPr>
                                    <w:t>3、具有良好的道德品质和文明的举止言行。(1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4、管理工作公开公平公正,法治理念与人文关怀相结合。(1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5、无违反工作纪律行为。(1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9"/>
                                    <w:rPr>
                                      <w:rFonts w:ascii="方正仿宋_GBK"/>
                                      <w:sz w:val="11"/>
                                    </w:rPr>
                                  </w:pPr>
                                </w:p>
                                <w:p>
                                  <w:pPr>
                                    <w:pStyle w:val="44"/>
                                    <w:ind w:left="23" w:right="17"/>
                                    <w:jc w:val="center"/>
                                    <w:rPr>
                                      <w:sz w:val="20"/>
                                    </w:rPr>
                                  </w:pPr>
                                  <w:r>
                                    <w:rPr>
                                      <w:sz w:val="20"/>
                                    </w:rPr>
                                    <w:t>二、职业能力</w:t>
                                  </w:r>
                                </w:p>
                                <w:p>
                                  <w:pPr>
                                    <w:pStyle w:val="44"/>
                                    <w:spacing w:before="56"/>
                                    <w:ind w:left="23" w:right="17"/>
                                    <w:jc w:val="center"/>
                                    <w:rPr>
                                      <w:sz w:val="20"/>
                                    </w:rPr>
                                  </w:pPr>
                                  <w:r>
                                    <w:rPr>
                                      <w:sz w:val="20"/>
                                    </w:rPr>
                                    <w:t>（20 分）</w:t>
                                  </w:r>
                                </w:p>
                              </w:tc>
                              <w:tc>
                                <w:tcPr>
                                  <w:tcW w:w="6658" w:type="dxa"/>
                                </w:tcPr>
                                <w:p>
                                  <w:pPr>
                                    <w:pStyle w:val="44"/>
                                    <w:spacing w:before="87" w:line="292" w:lineRule="auto"/>
                                    <w:ind w:left="13" w:right="3"/>
                                    <w:rPr>
                                      <w:sz w:val="20"/>
                                    </w:rPr>
                                  </w:pPr>
                                  <w:r>
                                    <w:rPr>
                                      <w:w w:val="95"/>
                                      <w:sz w:val="20"/>
                                    </w:rPr>
                                    <w:t>6</w:t>
                                  </w:r>
                                  <w:r>
                                    <w:rPr>
                                      <w:spacing w:val="-9"/>
                                      <w:w w:val="95"/>
                                      <w:sz w:val="20"/>
                                    </w:rPr>
                                    <w:t xml:space="preserve">、获得心理咨询师、职业指导师、创业指导师、就业指导、社工等职业资质  </w:t>
                                  </w:r>
                                  <w:r>
                                    <w:rPr>
                                      <w:spacing w:val="-9"/>
                                      <w:sz w:val="20"/>
                                    </w:rPr>
                                    <w:t>证书或者省级相关培训合格证书或结业证明。(2</w:t>
                                  </w:r>
                                  <w:r>
                                    <w:rPr>
                                      <w:spacing w:val="-18"/>
                                      <w:sz w:val="20"/>
                                    </w:rPr>
                                    <w:t xml:space="preserve">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290" w:type="dxa"/>
                                  <w:vMerge w:val="continue"/>
                                  <w:tcBorders>
                                    <w:top w:val="nil"/>
                                  </w:tcBorders>
                                </w:tcPr>
                                <w:p>
                                  <w:pPr>
                                    <w:rPr>
                                      <w:sz w:val="2"/>
                                      <w:szCs w:val="2"/>
                                    </w:rPr>
                                  </w:pPr>
                                </w:p>
                              </w:tc>
                              <w:tc>
                                <w:tcPr>
                                  <w:tcW w:w="6658" w:type="dxa"/>
                                </w:tcPr>
                                <w:p>
                                  <w:pPr>
                                    <w:pStyle w:val="44"/>
                                    <w:spacing w:before="9" w:line="310" w:lineRule="atLeast"/>
                                    <w:ind w:left="13" w:right="104"/>
                                    <w:rPr>
                                      <w:sz w:val="20"/>
                                    </w:rPr>
                                  </w:pPr>
                                  <w:r>
                                    <w:rPr>
                                      <w:w w:val="95"/>
                                      <w:sz w:val="20"/>
                                    </w:rPr>
                                    <w:t>7</w:t>
                                  </w:r>
                                  <w:r>
                                    <w:rPr>
                                      <w:spacing w:val="-9"/>
                                      <w:w w:val="95"/>
                                      <w:sz w:val="20"/>
                                    </w:rPr>
                                    <w:t>、在省级及以上辅导员</w:t>
                                  </w:r>
                                  <w:r>
                                    <w:rPr>
                                      <w:w w:val="95"/>
                                      <w:sz w:val="20"/>
                                    </w:rPr>
                                    <w:t>（班主任</w:t>
                                  </w:r>
                                  <w:r>
                                    <w:rPr>
                                      <w:spacing w:val="-34"/>
                                      <w:w w:val="95"/>
                                      <w:sz w:val="20"/>
                                    </w:rPr>
                                    <w:t>）</w:t>
                                  </w:r>
                                  <w:r>
                                    <w:rPr>
                                      <w:spacing w:val="-9"/>
                                      <w:w w:val="95"/>
                                      <w:sz w:val="20"/>
                                    </w:rPr>
                                    <w:t xml:space="preserve">演讲、网文、征文等各类单项竞赛中获奖  </w:t>
                                  </w:r>
                                  <w:r>
                                    <w:rPr>
                                      <w:spacing w:val="-9"/>
                                      <w:sz w:val="20"/>
                                    </w:rPr>
                                    <w:t>(2</w:t>
                                  </w:r>
                                  <w:r>
                                    <w:rPr>
                                      <w:spacing w:val="-17"/>
                                      <w:sz w:val="20"/>
                                    </w:rPr>
                                    <w:t xml:space="preserve"> 分)</w:t>
                                  </w:r>
                                </w:p>
                              </w:tc>
                              <w:tc>
                                <w:tcPr>
                                  <w:tcW w:w="1272" w:type="dxa"/>
                                </w:tcPr>
                                <w:p>
                                  <w:pPr>
                                    <w:pStyle w:val="44"/>
                                    <w:spacing w:before="62"/>
                                    <w:ind w:left="-117"/>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8、主持或参与省级及以上辅导员（班主任）精品项目工作任务。(4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9、在省级辅导员（班主任）职业能力大赛中获三等奖以上。(3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290" w:type="dxa"/>
                                  <w:vMerge w:val="continue"/>
                                  <w:tcBorders>
                                    <w:top w:val="nil"/>
                                  </w:tcBorders>
                                </w:tcPr>
                                <w:p>
                                  <w:pPr>
                                    <w:rPr>
                                      <w:sz w:val="2"/>
                                      <w:szCs w:val="2"/>
                                    </w:rPr>
                                  </w:pPr>
                                </w:p>
                              </w:tc>
                              <w:tc>
                                <w:tcPr>
                                  <w:tcW w:w="6658" w:type="dxa"/>
                                </w:tcPr>
                                <w:p>
                                  <w:pPr>
                                    <w:pStyle w:val="44"/>
                                    <w:spacing w:before="44"/>
                                    <w:ind w:left="13"/>
                                    <w:rPr>
                                      <w:sz w:val="20"/>
                                    </w:rPr>
                                  </w:pPr>
                                  <w:r>
                                    <w:rPr>
                                      <w:sz w:val="20"/>
                                    </w:rPr>
                                    <w:t>10、获得省级年度优秀辅导员（班主任）或先进工作者及以上荣誉称号。(2</w:t>
                                  </w:r>
                                </w:p>
                                <w:p>
                                  <w:pPr>
                                    <w:pStyle w:val="44"/>
                                    <w:spacing w:before="56"/>
                                    <w:ind w:left="13"/>
                                    <w:rPr>
                                      <w:sz w:val="20"/>
                                    </w:rPr>
                                  </w:pPr>
                                  <w:r>
                                    <w:rPr>
                                      <w:sz w:val="20"/>
                                    </w:rPr>
                                    <w:t>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sz w:val="2"/>
                                      <w:szCs w:val="2"/>
                                    </w:rPr>
                                  </w:pPr>
                                </w:p>
                              </w:tc>
                              <w:tc>
                                <w:tcPr>
                                  <w:tcW w:w="6658" w:type="dxa"/>
                                </w:tcPr>
                                <w:p>
                                  <w:pPr>
                                    <w:pStyle w:val="44"/>
                                    <w:spacing w:before="86"/>
                                    <w:ind w:left="13"/>
                                    <w:rPr>
                                      <w:sz w:val="20"/>
                                    </w:rPr>
                                  </w:pPr>
                                  <w:r>
                                    <w:rPr>
                                      <w:sz w:val="20"/>
                                    </w:rPr>
                                    <w:t>11、被评为云南省辅导员（班主任）“年度人物”或“最受学生敬佩辅导员</w:t>
                                  </w:r>
                                </w:p>
                                <w:p>
                                  <w:pPr>
                                    <w:pStyle w:val="44"/>
                                    <w:spacing w:before="55"/>
                                    <w:ind w:left="13"/>
                                    <w:rPr>
                                      <w:sz w:val="20"/>
                                    </w:rPr>
                                  </w:pPr>
                                  <w:r>
                                    <w:rPr>
                                      <w:sz w:val="20"/>
                                    </w:rPr>
                                    <w:t>（班主任）”等其他荣誉称号。(4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12、代表学院承担专项业务对接一年以上。(3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7"/>
                                    <w:rPr>
                                      <w:rFonts w:ascii="方正仿宋_GBK"/>
                                      <w:sz w:val="17"/>
                                    </w:rPr>
                                  </w:pPr>
                                </w:p>
                                <w:p>
                                  <w:pPr>
                                    <w:pStyle w:val="44"/>
                                    <w:spacing w:line="292" w:lineRule="auto"/>
                                    <w:ind w:left="444" w:right="4" w:hanging="430"/>
                                    <w:rPr>
                                      <w:sz w:val="20"/>
                                    </w:rPr>
                                  </w:pPr>
                                  <w:r>
                                    <w:rPr>
                                      <w:spacing w:val="-29"/>
                                      <w:sz w:val="20"/>
                                    </w:rPr>
                                    <w:t>三、工作量</w:t>
                                  </w:r>
                                  <w:r>
                                    <w:rPr>
                                      <w:spacing w:val="-5"/>
                                      <w:sz w:val="20"/>
                                    </w:rPr>
                                    <w:t xml:space="preserve">（30 </w:t>
                                  </w:r>
                                  <w:r>
                                    <w:rPr>
                                      <w:sz w:val="20"/>
                                    </w:rPr>
                                    <w:t>分）</w:t>
                                  </w:r>
                                </w:p>
                              </w:tc>
                              <w:tc>
                                <w:tcPr>
                                  <w:tcW w:w="6658" w:type="dxa"/>
                                </w:tcPr>
                                <w:p>
                                  <w:pPr>
                                    <w:pStyle w:val="44"/>
                                    <w:spacing w:before="85"/>
                                    <w:ind w:left="13"/>
                                    <w:rPr>
                                      <w:sz w:val="20"/>
                                    </w:rPr>
                                  </w:pPr>
                                  <w:r>
                                    <w:rPr>
                                      <w:sz w:val="20"/>
                                    </w:rPr>
                                    <w:t>13、履职辅导员（班主任）</w:t>
                                  </w:r>
                                  <w:r>
                                    <w:rPr>
                                      <w:spacing w:val="-14"/>
                                      <w:sz w:val="20"/>
                                    </w:rPr>
                                    <w:t xml:space="preserve">工作满 </w:t>
                                  </w:r>
                                  <w:r>
                                    <w:rPr>
                                      <w:sz w:val="20"/>
                                    </w:rPr>
                                    <w:t>4</w:t>
                                  </w:r>
                                  <w:r>
                                    <w:rPr>
                                      <w:spacing w:val="-8"/>
                                      <w:sz w:val="20"/>
                                    </w:rPr>
                                    <w:t xml:space="preserve"> 年基础上，每担任辅导员</w:t>
                                  </w:r>
                                  <w:r>
                                    <w:rPr>
                                      <w:sz w:val="20"/>
                                    </w:rPr>
                                    <w:t>（班主任）工</w:t>
                                  </w:r>
                                </w:p>
                                <w:p>
                                  <w:pPr>
                                    <w:pStyle w:val="44"/>
                                    <w:spacing w:before="56"/>
                                    <w:ind w:left="13"/>
                                    <w:rPr>
                                      <w:sz w:val="20"/>
                                    </w:rPr>
                                  </w:pPr>
                                  <w:r>
                                    <w:rPr>
                                      <w:sz w:val="20"/>
                                    </w:rPr>
                                    <w:t>作满 1 年加 0.5 分,最高 3 分。(3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sz w:val="2"/>
                                      <w:szCs w:val="2"/>
                                    </w:rPr>
                                  </w:pPr>
                                </w:p>
                              </w:tc>
                              <w:tc>
                                <w:tcPr>
                                  <w:tcW w:w="6658" w:type="dxa"/>
                                </w:tcPr>
                                <w:p>
                                  <w:pPr>
                                    <w:pStyle w:val="44"/>
                                    <w:spacing w:before="85" w:line="292" w:lineRule="auto"/>
                                    <w:ind w:left="13" w:right="3"/>
                                    <w:rPr>
                                      <w:sz w:val="20"/>
                                    </w:rPr>
                                  </w:pPr>
                                  <w:r>
                                    <w:rPr>
                                      <w:w w:val="95"/>
                                      <w:sz w:val="20"/>
                                    </w:rPr>
                                    <w:t>14</w:t>
                                  </w:r>
                                  <w:r>
                                    <w:rPr>
                                      <w:spacing w:val="-7"/>
                                      <w:w w:val="95"/>
                                      <w:sz w:val="20"/>
                                    </w:rPr>
                                    <w:t>、独立完成一个年级的辅导员</w:t>
                                  </w:r>
                                  <w:r>
                                    <w:rPr>
                                      <w:w w:val="95"/>
                                      <w:sz w:val="20"/>
                                    </w:rPr>
                                    <w:t>（班主任</w:t>
                                  </w:r>
                                  <w:r>
                                    <w:rPr>
                                      <w:spacing w:val="-22"/>
                                      <w:w w:val="95"/>
                                      <w:sz w:val="20"/>
                                    </w:rPr>
                                    <w:t>）</w:t>
                                  </w:r>
                                  <w:r>
                                    <w:rPr>
                                      <w:w w:val="95"/>
                                      <w:sz w:val="20"/>
                                    </w:rPr>
                                    <w:t xml:space="preserve">工作,或者所负责辅导学生数量符  </w:t>
                                  </w:r>
                                  <w:r>
                                    <w:rPr>
                                      <w:sz w:val="20"/>
                                    </w:rPr>
                                    <w:t>合教育部师生比规定。(1</w:t>
                                  </w:r>
                                  <w:r>
                                    <w:rPr>
                                      <w:spacing w:val="-26"/>
                                      <w:sz w:val="20"/>
                                    </w:rPr>
                                    <w:t xml:space="preserve"> 分</w:t>
                                  </w:r>
                                  <w:r>
                                    <w:rPr>
                                      <w:sz w:val="20"/>
                                    </w:rPr>
                                    <w:t>）</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290" w:type="dxa"/>
                                  <w:vMerge w:val="continue"/>
                                  <w:tcBorders>
                                    <w:top w:val="nil"/>
                                  </w:tcBorders>
                                </w:tcPr>
                                <w:p>
                                  <w:pPr>
                                    <w:rPr>
                                      <w:sz w:val="2"/>
                                      <w:szCs w:val="2"/>
                                    </w:rPr>
                                  </w:pPr>
                                </w:p>
                              </w:tc>
                              <w:tc>
                                <w:tcPr>
                                  <w:tcW w:w="6658" w:type="dxa"/>
                                </w:tcPr>
                                <w:p>
                                  <w:pPr>
                                    <w:pStyle w:val="44"/>
                                    <w:spacing w:before="9" w:line="310" w:lineRule="atLeast"/>
                                    <w:ind w:left="13" w:right="32"/>
                                    <w:rPr>
                                      <w:sz w:val="20"/>
                                    </w:rPr>
                                  </w:pPr>
                                  <w:r>
                                    <w:rPr>
                                      <w:w w:val="95"/>
                                      <w:sz w:val="20"/>
                                    </w:rPr>
                                    <w:t xml:space="preserve">15、兼任院系党委(支部)副书记或者团委(总支)书记、学生党总支书记等工  </w:t>
                                  </w:r>
                                  <w:r>
                                    <w:rPr>
                                      <w:sz w:val="20"/>
                                    </w:rPr>
                                    <w:t>作。(1</w:t>
                                  </w:r>
                                  <w:r>
                                    <w:rPr>
                                      <w:spacing w:val="-18"/>
                                      <w:sz w:val="20"/>
                                    </w:rPr>
                                    <w:t xml:space="preserve">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16、完成学校的政治学习、值班等工作任务。(1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17、关注学生成长环境,及时做好家校联系,并有相关记录。(3 分)</w:t>
                                  </w:r>
                                </w:p>
                              </w:tc>
                              <w:tc>
                                <w:tcPr>
                                  <w:tcW w:w="1272" w:type="dxa"/>
                                </w:tcPr>
                                <w:p>
                                  <w:pPr>
                                    <w:pStyle w:val="44"/>
                                    <w:rPr>
                                      <w:rFonts w:ascii="Times New Roman"/>
                                      <w:sz w:val="20"/>
                                    </w:rPr>
                                  </w:pPr>
                                </w:p>
                              </w:tc>
                            </w:tr>
                          </w:tbl>
                          <w:p>
                            <w:pPr>
                              <w:pStyle w:val="6"/>
                            </w:pPr>
                          </w:p>
                        </w:txbxContent>
                      </wps:txbx>
                      <wps:bodyPr lIns="0" tIns="0" rIns="0" bIns="0" upright="1"/>
                    </wps:wsp>
                  </a:graphicData>
                </a:graphic>
              </wp:anchor>
            </w:drawing>
          </mc:Choice>
          <mc:Fallback>
            <w:pict>
              <v:shape id="_x0000_s1026" o:spid="_x0000_s1026" o:spt="202" type="#_x0000_t202" style="position:absolute;left:0pt;margin-left:89pt;margin-top:24.05pt;height:641.55pt;width:461.75pt;mso-position-horizontal-relative:page;z-index:251664384;mso-width-relative:page;mso-height-relative:page;" filled="f" stroked="f" coordsize="21600,21600" o:gfxdata="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3ia8DaAAAADAEAAA8AAAAAAAAAAQAgAAAAIgAAAGRycy9kb3ducmV2LnhtbFBL&#10;AQIUABQAAAAIAIdO4kAv6RVNuwEAAHMDAAAOAAAAAAAAAAEAIAAAACkBAABkcnMvZTJvRG9jLnht&#10;bFBLBQYAAAAABgAGAFkBAABWBQAAAAA=&#10;">
                <v:fill on="f" focussize="0,0"/>
                <v:stroke on="f"/>
                <v:imagedata o:title=""/>
                <o:lock v:ext="edit" aspectratio="f"/>
                <v:textbox inset="0mm,0mm,0mm,0mm">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58"/>
                        <w:gridCol w:w="1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9220" w:type="dxa"/>
                            <w:gridSpan w:val="3"/>
                          </w:tcPr>
                          <w:p>
                            <w:pPr>
                              <w:pStyle w:val="44"/>
                              <w:spacing w:before="195" w:line="417" w:lineRule="auto"/>
                              <w:ind w:left="113" w:right="99"/>
                              <w:jc w:val="center"/>
                              <w:rPr>
                                <w:b/>
                                <w:sz w:val="28"/>
                              </w:rPr>
                            </w:pPr>
                            <w:r>
                              <w:rPr>
                                <w:b/>
                                <w:spacing w:val="-1"/>
                                <w:w w:val="95"/>
                                <w:sz w:val="28"/>
                              </w:rPr>
                              <w:t xml:space="preserve">云南城市建设职业学院专职辅导员申报教师专业技术职称思想政治教育学  </w:t>
                            </w:r>
                            <w:r>
                              <w:rPr>
                                <w:b/>
                                <w:spacing w:val="-1"/>
                                <w:sz w:val="28"/>
                              </w:rPr>
                              <w:t>科评审指标参考体系（副教授）</w:t>
                            </w:r>
                          </w:p>
                          <w:p>
                            <w:pPr>
                              <w:pStyle w:val="44"/>
                              <w:spacing w:line="358" w:lineRule="exact"/>
                              <w:ind w:left="105" w:right="99"/>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tcPr>
                          <w:p>
                            <w:pPr>
                              <w:pStyle w:val="44"/>
                              <w:spacing w:before="86"/>
                              <w:ind w:left="245"/>
                              <w:rPr>
                                <w:sz w:val="20"/>
                              </w:rPr>
                            </w:pPr>
                            <w:r>
                              <w:rPr>
                                <w:sz w:val="20"/>
                              </w:rPr>
                              <w:t>一级指标</w:t>
                            </w:r>
                          </w:p>
                        </w:tc>
                        <w:tc>
                          <w:tcPr>
                            <w:tcW w:w="6658" w:type="dxa"/>
                          </w:tcPr>
                          <w:p>
                            <w:pPr>
                              <w:pStyle w:val="44"/>
                              <w:spacing w:before="86"/>
                              <w:ind w:left="2909" w:right="2899"/>
                              <w:jc w:val="center"/>
                              <w:rPr>
                                <w:sz w:val="20"/>
                              </w:rPr>
                            </w:pPr>
                            <w:r>
                              <w:rPr>
                                <w:sz w:val="20"/>
                              </w:rPr>
                              <w:t>二级指标</w:t>
                            </w:r>
                          </w:p>
                        </w:tc>
                        <w:tc>
                          <w:tcPr>
                            <w:tcW w:w="1272" w:type="dxa"/>
                          </w:tcPr>
                          <w:p>
                            <w:pPr>
                              <w:pStyle w:val="44"/>
                              <w:spacing w:before="86"/>
                              <w:ind w:left="414" w:right="407"/>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5"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1"/>
                              <w:rPr>
                                <w:rFonts w:ascii="方正仿宋_GBK"/>
                                <w:sz w:val="19"/>
                              </w:rPr>
                            </w:pPr>
                          </w:p>
                          <w:p>
                            <w:pPr>
                              <w:pStyle w:val="44"/>
                              <w:ind w:left="23" w:right="17"/>
                              <w:jc w:val="center"/>
                              <w:rPr>
                                <w:sz w:val="20"/>
                              </w:rPr>
                            </w:pPr>
                            <w:r>
                              <w:rPr>
                                <w:sz w:val="20"/>
                              </w:rPr>
                              <w:t>一、思政素养</w:t>
                            </w:r>
                          </w:p>
                          <w:p>
                            <w:pPr>
                              <w:pStyle w:val="44"/>
                              <w:spacing w:before="56"/>
                              <w:ind w:left="23" w:right="17"/>
                              <w:jc w:val="center"/>
                              <w:rPr>
                                <w:sz w:val="20"/>
                              </w:rPr>
                            </w:pPr>
                            <w:r>
                              <w:rPr>
                                <w:sz w:val="20"/>
                              </w:rPr>
                              <w:t>（5 分）</w:t>
                            </w:r>
                          </w:p>
                        </w:tc>
                        <w:tc>
                          <w:tcPr>
                            <w:tcW w:w="6658" w:type="dxa"/>
                          </w:tcPr>
                          <w:p>
                            <w:pPr>
                              <w:pStyle w:val="44"/>
                              <w:rPr>
                                <w:rFonts w:ascii="方正仿宋_GBK"/>
                                <w:sz w:val="16"/>
                              </w:rPr>
                            </w:pPr>
                          </w:p>
                          <w:p>
                            <w:pPr>
                              <w:pStyle w:val="44"/>
                              <w:spacing w:line="292" w:lineRule="auto"/>
                              <w:ind w:left="13" w:right="3"/>
                              <w:jc w:val="both"/>
                              <w:rPr>
                                <w:sz w:val="20"/>
                              </w:rPr>
                            </w:pPr>
                            <w:r>
                              <w:rPr>
                                <w:w w:val="95"/>
                                <w:sz w:val="20"/>
                              </w:rPr>
                              <w:t>1</w:t>
                            </w:r>
                            <w:r>
                              <w:rPr>
                                <w:spacing w:val="-9"/>
                                <w:w w:val="95"/>
                                <w:sz w:val="20"/>
                              </w:rPr>
                              <w:t xml:space="preserve">、政治立场坚定,热爱祖国，坚定不移拥护中国共产党领导,高举中国特色社  </w:t>
                            </w:r>
                            <w:r>
                              <w:rPr>
                                <w:spacing w:val="-13"/>
                                <w:w w:val="95"/>
                                <w:sz w:val="20"/>
                              </w:rPr>
                              <w:t xml:space="preserve">会主义伟大旗帜,全面贯彻党的教育方针。能根据高等教育发展要求结合学生  </w:t>
                            </w:r>
                            <w:r>
                              <w:rPr>
                                <w:spacing w:val="-13"/>
                                <w:sz w:val="20"/>
                              </w:rPr>
                              <w:t>实际开展工作。(1</w:t>
                            </w:r>
                            <w:r>
                              <w:rPr>
                                <w:spacing w:val="-26"/>
                                <w:sz w:val="20"/>
                              </w:rPr>
                              <w:t xml:space="preserve"> 分</w:t>
                            </w:r>
                            <w:r>
                              <w:rPr>
                                <w:sz w:val="20"/>
                              </w:rPr>
                              <w:t>）</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2、富有爱心和责任心,真诚关爱和正确引导学生。(1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290" w:type="dxa"/>
                            <w:vMerge w:val="continue"/>
                            <w:tcBorders>
                              <w:top w:val="nil"/>
                            </w:tcBorders>
                          </w:tcPr>
                          <w:p>
                            <w:pPr>
                              <w:rPr>
                                <w:sz w:val="2"/>
                                <w:szCs w:val="2"/>
                              </w:rPr>
                            </w:pPr>
                          </w:p>
                        </w:tc>
                        <w:tc>
                          <w:tcPr>
                            <w:tcW w:w="6658" w:type="dxa"/>
                          </w:tcPr>
                          <w:p>
                            <w:pPr>
                              <w:pStyle w:val="44"/>
                              <w:spacing w:before="86"/>
                              <w:ind w:left="13"/>
                              <w:rPr>
                                <w:sz w:val="20"/>
                              </w:rPr>
                            </w:pPr>
                            <w:r>
                              <w:rPr>
                                <w:sz w:val="20"/>
                              </w:rPr>
                              <w:t>3、具有良好的道德品质和文明的举止言行。(1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4、管理工作公开公平公正,法治理念与人文关怀相结合。(1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5、无违反工作纪律行为。(1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9"/>
                              <w:rPr>
                                <w:rFonts w:ascii="方正仿宋_GBK"/>
                                <w:sz w:val="11"/>
                              </w:rPr>
                            </w:pPr>
                          </w:p>
                          <w:p>
                            <w:pPr>
                              <w:pStyle w:val="44"/>
                              <w:ind w:left="23" w:right="17"/>
                              <w:jc w:val="center"/>
                              <w:rPr>
                                <w:sz w:val="20"/>
                              </w:rPr>
                            </w:pPr>
                            <w:r>
                              <w:rPr>
                                <w:sz w:val="20"/>
                              </w:rPr>
                              <w:t>二、职业能力</w:t>
                            </w:r>
                          </w:p>
                          <w:p>
                            <w:pPr>
                              <w:pStyle w:val="44"/>
                              <w:spacing w:before="56"/>
                              <w:ind w:left="23" w:right="17"/>
                              <w:jc w:val="center"/>
                              <w:rPr>
                                <w:sz w:val="20"/>
                              </w:rPr>
                            </w:pPr>
                            <w:r>
                              <w:rPr>
                                <w:sz w:val="20"/>
                              </w:rPr>
                              <w:t>（20 分）</w:t>
                            </w:r>
                          </w:p>
                        </w:tc>
                        <w:tc>
                          <w:tcPr>
                            <w:tcW w:w="6658" w:type="dxa"/>
                          </w:tcPr>
                          <w:p>
                            <w:pPr>
                              <w:pStyle w:val="44"/>
                              <w:spacing w:before="87" w:line="292" w:lineRule="auto"/>
                              <w:ind w:left="13" w:right="3"/>
                              <w:rPr>
                                <w:sz w:val="20"/>
                              </w:rPr>
                            </w:pPr>
                            <w:r>
                              <w:rPr>
                                <w:w w:val="95"/>
                                <w:sz w:val="20"/>
                              </w:rPr>
                              <w:t>6</w:t>
                            </w:r>
                            <w:r>
                              <w:rPr>
                                <w:spacing w:val="-9"/>
                                <w:w w:val="95"/>
                                <w:sz w:val="20"/>
                              </w:rPr>
                              <w:t xml:space="preserve">、获得心理咨询师、职业指导师、创业指导师、就业指导、社工等职业资质  </w:t>
                            </w:r>
                            <w:r>
                              <w:rPr>
                                <w:spacing w:val="-9"/>
                                <w:sz w:val="20"/>
                              </w:rPr>
                              <w:t>证书或者省级相关培训合格证书或结业证明。(2</w:t>
                            </w:r>
                            <w:r>
                              <w:rPr>
                                <w:spacing w:val="-18"/>
                                <w:sz w:val="20"/>
                              </w:rPr>
                              <w:t xml:space="preserve">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290" w:type="dxa"/>
                            <w:vMerge w:val="continue"/>
                            <w:tcBorders>
                              <w:top w:val="nil"/>
                            </w:tcBorders>
                          </w:tcPr>
                          <w:p>
                            <w:pPr>
                              <w:rPr>
                                <w:sz w:val="2"/>
                                <w:szCs w:val="2"/>
                              </w:rPr>
                            </w:pPr>
                          </w:p>
                        </w:tc>
                        <w:tc>
                          <w:tcPr>
                            <w:tcW w:w="6658" w:type="dxa"/>
                          </w:tcPr>
                          <w:p>
                            <w:pPr>
                              <w:pStyle w:val="44"/>
                              <w:spacing w:before="9" w:line="310" w:lineRule="atLeast"/>
                              <w:ind w:left="13" w:right="104"/>
                              <w:rPr>
                                <w:sz w:val="20"/>
                              </w:rPr>
                            </w:pPr>
                            <w:r>
                              <w:rPr>
                                <w:w w:val="95"/>
                                <w:sz w:val="20"/>
                              </w:rPr>
                              <w:t>7</w:t>
                            </w:r>
                            <w:r>
                              <w:rPr>
                                <w:spacing w:val="-9"/>
                                <w:w w:val="95"/>
                                <w:sz w:val="20"/>
                              </w:rPr>
                              <w:t>、在省级及以上辅导员</w:t>
                            </w:r>
                            <w:r>
                              <w:rPr>
                                <w:w w:val="95"/>
                                <w:sz w:val="20"/>
                              </w:rPr>
                              <w:t>（班主任</w:t>
                            </w:r>
                            <w:r>
                              <w:rPr>
                                <w:spacing w:val="-34"/>
                                <w:w w:val="95"/>
                                <w:sz w:val="20"/>
                              </w:rPr>
                              <w:t>）</w:t>
                            </w:r>
                            <w:r>
                              <w:rPr>
                                <w:spacing w:val="-9"/>
                                <w:w w:val="95"/>
                                <w:sz w:val="20"/>
                              </w:rPr>
                              <w:t xml:space="preserve">演讲、网文、征文等各类单项竞赛中获奖  </w:t>
                            </w:r>
                            <w:r>
                              <w:rPr>
                                <w:spacing w:val="-9"/>
                                <w:sz w:val="20"/>
                              </w:rPr>
                              <w:t>(2</w:t>
                            </w:r>
                            <w:r>
                              <w:rPr>
                                <w:spacing w:val="-17"/>
                                <w:sz w:val="20"/>
                              </w:rPr>
                              <w:t xml:space="preserve"> 分)</w:t>
                            </w:r>
                          </w:p>
                        </w:tc>
                        <w:tc>
                          <w:tcPr>
                            <w:tcW w:w="1272" w:type="dxa"/>
                          </w:tcPr>
                          <w:p>
                            <w:pPr>
                              <w:pStyle w:val="44"/>
                              <w:spacing w:before="62"/>
                              <w:ind w:left="-117"/>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8、主持或参与省级及以上辅导员（班主任）精品项目工作任务。(4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9、在省级辅导员（班主任）职业能力大赛中获三等奖以上。(3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290" w:type="dxa"/>
                            <w:vMerge w:val="continue"/>
                            <w:tcBorders>
                              <w:top w:val="nil"/>
                            </w:tcBorders>
                          </w:tcPr>
                          <w:p>
                            <w:pPr>
                              <w:rPr>
                                <w:sz w:val="2"/>
                                <w:szCs w:val="2"/>
                              </w:rPr>
                            </w:pPr>
                          </w:p>
                        </w:tc>
                        <w:tc>
                          <w:tcPr>
                            <w:tcW w:w="6658" w:type="dxa"/>
                          </w:tcPr>
                          <w:p>
                            <w:pPr>
                              <w:pStyle w:val="44"/>
                              <w:spacing w:before="44"/>
                              <w:ind w:left="13"/>
                              <w:rPr>
                                <w:sz w:val="20"/>
                              </w:rPr>
                            </w:pPr>
                            <w:r>
                              <w:rPr>
                                <w:sz w:val="20"/>
                              </w:rPr>
                              <w:t>10、获得省级年度优秀辅导员（班主任）或先进工作者及以上荣誉称号。(2</w:t>
                            </w:r>
                          </w:p>
                          <w:p>
                            <w:pPr>
                              <w:pStyle w:val="44"/>
                              <w:spacing w:before="56"/>
                              <w:ind w:left="13"/>
                              <w:rPr>
                                <w:sz w:val="20"/>
                              </w:rPr>
                            </w:pPr>
                            <w:r>
                              <w:rPr>
                                <w:sz w:val="20"/>
                              </w:rPr>
                              <w:t>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sz w:val="2"/>
                                <w:szCs w:val="2"/>
                              </w:rPr>
                            </w:pPr>
                          </w:p>
                        </w:tc>
                        <w:tc>
                          <w:tcPr>
                            <w:tcW w:w="6658" w:type="dxa"/>
                          </w:tcPr>
                          <w:p>
                            <w:pPr>
                              <w:pStyle w:val="44"/>
                              <w:spacing w:before="86"/>
                              <w:ind w:left="13"/>
                              <w:rPr>
                                <w:sz w:val="20"/>
                              </w:rPr>
                            </w:pPr>
                            <w:r>
                              <w:rPr>
                                <w:sz w:val="20"/>
                              </w:rPr>
                              <w:t>11、被评为云南省辅导员（班主任）“年度人物”或“最受学生敬佩辅导员</w:t>
                            </w:r>
                          </w:p>
                          <w:p>
                            <w:pPr>
                              <w:pStyle w:val="44"/>
                              <w:spacing w:before="55"/>
                              <w:ind w:left="13"/>
                              <w:rPr>
                                <w:sz w:val="20"/>
                              </w:rPr>
                            </w:pPr>
                            <w:r>
                              <w:rPr>
                                <w:sz w:val="20"/>
                              </w:rPr>
                              <w:t>（班主任）”等其他荣誉称号。(4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5"/>
                              <w:ind w:left="13"/>
                              <w:rPr>
                                <w:sz w:val="20"/>
                              </w:rPr>
                            </w:pPr>
                            <w:r>
                              <w:rPr>
                                <w:sz w:val="20"/>
                              </w:rPr>
                              <w:t>12、代表学院承担专项业务对接一年以上。(3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7"/>
                              <w:rPr>
                                <w:rFonts w:ascii="方正仿宋_GBK"/>
                                <w:sz w:val="17"/>
                              </w:rPr>
                            </w:pPr>
                          </w:p>
                          <w:p>
                            <w:pPr>
                              <w:pStyle w:val="44"/>
                              <w:spacing w:line="292" w:lineRule="auto"/>
                              <w:ind w:left="444" w:right="4" w:hanging="430"/>
                              <w:rPr>
                                <w:sz w:val="20"/>
                              </w:rPr>
                            </w:pPr>
                            <w:r>
                              <w:rPr>
                                <w:spacing w:val="-29"/>
                                <w:sz w:val="20"/>
                              </w:rPr>
                              <w:t>三、工作量</w:t>
                            </w:r>
                            <w:r>
                              <w:rPr>
                                <w:spacing w:val="-5"/>
                                <w:sz w:val="20"/>
                              </w:rPr>
                              <w:t xml:space="preserve">（30 </w:t>
                            </w:r>
                            <w:r>
                              <w:rPr>
                                <w:sz w:val="20"/>
                              </w:rPr>
                              <w:t>分）</w:t>
                            </w:r>
                          </w:p>
                        </w:tc>
                        <w:tc>
                          <w:tcPr>
                            <w:tcW w:w="6658" w:type="dxa"/>
                          </w:tcPr>
                          <w:p>
                            <w:pPr>
                              <w:pStyle w:val="44"/>
                              <w:spacing w:before="85"/>
                              <w:ind w:left="13"/>
                              <w:rPr>
                                <w:sz w:val="20"/>
                              </w:rPr>
                            </w:pPr>
                            <w:r>
                              <w:rPr>
                                <w:sz w:val="20"/>
                              </w:rPr>
                              <w:t>13、履职辅导员（班主任）</w:t>
                            </w:r>
                            <w:r>
                              <w:rPr>
                                <w:spacing w:val="-14"/>
                                <w:sz w:val="20"/>
                              </w:rPr>
                              <w:t xml:space="preserve">工作满 </w:t>
                            </w:r>
                            <w:r>
                              <w:rPr>
                                <w:sz w:val="20"/>
                              </w:rPr>
                              <w:t>4</w:t>
                            </w:r>
                            <w:r>
                              <w:rPr>
                                <w:spacing w:val="-8"/>
                                <w:sz w:val="20"/>
                              </w:rPr>
                              <w:t xml:space="preserve"> 年基础上，每担任辅导员</w:t>
                            </w:r>
                            <w:r>
                              <w:rPr>
                                <w:sz w:val="20"/>
                              </w:rPr>
                              <w:t>（班主任）工</w:t>
                            </w:r>
                          </w:p>
                          <w:p>
                            <w:pPr>
                              <w:pStyle w:val="44"/>
                              <w:spacing w:before="56"/>
                              <w:ind w:left="13"/>
                              <w:rPr>
                                <w:sz w:val="20"/>
                              </w:rPr>
                            </w:pPr>
                            <w:r>
                              <w:rPr>
                                <w:sz w:val="20"/>
                              </w:rPr>
                              <w:t>作满 1 年加 0.5 分,最高 3 分。(3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sz w:val="2"/>
                                <w:szCs w:val="2"/>
                              </w:rPr>
                            </w:pPr>
                          </w:p>
                        </w:tc>
                        <w:tc>
                          <w:tcPr>
                            <w:tcW w:w="6658" w:type="dxa"/>
                          </w:tcPr>
                          <w:p>
                            <w:pPr>
                              <w:pStyle w:val="44"/>
                              <w:spacing w:before="85" w:line="292" w:lineRule="auto"/>
                              <w:ind w:left="13" w:right="3"/>
                              <w:rPr>
                                <w:sz w:val="20"/>
                              </w:rPr>
                            </w:pPr>
                            <w:r>
                              <w:rPr>
                                <w:w w:val="95"/>
                                <w:sz w:val="20"/>
                              </w:rPr>
                              <w:t>14</w:t>
                            </w:r>
                            <w:r>
                              <w:rPr>
                                <w:spacing w:val="-7"/>
                                <w:w w:val="95"/>
                                <w:sz w:val="20"/>
                              </w:rPr>
                              <w:t>、独立完成一个年级的辅导员</w:t>
                            </w:r>
                            <w:r>
                              <w:rPr>
                                <w:w w:val="95"/>
                                <w:sz w:val="20"/>
                              </w:rPr>
                              <w:t>（班主任</w:t>
                            </w:r>
                            <w:r>
                              <w:rPr>
                                <w:spacing w:val="-22"/>
                                <w:w w:val="95"/>
                                <w:sz w:val="20"/>
                              </w:rPr>
                              <w:t>）</w:t>
                            </w:r>
                            <w:r>
                              <w:rPr>
                                <w:w w:val="95"/>
                                <w:sz w:val="20"/>
                              </w:rPr>
                              <w:t xml:space="preserve">工作,或者所负责辅导学生数量符  </w:t>
                            </w:r>
                            <w:r>
                              <w:rPr>
                                <w:sz w:val="20"/>
                              </w:rPr>
                              <w:t>合教育部师生比规定。(1</w:t>
                            </w:r>
                            <w:r>
                              <w:rPr>
                                <w:spacing w:val="-26"/>
                                <w:sz w:val="20"/>
                              </w:rPr>
                              <w:t xml:space="preserve"> 分</w:t>
                            </w:r>
                            <w:r>
                              <w:rPr>
                                <w:sz w:val="20"/>
                              </w:rPr>
                              <w:t>）</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290" w:type="dxa"/>
                            <w:vMerge w:val="continue"/>
                            <w:tcBorders>
                              <w:top w:val="nil"/>
                            </w:tcBorders>
                          </w:tcPr>
                          <w:p>
                            <w:pPr>
                              <w:rPr>
                                <w:sz w:val="2"/>
                                <w:szCs w:val="2"/>
                              </w:rPr>
                            </w:pPr>
                          </w:p>
                        </w:tc>
                        <w:tc>
                          <w:tcPr>
                            <w:tcW w:w="6658" w:type="dxa"/>
                          </w:tcPr>
                          <w:p>
                            <w:pPr>
                              <w:pStyle w:val="44"/>
                              <w:spacing w:before="9" w:line="310" w:lineRule="atLeast"/>
                              <w:ind w:left="13" w:right="32"/>
                              <w:rPr>
                                <w:sz w:val="20"/>
                              </w:rPr>
                            </w:pPr>
                            <w:r>
                              <w:rPr>
                                <w:w w:val="95"/>
                                <w:sz w:val="20"/>
                              </w:rPr>
                              <w:t xml:space="preserve">15、兼任院系党委(支部)副书记或者团委(总支)书记、学生党总支书记等工  </w:t>
                            </w:r>
                            <w:r>
                              <w:rPr>
                                <w:sz w:val="20"/>
                              </w:rPr>
                              <w:t>作。(1</w:t>
                            </w:r>
                            <w:r>
                              <w:rPr>
                                <w:spacing w:val="-18"/>
                                <w:sz w:val="20"/>
                              </w:rPr>
                              <w:t xml:space="preserve">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16、完成学校的政治学习、值班等工作任务。(1 分)</w:t>
                            </w:r>
                          </w:p>
                        </w:tc>
                        <w:tc>
                          <w:tcPr>
                            <w:tcW w:w="1272"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90" w:type="dxa"/>
                            <w:vMerge w:val="continue"/>
                            <w:tcBorders>
                              <w:top w:val="nil"/>
                            </w:tcBorders>
                          </w:tcPr>
                          <w:p>
                            <w:pPr>
                              <w:rPr>
                                <w:sz w:val="2"/>
                                <w:szCs w:val="2"/>
                              </w:rPr>
                            </w:pPr>
                          </w:p>
                        </w:tc>
                        <w:tc>
                          <w:tcPr>
                            <w:tcW w:w="6658" w:type="dxa"/>
                          </w:tcPr>
                          <w:p>
                            <w:pPr>
                              <w:pStyle w:val="44"/>
                              <w:spacing w:before="84"/>
                              <w:ind w:left="13"/>
                              <w:rPr>
                                <w:sz w:val="20"/>
                              </w:rPr>
                            </w:pPr>
                            <w:r>
                              <w:rPr>
                                <w:sz w:val="20"/>
                              </w:rPr>
                              <w:t>17、关注学生成长环境,及时做好家校联系,并有相关记录。(3 分)</w:t>
                            </w:r>
                          </w:p>
                        </w:tc>
                        <w:tc>
                          <w:tcPr>
                            <w:tcW w:w="1272" w:type="dxa"/>
                          </w:tcPr>
                          <w:p>
                            <w:pPr>
                              <w:pStyle w:val="44"/>
                              <w:rPr>
                                <w:rFonts w:ascii="Times New Roman"/>
                                <w:sz w:val="20"/>
                              </w:rPr>
                            </w:pPr>
                          </w:p>
                        </w:tc>
                      </w:tr>
                    </w:tbl>
                    <w:p>
                      <w:pPr>
                        <w:pStyle w:val="6"/>
                      </w:pPr>
                    </w:p>
                  </w:txbxContent>
                </v:textbox>
              </v:shape>
            </w:pict>
          </mc:Fallback>
        </mc:AlternateContent>
      </w:r>
      <w:r>
        <w:rPr>
          <w:color w:val="auto"/>
          <w:highlight w:val="none"/>
        </w:rPr>
        <w:t>附件 3</w:t>
      </w:r>
    </w:p>
    <w:p>
      <w:pPr>
        <w:spacing w:after="0"/>
        <w:rPr>
          <w:color w:val="auto"/>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58"/>
        <w:gridCol w:w="1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restart"/>
          </w:tcPr>
          <w:p>
            <w:pPr>
              <w:pStyle w:val="44"/>
              <w:rPr>
                <w:rFonts w:ascii="Times New Roman"/>
                <w:color w:val="auto"/>
                <w:sz w:val="18"/>
                <w:highlight w:val="none"/>
              </w:rPr>
            </w:pPr>
          </w:p>
        </w:tc>
        <w:tc>
          <w:tcPr>
            <w:tcW w:w="6658" w:type="dxa"/>
          </w:tcPr>
          <w:p>
            <w:pPr>
              <w:pStyle w:val="44"/>
              <w:spacing w:before="86" w:line="292" w:lineRule="auto"/>
              <w:ind w:left="13" w:right="32"/>
              <w:rPr>
                <w:color w:val="auto"/>
                <w:sz w:val="20"/>
                <w:highlight w:val="none"/>
              </w:rPr>
            </w:pPr>
            <w:r>
              <w:rPr>
                <w:color w:val="auto"/>
                <w:w w:val="95"/>
                <w:sz w:val="20"/>
                <w:highlight w:val="none"/>
              </w:rPr>
              <w:t xml:space="preserve">18、深入学生课堂，做好听课记录。了解学生的学习情况，与任课老师保持  </w:t>
            </w:r>
            <w:r>
              <w:rPr>
                <w:color w:val="auto"/>
                <w:sz w:val="20"/>
                <w:highlight w:val="none"/>
              </w:rPr>
              <w:t>联系，及时处理好学生学习问题。(3</w:t>
            </w:r>
            <w:r>
              <w:rPr>
                <w:color w:val="auto"/>
                <w:spacing w:val="-17"/>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color w:val="auto"/>
                <w:sz w:val="2"/>
                <w:szCs w:val="2"/>
                <w:highlight w:val="none"/>
              </w:rPr>
            </w:pPr>
          </w:p>
        </w:tc>
        <w:tc>
          <w:tcPr>
            <w:tcW w:w="6658" w:type="dxa"/>
          </w:tcPr>
          <w:p>
            <w:pPr>
              <w:pStyle w:val="44"/>
              <w:spacing w:before="86" w:line="292" w:lineRule="auto"/>
              <w:ind w:left="13" w:right="6"/>
              <w:rPr>
                <w:color w:val="auto"/>
                <w:sz w:val="20"/>
                <w:highlight w:val="none"/>
              </w:rPr>
            </w:pPr>
            <w:r>
              <w:rPr>
                <w:color w:val="auto"/>
                <w:w w:val="95"/>
                <w:sz w:val="20"/>
                <w:highlight w:val="none"/>
              </w:rPr>
              <w:t>19</w:t>
            </w:r>
            <w:r>
              <w:rPr>
                <w:color w:val="auto"/>
                <w:spacing w:val="-8"/>
                <w:w w:val="95"/>
                <w:sz w:val="20"/>
                <w:highlight w:val="none"/>
              </w:rPr>
              <w:t xml:space="preserve">、做好贫困学生帮扶和勤工助学工作;在各类奖助学金、综合测评的评定中  </w:t>
            </w:r>
            <w:r>
              <w:rPr>
                <w:color w:val="auto"/>
                <w:spacing w:val="-8"/>
                <w:sz w:val="20"/>
                <w:highlight w:val="none"/>
              </w:rPr>
              <w:t>无学生投诉。(2</w:t>
            </w:r>
            <w:r>
              <w:rPr>
                <w:color w:val="auto"/>
                <w:spacing w:val="-17"/>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color w:val="auto"/>
                <w:sz w:val="2"/>
                <w:szCs w:val="2"/>
                <w:highlight w:val="none"/>
              </w:rPr>
            </w:pPr>
          </w:p>
        </w:tc>
        <w:tc>
          <w:tcPr>
            <w:tcW w:w="6658" w:type="dxa"/>
          </w:tcPr>
          <w:p>
            <w:pPr>
              <w:pStyle w:val="44"/>
              <w:spacing w:before="86" w:line="292" w:lineRule="auto"/>
              <w:ind w:left="13" w:right="3"/>
              <w:rPr>
                <w:color w:val="auto"/>
                <w:sz w:val="20"/>
                <w:highlight w:val="none"/>
              </w:rPr>
            </w:pPr>
            <w:r>
              <w:rPr>
                <w:color w:val="auto"/>
                <w:w w:val="95"/>
                <w:sz w:val="20"/>
                <w:highlight w:val="none"/>
              </w:rPr>
              <w:t>20</w:t>
            </w:r>
            <w:r>
              <w:rPr>
                <w:color w:val="auto"/>
                <w:spacing w:val="-9"/>
                <w:w w:val="95"/>
                <w:sz w:val="20"/>
                <w:highlight w:val="none"/>
              </w:rPr>
              <w:t xml:space="preserve">、按学校要求深入学生宿舍,入住学生园区;定期开展宿舍走访工作,并且有  </w:t>
            </w:r>
            <w:r>
              <w:rPr>
                <w:color w:val="auto"/>
                <w:spacing w:val="-9"/>
                <w:sz w:val="20"/>
                <w:highlight w:val="none"/>
              </w:rPr>
              <w:t>相关工作记录。(3</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continue"/>
            <w:tcBorders>
              <w:top w:val="nil"/>
            </w:tcBorders>
          </w:tcPr>
          <w:p>
            <w:pPr>
              <w:rPr>
                <w:color w:val="auto"/>
                <w:sz w:val="2"/>
                <w:szCs w:val="2"/>
                <w:highlight w:val="none"/>
              </w:rPr>
            </w:pPr>
          </w:p>
        </w:tc>
        <w:tc>
          <w:tcPr>
            <w:tcW w:w="6658" w:type="dxa"/>
          </w:tcPr>
          <w:p>
            <w:pPr>
              <w:pStyle w:val="44"/>
              <w:spacing w:before="85" w:line="292" w:lineRule="auto"/>
              <w:ind w:left="13" w:right="3"/>
              <w:rPr>
                <w:color w:val="auto"/>
                <w:sz w:val="20"/>
                <w:highlight w:val="none"/>
              </w:rPr>
            </w:pPr>
            <w:r>
              <w:rPr>
                <w:color w:val="auto"/>
                <w:w w:val="95"/>
                <w:sz w:val="20"/>
                <w:highlight w:val="none"/>
              </w:rPr>
              <w:t>21</w:t>
            </w:r>
            <w:r>
              <w:rPr>
                <w:color w:val="auto"/>
                <w:spacing w:val="-9"/>
                <w:w w:val="95"/>
                <w:sz w:val="20"/>
                <w:highlight w:val="none"/>
              </w:rPr>
              <w:t xml:space="preserve">、熟练运用相关政策和理论开展工作,了解学生的思想动态以及学习生活情  </w:t>
            </w:r>
            <w:r>
              <w:rPr>
                <w:color w:val="auto"/>
                <w:spacing w:val="-9"/>
                <w:sz w:val="20"/>
                <w:highlight w:val="none"/>
              </w:rPr>
              <w:t>况,经常性主动与学生谈心谈话，做好记录,解决大学生实际问题。(3</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290" w:type="dxa"/>
            <w:vMerge w:val="continue"/>
            <w:tcBorders>
              <w:top w:val="nil"/>
            </w:tcBorders>
          </w:tcPr>
          <w:p>
            <w:pPr>
              <w:rPr>
                <w:color w:val="auto"/>
                <w:sz w:val="2"/>
                <w:szCs w:val="2"/>
                <w:highlight w:val="none"/>
              </w:rPr>
            </w:pPr>
          </w:p>
        </w:tc>
        <w:tc>
          <w:tcPr>
            <w:tcW w:w="6658" w:type="dxa"/>
          </w:tcPr>
          <w:p>
            <w:pPr>
              <w:pStyle w:val="44"/>
              <w:spacing w:before="8" w:line="310" w:lineRule="atLeast"/>
              <w:ind w:left="13" w:right="6"/>
              <w:jc w:val="both"/>
              <w:rPr>
                <w:color w:val="auto"/>
                <w:sz w:val="20"/>
                <w:highlight w:val="none"/>
              </w:rPr>
            </w:pPr>
            <w:r>
              <w:rPr>
                <w:color w:val="auto"/>
                <w:w w:val="95"/>
                <w:sz w:val="20"/>
                <w:highlight w:val="none"/>
              </w:rPr>
              <w:t>22</w:t>
            </w:r>
            <w:r>
              <w:rPr>
                <w:color w:val="auto"/>
                <w:spacing w:val="-9"/>
                <w:w w:val="95"/>
                <w:sz w:val="20"/>
                <w:highlight w:val="none"/>
              </w:rPr>
              <w:t xml:space="preserve">、积极运用“易班”和“中国大学生在线”等开展网络思想政治教育;建立  </w:t>
            </w:r>
            <w:r>
              <w:rPr>
                <w:color w:val="auto"/>
                <w:spacing w:val="-9"/>
                <w:sz w:val="20"/>
                <w:highlight w:val="none"/>
              </w:rPr>
              <w:t>并及时更新辅导员</w:t>
            </w:r>
            <w:r>
              <w:rPr>
                <w:color w:val="auto"/>
                <w:sz w:val="20"/>
                <w:highlight w:val="none"/>
              </w:rPr>
              <w:t>（班主任</w:t>
            </w:r>
            <w:r>
              <w:rPr>
                <w:color w:val="auto"/>
                <w:spacing w:val="-5"/>
                <w:sz w:val="20"/>
                <w:highlight w:val="none"/>
              </w:rPr>
              <w:t>）</w:t>
            </w:r>
            <w:r>
              <w:rPr>
                <w:color w:val="auto"/>
                <w:spacing w:val="-2"/>
                <w:sz w:val="20"/>
                <w:highlight w:val="none"/>
              </w:rPr>
              <w:t>专属的微信群、公众号、</w:t>
            </w:r>
            <w:r>
              <w:rPr>
                <w:color w:val="auto"/>
                <w:sz w:val="20"/>
                <w:highlight w:val="none"/>
              </w:rPr>
              <w:t>QQ</w:t>
            </w:r>
            <w:r>
              <w:rPr>
                <w:color w:val="auto"/>
                <w:spacing w:val="-9"/>
                <w:sz w:val="20"/>
                <w:highlight w:val="none"/>
              </w:rPr>
              <w:t xml:space="preserve"> 群等大学生网络思想政治教育工作平台。(2</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290" w:type="dxa"/>
            <w:vMerge w:val="continue"/>
            <w:tcBorders>
              <w:top w:val="nil"/>
            </w:tcBorders>
          </w:tcPr>
          <w:p>
            <w:pPr>
              <w:rPr>
                <w:color w:val="auto"/>
                <w:sz w:val="2"/>
                <w:szCs w:val="2"/>
                <w:highlight w:val="none"/>
              </w:rPr>
            </w:pPr>
          </w:p>
        </w:tc>
        <w:tc>
          <w:tcPr>
            <w:tcW w:w="6658" w:type="dxa"/>
          </w:tcPr>
          <w:p>
            <w:pPr>
              <w:pStyle w:val="44"/>
              <w:spacing w:before="43" w:line="292" w:lineRule="auto"/>
              <w:ind w:left="13" w:right="31"/>
              <w:rPr>
                <w:color w:val="auto"/>
                <w:sz w:val="20"/>
                <w:highlight w:val="none"/>
              </w:rPr>
            </w:pPr>
            <w:r>
              <w:rPr>
                <w:color w:val="auto"/>
                <w:w w:val="95"/>
                <w:sz w:val="20"/>
                <w:highlight w:val="none"/>
              </w:rPr>
              <w:t>23、做好学生日常思想政治教育工作，注重学生良好道德品质和实践能力培  养。定期开展有针对性、实效性的“主题班会”，并且有相关工作记录。(2</w:t>
            </w:r>
          </w:p>
          <w:p>
            <w:pPr>
              <w:pStyle w:val="44"/>
              <w:spacing w:line="255" w:lineRule="exact"/>
              <w:ind w:left="13"/>
              <w:rPr>
                <w:color w:val="auto"/>
                <w:sz w:val="20"/>
                <w:highlight w:val="none"/>
              </w:rPr>
            </w:pPr>
            <w:r>
              <w:rPr>
                <w:color w:val="auto"/>
                <w:sz w:val="20"/>
                <w:highlight w:val="none"/>
              </w:rPr>
              <w:t>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trPr>
        <w:tc>
          <w:tcPr>
            <w:tcW w:w="1290" w:type="dxa"/>
            <w:vMerge w:val="continue"/>
            <w:tcBorders>
              <w:top w:val="nil"/>
            </w:tcBorders>
          </w:tcPr>
          <w:p>
            <w:pPr>
              <w:rPr>
                <w:color w:val="auto"/>
                <w:sz w:val="2"/>
                <w:szCs w:val="2"/>
                <w:highlight w:val="none"/>
              </w:rPr>
            </w:pPr>
          </w:p>
        </w:tc>
        <w:tc>
          <w:tcPr>
            <w:tcW w:w="6658" w:type="dxa"/>
          </w:tcPr>
          <w:p>
            <w:pPr>
              <w:pStyle w:val="44"/>
              <w:spacing w:before="87" w:line="292" w:lineRule="auto"/>
              <w:ind w:left="13" w:right="6"/>
              <w:jc w:val="both"/>
              <w:rPr>
                <w:color w:val="auto"/>
                <w:sz w:val="20"/>
                <w:highlight w:val="none"/>
              </w:rPr>
            </w:pPr>
            <w:r>
              <w:rPr>
                <w:color w:val="auto"/>
                <w:w w:val="95"/>
                <w:sz w:val="20"/>
                <w:highlight w:val="none"/>
              </w:rPr>
              <w:t>24</w:t>
            </w:r>
            <w:r>
              <w:rPr>
                <w:color w:val="auto"/>
                <w:spacing w:val="-9"/>
                <w:w w:val="95"/>
                <w:sz w:val="20"/>
                <w:highlight w:val="none"/>
              </w:rPr>
              <w:t xml:space="preserve">、具有长期丰富的学生事务管理工作经验,能运用相关知识进行服务育人体  </w:t>
            </w:r>
            <w:r>
              <w:rPr>
                <w:color w:val="auto"/>
                <w:spacing w:val="-9"/>
                <w:sz w:val="20"/>
                <w:highlight w:val="none"/>
              </w:rPr>
              <w:t>系化设计,结合时政和大学生实际,做好大学生思想政治教育、职业规划、创业就业、心理健康教育等工作。(1</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290" w:type="dxa"/>
            <w:vMerge w:val="continue"/>
            <w:tcBorders>
              <w:top w:val="nil"/>
            </w:tcBorders>
          </w:tcPr>
          <w:p>
            <w:pPr>
              <w:rPr>
                <w:color w:val="auto"/>
                <w:sz w:val="2"/>
                <w:szCs w:val="2"/>
                <w:highlight w:val="none"/>
              </w:rPr>
            </w:pPr>
          </w:p>
        </w:tc>
        <w:tc>
          <w:tcPr>
            <w:tcW w:w="6658" w:type="dxa"/>
          </w:tcPr>
          <w:p>
            <w:pPr>
              <w:pStyle w:val="44"/>
              <w:spacing w:before="45" w:line="292" w:lineRule="auto"/>
              <w:ind w:left="13" w:right="3"/>
              <w:rPr>
                <w:color w:val="auto"/>
                <w:sz w:val="20"/>
                <w:highlight w:val="none"/>
              </w:rPr>
            </w:pPr>
            <w:r>
              <w:rPr>
                <w:color w:val="auto"/>
                <w:w w:val="95"/>
                <w:sz w:val="20"/>
                <w:highlight w:val="none"/>
              </w:rPr>
              <w:t>25</w:t>
            </w:r>
            <w:r>
              <w:rPr>
                <w:color w:val="auto"/>
                <w:spacing w:val="-7"/>
                <w:w w:val="95"/>
                <w:sz w:val="20"/>
                <w:highlight w:val="none"/>
              </w:rPr>
              <w:t xml:space="preserve">、指导和负责学生党团基层组织建设;严格按照程序和纪律认真做好党、团  </w:t>
            </w:r>
            <w:r>
              <w:rPr>
                <w:color w:val="auto"/>
                <w:spacing w:val="-7"/>
                <w:sz w:val="20"/>
                <w:highlight w:val="none"/>
              </w:rPr>
              <w:t>员的发展工作;所带学生入党愿望明显，入党积极分子较多，入党动机纯正</w:t>
            </w:r>
          </w:p>
          <w:p>
            <w:pPr>
              <w:pStyle w:val="44"/>
              <w:spacing w:line="255" w:lineRule="exact"/>
              <w:ind w:left="13"/>
              <w:rPr>
                <w:color w:val="auto"/>
                <w:sz w:val="20"/>
                <w:highlight w:val="none"/>
              </w:rPr>
            </w:pPr>
            <w:r>
              <w:rPr>
                <w:color w:val="auto"/>
                <w:sz w:val="20"/>
                <w:highlight w:val="none"/>
              </w:rPr>
              <w:t>(2 分)</w:t>
            </w:r>
          </w:p>
        </w:tc>
        <w:tc>
          <w:tcPr>
            <w:tcW w:w="1272" w:type="dxa"/>
          </w:tcPr>
          <w:p>
            <w:pPr>
              <w:pStyle w:val="44"/>
              <w:spacing w:before="3"/>
              <w:rPr>
                <w:rFonts w:ascii="方正仿宋_GBK"/>
                <w:color w:val="auto"/>
                <w:sz w:val="22"/>
                <w:highlight w:val="none"/>
              </w:rPr>
            </w:pPr>
          </w:p>
          <w:p>
            <w:pPr>
              <w:pStyle w:val="44"/>
              <w:ind w:left="-143"/>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4"/>
              <w:ind w:left="13"/>
              <w:rPr>
                <w:color w:val="auto"/>
                <w:sz w:val="20"/>
                <w:highlight w:val="none"/>
              </w:rPr>
            </w:pPr>
            <w:r>
              <w:rPr>
                <w:color w:val="auto"/>
                <w:sz w:val="20"/>
                <w:highlight w:val="none"/>
              </w:rPr>
              <w:t>26、特殊学生、违纪学生跟踪管理，有相关工作记录。（3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5"/>
              <w:rPr>
                <w:rFonts w:ascii="方正仿宋_GBK"/>
                <w:color w:val="auto"/>
                <w:sz w:val="26"/>
                <w:highlight w:val="none"/>
              </w:rPr>
            </w:pPr>
          </w:p>
          <w:p>
            <w:pPr>
              <w:pStyle w:val="44"/>
              <w:ind w:left="23" w:right="17"/>
              <w:jc w:val="center"/>
              <w:rPr>
                <w:color w:val="auto"/>
                <w:sz w:val="20"/>
                <w:highlight w:val="none"/>
              </w:rPr>
            </w:pPr>
            <w:r>
              <w:rPr>
                <w:color w:val="auto"/>
                <w:sz w:val="20"/>
                <w:highlight w:val="none"/>
              </w:rPr>
              <w:t>四、工作实绩</w:t>
            </w:r>
          </w:p>
          <w:p>
            <w:pPr>
              <w:pStyle w:val="44"/>
              <w:spacing w:before="56"/>
              <w:ind w:left="23" w:right="17"/>
              <w:jc w:val="center"/>
              <w:rPr>
                <w:color w:val="auto"/>
                <w:sz w:val="20"/>
                <w:highlight w:val="none"/>
              </w:rPr>
            </w:pPr>
            <w:r>
              <w:rPr>
                <w:color w:val="auto"/>
                <w:sz w:val="20"/>
                <w:highlight w:val="none"/>
              </w:rPr>
              <w:t>（15 分）</w:t>
            </w:r>
          </w:p>
        </w:tc>
        <w:tc>
          <w:tcPr>
            <w:tcW w:w="6658" w:type="dxa"/>
          </w:tcPr>
          <w:p>
            <w:pPr>
              <w:pStyle w:val="44"/>
              <w:spacing w:before="86"/>
              <w:ind w:left="13"/>
              <w:rPr>
                <w:color w:val="auto"/>
                <w:sz w:val="20"/>
                <w:highlight w:val="none"/>
              </w:rPr>
            </w:pPr>
            <w:r>
              <w:rPr>
                <w:color w:val="auto"/>
                <w:sz w:val="20"/>
                <w:highlight w:val="none"/>
              </w:rPr>
              <w:t>27、所带学生未出现任何重大安全责任事故,应急事件处理得当。(3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290" w:type="dxa"/>
            <w:vMerge w:val="continue"/>
            <w:tcBorders>
              <w:top w:val="nil"/>
            </w:tcBorders>
          </w:tcPr>
          <w:p>
            <w:pPr>
              <w:rPr>
                <w:color w:val="auto"/>
                <w:sz w:val="2"/>
                <w:szCs w:val="2"/>
                <w:highlight w:val="none"/>
              </w:rPr>
            </w:pPr>
          </w:p>
        </w:tc>
        <w:tc>
          <w:tcPr>
            <w:tcW w:w="6658" w:type="dxa"/>
          </w:tcPr>
          <w:p>
            <w:pPr>
              <w:pStyle w:val="44"/>
              <w:spacing w:before="8" w:line="310" w:lineRule="atLeast"/>
              <w:ind w:left="13" w:right="32"/>
              <w:rPr>
                <w:color w:val="auto"/>
                <w:sz w:val="20"/>
                <w:highlight w:val="none"/>
              </w:rPr>
            </w:pPr>
            <w:r>
              <w:rPr>
                <w:color w:val="auto"/>
                <w:sz w:val="20"/>
                <w:highlight w:val="none"/>
              </w:rPr>
              <w:t>28、能够认真完成学校和学院的各项工作;积极参加学校组织的各项培训活</w:t>
            </w:r>
            <w:r>
              <w:rPr>
                <w:color w:val="auto"/>
                <w:w w:val="95"/>
                <w:sz w:val="20"/>
                <w:highlight w:val="none"/>
              </w:rPr>
              <w:t xml:space="preserve">动,按照要求上交工作计划和总结;对各级各部门的通知和要求能够准确及时  </w:t>
            </w:r>
            <w:r>
              <w:rPr>
                <w:color w:val="auto"/>
                <w:sz w:val="20"/>
                <w:highlight w:val="none"/>
              </w:rPr>
              <w:t>的传达给学生,并督促落实。(2</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290" w:type="dxa"/>
            <w:vMerge w:val="continue"/>
            <w:tcBorders>
              <w:top w:val="nil"/>
            </w:tcBorders>
          </w:tcPr>
          <w:p>
            <w:pPr>
              <w:rPr>
                <w:color w:val="auto"/>
                <w:sz w:val="2"/>
                <w:szCs w:val="2"/>
                <w:highlight w:val="none"/>
              </w:rPr>
            </w:pPr>
          </w:p>
        </w:tc>
        <w:tc>
          <w:tcPr>
            <w:tcW w:w="6658" w:type="dxa"/>
          </w:tcPr>
          <w:p>
            <w:pPr>
              <w:pStyle w:val="44"/>
              <w:spacing w:before="8" w:line="310" w:lineRule="atLeast"/>
              <w:ind w:left="13" w:right="6"/>
              <w:rPr>
                <w:color w:val="auto"/>
                <w:sz w:val="20"/>
                <w:highlight w:val="none"/>
              </w:rPr>
            </w:pPr>
            <w:r>
              <w:rPr>
                <w:color w:val="auto"/>
                <w:sz w:val="20"/>
                <w:highlight w:val="none"/>
              </w:rPr>
              <w:t>29</w:t>
            </w:r>
            <w:r>
              <w:rPr>
                <w:color w:val="auto"/>
                <w:spacing w:val="-9"/>
                <w:sz w:val="20"/>
                <w:highlight w:val="none"/>
              </w:rPr>
              <w:t xml:space="preserve">、所辅导学生期末成绩优秀率达 </w:t>
            </w:r>
            <w:r>
              <w:rPr>
                <w:color w:val="auto"/>
                <w:sz w:val="20"/>
                <w:highlight w:val="none"/>
              </w:rPr>
              <w:t>8%以上或者就业率达到专业平均水平及以上。(2</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290" w:type="dxa"/>
            <w:vMerge w:val="continue"/>
            <w:tcBorders>
              <w:top w:val="nil"/>
            </w:tcBorders>
          </w:tcPr>
          <w:p>
            <w:pPr>
              <w:rPr>
                <w:color w:val="auto"/>
                <w:sz w:val="2"/>
                <w:szCs w:val="2"/>
                <w:highlight w:val="none"/>
              </w:rPr>
            </w:pPr>
          </w:p>
        </w:tc>
        <w:tc>
          <w:tcPr>
            <w:tcW w:w="6658" w:type="dxa"/>
          </w:tcPr>
          <w:p>
            <w:pPr>
              <w:pStyle w:val="44"/>
              <w:spacing w:before="43"/>
              <w:ind w:left="13"/>
              <w:rPr>
                <w:color w:val="auto"/>
                <w:sz w:val="20"/>
                <w:highlight w:val="none"/>
              </w:rPr>
            </w:pPr>
            <w:r>
              <w:rPr>
                <w:color w:val="auto"/>
                <w:sz w:val="20"/>
                <w:highlight w:val="none"/>
              </w:rPr>
              <w:t>30、所辅导班级获得省级及以上表彰，所辅导学生获得省级及以上表彰。(2</w:t>
            </w:r>
          </w:p>
          <w:p>
            <w:pPr>
              <w:pStyle w:val="44"/>
              <w:spacing w:before="55"/>
              <w:ind w:left="13"/>
              <w:rPr>
                <w:color w:val="auto"/>
                <w:sz w:val="20"/>
                <w:highlight w:val="none"/>
              </w:rPr>
            </w:pPr>
            <w:r>
              <w:rPr>
                <w:color w:val="auto"/>
                <w:sz w:val="20"/>
                <w:highlight w:val="none"/>
              </w:rPr>
              <w:t>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continue"/>
            <w:tcBorders>
              <w:top w:val="nil"/>
            </w:tcBorders>
          </w:tcPr>
          <w:p>
            <w:pPr>
              <w:rPr>
                <w:color w:val="auto"/>
                <w:sz w:val="2"/>
                <w:szCs w:val="2"/>
                <w:highlight w:val="none"/>
              </w:rPr>
            </w:pPr>
          </w:p>
        </w:tc>
        <w:tc>
          <w:tcPr>
            <w:tcW w:w="6658" w:type="dxa"/>
          </w:tcPr>
          <w:p>
            <w:pPr>
              <w:pStyle w:val="44"/>
              <w:spacing w:before="87" w:line="292" w:lineRule="auto"/>
              <w:ind w:left="13" w:right="32"/>
              <w:rPr>
                <w:color w:val="auto"/>
                <w:sz w:val="20"/>
                <w:highlight w:val="none"/>
              </w:rPr>
            </w:pPr>
            <w:r>
              <w:rPr>
                <w:color w:val="auto"/>
                <w:w w:val="95"/>
                <w:sz w:val="20"/>
                <w:highlight w:val="none"/>
              </w:rPr>
              <w:t xml:space="preserve">31、积极组织学生开展丰富多彩的校内外科技创新、社会实践和体育锻炼等  </w:t>
            </w:r>
            <w:r>
              <w:rPr>
                <w:color w:val="auto"/>
                <w:sz w:val="20"/>
                <w:highlight w:val="none"/>
              </w:rPr>
              <w:t>活动,所辅导学生在省级及以上竞赛中获奖。(3</w:t>
            </w:r>
            <w:r>
              <w:rPr>
                <w:color w:val="auto"/>
                <w:spacing w:val="-17"/>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4"/>
              <w:ind w:left="13"/>
              <w:rPr>
                <w:color w:val="auto"/>
                <w:sz w:val="20"/>
                <w:highlight w:val="none"/>
              </w:rPr>
            </w:pPr>
            <w:r>
              <w:rPr>
                <w:color w:val="auto"/>
                <w:sz w:val="20"/>
                <w:highlight w:val="none"/>
              </w:rPr>
              <w:t>32、完成年度个人招生任务。(3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9"/>
              <w:rPr>
                <w:rFonts w:ascii="方正仿宋_GBK"/>
                <w:color w:val="auto"/>
                <w:sz w:val="15"/>
                <w:highlight w:val="none"/>
              </w:rPr>
            </w:pPr>
          </w:p>
          <w:p>
            <w:pPr>
              <w:pStyle w:val="44"/>
              <w:spacing w:before="1"/>
              <w:ind w:left="23" w:right="17"/>
              <w:jc w:val="center"/>
              <w:rPr>
                <w:color w:val="auto"/>
                <w:sz w:val="20"/>
                <w:highlight w:val="none"/>
              </w:rPr>
            </w:pPr>
            <w:r>
              <w:rPr>
                <w:color w:val="auto"/>
                <w:sz w:val="20"/>
                <w:highlight w:val="none"/>
              </w:rPr>
              <w:t>五、教学情况</w:t>
            </w:r>
          </w:p>
          <w:p>
            <w:pPr>
              <w:pStyle w:val="44"/>
              <w:spacing w:before="55"/>
              <w:ind w:left="23" w:right="17"/>
              <w:jc w:val="center"/>
              <w:rPr>
                <w:color w:val="auto"/>
                <w:sz w:val="20"/>
                <w:highlight w:val="none"/>
              </w:rPr>
            </w:pPr>
            <w:r>
              <w:rPr>
                <w:color w:val="auto"/>
                <w:sz w:val="20"/>
                <w:highlight w:val="none"/>
              </w:rPr>
              <w:t>（5 分）</w:t>
            </w:r>
          </w:p>
        </w:tc>
        <w:tc>
          <w:tcPr>
            <w:tcW w:w="6658" w:type="dxa"/>
          </w:tcPr>
          <w:p>
            <w:pPr>
              <w:pStyle w:val="44"/>
              <w:spacing w:before="86" w:line="292" w:lineRule="auto"/>
              <w:ind w:left="13" w:right="31"/>
              <w:rPr>
                <w:color w:val="auto"/>
                <w:sz w:val="20"/>
                <w:highlight w:val="none"/>
              </w:rPr>
            </w:pPr>
            <w:r>
              <w:rPr>
                <w:color w:val="auto"/>
                <w:w w:val="95"/>
                <w:sz w:val="20"/>
                <w:highlight w:val="none"/>
              </w:rPr>
              <w:t xml:space="preserve">33、承担思想政治教育相关课程,或者专业课、公共课、基础课等教学任务,  </w:t>
            </w:r>
            <w:r>
              <w:rPr>
                <w:color w:val="auto"/>
                <w:spacing w:val="-10"/>
                <w:sz w:val="20"/>
                <w:highlight w:val="none"/>
              </w:rPr>
              <w:t xml:space="preserve">每学年在 </w:t>
            </w:r>
            <w:r>
              <w:rPr>
                <w:color w:val="auto"/>
                <w:sz w:val="20"/>
                <w:highlight w:val="none"/>
              </w:rPr>
              <w:t>36</w:t>
            </w:r>
            <w:r>
              <w:rPr>
                <w:color w:val="auto"/>
                <w:spacing w:val="-15"/>
                <w:sz w:val="20"/>
                <w:highlight w:val="none"/>
              </w:rPr>
              <w:t xml:space="preserve"> 课时以上(含 </w:t>
            </w:r>
            <w:r>
              <w:rPr>
                <w:color w:val="auto"/>
                <w:sz w:val="20"/>
                <w:highlight w:val="none"/>
              </w:rPr>
              <w:t>36</w:t>
            </w:r>
            <w:r>
              <w:rPr>
                <w:color w:val="auto"/>
                <w:spacing w:val="-8"/>
                <w:sz w:val="20"/>
                <w:highlight w:val="none"/>
              </w:rPr>
              <w:t xml:space="preserve"> 课时)，且无教学事故。(</w:t>
            </w:r>
            <w:r>
              <w:rPr>
                <w:color w:val="auto"/>
                <w:sz w:val="20"/>
                <w:highlight w:val="none"/>
              </w:rPr>
              <w:t>1</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290" w:type="dxa"/>
            <w:vMerge w:val="continue"/>
            <w:tcBorders>
              <w:top w:val="nil"/>
            </w:tcBorders>
          </w:tcPr>
          <w:p>
            <w:pPr>
              <w:rPr>
                <w:color w:val="auto"/>
                <w:sz w:val="2"/>
                <w:szCs w:val="2"/>
                <w:highlight w:val="none"/>
              </w:rPr>
            </w:pPr>
          </w:p>
        </w:tc>
        <w:tc>
          <w:tcPr>
            <w:tcW w:w="6658" w:type="dxa"/>
          </w:tcPr>
          <w:p>
            <w:pPr>
              <w:pStyle w:val="44"/>
              <w:spacing w:before="86" w:line="292" w:lineRule="auto"/>
              <w:ind w:left="13" w:right="104"/>
              <w:rPr>
                <w:color w:val="auto"/>
                <w:sz w:val="20"/>
                <w:highlight w:val="none"/>
              </w:rPr>
            </w:pPr>
            <w:r>
              <w:rPr>
                <w:color w:val="auto"/>
                <w:w w:val="95"/>
                <w:sz w:val="20"/>
                <w:highlight w:val="none"/>
              </w:rPr>
              <w:t>34</w:t>
            </w:r>
            <w:r>
              <w:rPr>
                <w:color w:val="auto"/>
                <w:spacing w:val="-8"/>
                <w:w w:val="95"/>
                <w:sz w:val="20"/>
                <w:highlight w:val="none"/>
              </w:rPr>
              <w:t>、在省级心理健康教育、形势与政策、就业创业指导等与辅导员</w:t>
            </w:r>
            <w:r>
              <w:rPr>
                <w:color w:val="auto"/>
                <w:w w:val="95"/>
                <w:sz w:val="20"/>
                <w:highlight w:val="none"/>
              </w:rPr>
              <w:t xml:space="preserve">（班主任  </w:t>
            </w:r>
            <w:r>
              <w:rPr>
                <w:color w:val="auto"/>
                <w:sz w:val="20"/>
                <w:highlight w:val="none"/>
              </w:rPr>
              <w:t>工作相关的教学竞赛中获奖,或创立相关专业省级精品课程。(1</w:t>
            </w:r>
            <w:r>
              <w:rPr>
                <w:color w:val="auto"/>
                <w:spacing w:val="-18"/>
                <w:sz w:val="20"/>
                <w:highlight w:val="none"/>
              </w:rPr>
              <w:t xml:space="preserve"> 分)</w:t>
            </w:r>
          </w:p>
        </w:tc>
        <w:tc>
          <w:tcPr>
            <w:tcW w:w="1272" w:type="dxa"/>
          </w:tcPr>
          <w:p>
            <w:pPr>
              <w:pStyle w:val="44"/>
              <w:spacing w:before="86"/>
              <w:ind w:left="-117"/>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6"/>
              <w:ind w:left="13"/>
              <w:rPr>
                <w:color w:val="auto"/>
                <w:sz w:val="20"/>
                <w:highlight w:val="none"/>
              </w:rPr>
            </w:pPr>
            <w:r>
              <w:rPr>
                <w:color w:val="auto"/>
                <w:sz w:val="20"/>
                <w:highlight w:val="none"/>
              </w:rPr>
              <w:t>35、评为教学名师。(2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1290" w:type="dxa"/>
            <w:vMerge w:val="continue"/>
            <w:tcBorders>
              <w:top w:val="nil"/>
            </w:tcBorders>
          </w:tcPr>
          <w:p>
            <w:pPr>
              <w:rPr>
                <w:color w:val="auto"/>
                <w:sz w:val="2"/>
                <w:szCs w:val="2"/>
                <w:highlight w:val="none"/>
              </w:rPr>
            </w:pPr>
          </w:p>
        </w:tc>
        <w:tc>
          <w:tcPr>
            <w:tcW w:w="6658" w:type="dxa"/>
          </w:tcPr>
          <w:p>
            <w:pPr>
              <w:pStyle w:val="44"/>
              <w:spacing w:before="85"/>
              <w:ind w:left="13"/>
              <w:rPr>
                <w:color w:val="auto"/>
                <w:sz w:val="20"/>
                <w:highlight w:val="none"/>
              </w:rPr>
            </w:pPr>
            <w:r>
              <w:rPr>
                <w:color w:val="auto"/>
                <w:sz w:val="20"/>
                <w:highlight w:val="none"/>
              </w:rPr>
              <w:t>36、按学校要求管控课堂秩序。(1 分)</w:t>
            </w:r>
          </w:p>
        </w:tc>
        <w:tc>
          <w:tcPr>
            <w:tcW w:w="1272" w:type="dxa"/>
          </w:tcPr>
          <w:p>
            <w:pPr>
              <w:pStyle w:val="44"/>
              <w:rPr>
                <w:rFonts w:ascii="Times New Roman"/>
                <w:color w:val="auto"/>
                <w:sz w:val="18"/>
                <w:highlight w:val="none"/>
              </w:rPr>
            </w:pPr>
          </w:p>
        </w:tc>
      </w:tr>
    </w:tbl>
    <w:p>
      <w:pPr>
        <w:spacing w:after="0"/>
        <w:rPr>
          <w:rFonts w:ascii="Times New Roman"/>
          <w:color w:val="auto"/>
          <w:sz w:val="18"/>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58"/>
        <w:gridCol w:w="1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13"/>
              <w:rPr>
                <w:rFonts w:ascii="方正仿宋_GBK"/>
                <w:color w:val="auto"/>
                <w:sz w:val="16"/>
                <w:highlight w:val="none"/>
              </w:rPr>
            </w:pPr>
          </w:p>
          <w:p>
            <w:pPr>
              <w:pStyle w:val="44"/>
              <w:ind w:left="23" w:right="17"/>
              <w:jc w:val="center"/>
              <w:rPr>
                <w:color w:val="auto"/>
                <w:sz w:val="20"/>
                <w:highlight w:val="none"/>
              </w:rPr>
            </w:pPr>
            <w:r>
              <w:rPr>
                <w:color w:val="auto"/>
                <w:sz w:val="20"/>
                <w:highlight w:val="none"/>
              </w:rPr>
              <w:t>六、科研成果</w:t>
            </w:r>
          </w:p>
          <w:p>
            <w:pPr>
              <w:pStyle w:val="44"/>
              <w:spacing w:before="56"/>
              <w:ind w:left="23" w:right="17"/>
              <w:jc w:val="center"/>
              <w:rPr>
                <w:color w:val="auto"/>
                <w:sz w:val="20"/>
                <w:highlight w:val="none"/>
              </w:rPr>
            </w:pPr>
            <w:r>
              <w:rPr>
                <w:color w:val="auto"/>
                <w:sz w:val="20"/>
                <w:highlight w:val="none"/>
              </w:rPr>
              <w:t>（15 分）</w:t>
            </w:r>
          </w:p>
        </w:tc>
        <w:tc>
          <w:tcPr>
            <w:tcW w:w="6658" w:type="dxa"/>
          </w:tcPr>
          <w:p>
            <w:pPr>
              <w:pStyle w:val="44"/>
              <w:spacing w:before="84"/>
              <w:ind w:left="13"/>
              <w:rPr>
                <w:color w:val="auto"/>
                <w:sz w:val="20"/>
                <w:highlight w:val="none"/>
              </w:rPr>
            </w:pPr>
            <w:r>
              <w:rPr>
                <w:color w:val="auto"/>
                <w:sz w:val="20"/>
                <w:highlight w:val="none"/>
              </w:rPr>
              <w:t>37、承担或参与省级课题研究。(3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6"/>
              <w:ind w:left="13"/>
              <w:rPr>
                <w:color w:val="auto"/>
                <w:sz w:val="20"/>
                <w:highlight w:val="none"/>
              </w:rPr>
            </w:pPr>
            <w:r>
              <w:rPr>
                <w:color w:val="auto"/>
                <w:sz w:val="20"/>
                <w:highlight w:val="none"/>
              </w:rPr>
              <w:t>38、发表论文或专业文章。(2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5"/>
              <w:ind w:left="13"/>
              <w:rPr>
                <w:color w:val="auto"/>
                <w:sz w:val="20"/>
                <w:highlight w:val="none"/>
              </w:rPr>
            </w:pPr>
            <w:r>
              <w:rPr>
                <w:color w:val="auto"/>
                <w:sz w:val="20"/>
                <w:highlight w:val="none"/>
              </w:rPr>
              <w:t>39、发表论文、专业文章获奖。(2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290" w:type="dxa"/>
            <w:vMerge w:val="continue"/>
            <w:tcBorders>
              <w:top w:val="nil"/>
            </w:tcBorders>
          </w:tcPr>
          <w:p>
            <w:pPr>
              <w:rPr>
                <w:color w:val="auto"/>
                <w:sz w:val="2"/>
                <w:szCs w:val="2"/>
                <w:highlight w:val="none"/>
              </w:rPr>
            </w:pPr>
          </w:p>
        </w:tc>
        <w:tc>
          <w:tcPr>
            <w:tcW w:w="6658" w:type="dxa"/>
          </w:tcPr>
          <w:p>
            <w:pPr>
              <w:pStyle w:val="44"/>
              <w:spacing w:before="44"/>
              <w:ind w:left="13"/>
              <w:rPr>
                <w:color w:val="auto"/>
                <w:sz w:val="20"/>
                <w:highlight w:val="none"/>
              </w:rPr>
            </w:pPr>
            <w:r>
              <w:rPr>
                <w:color w:val="auto"/>
                <w:w w:val="95"/>
                <w:sz w:val="20"/>
                <w:highlight w:val="none"/>
              </w:rPr>
              <w:t>40、主编或者参与出版编著、译著、教材、工具书、读本、参考书籍等。（4</w:t>
            </w:r>
          </w:p>
          <w:p>
            <w:pPr>
              <w:pStyle w:val="44"/>
              <w:spacing w:before="55"/>
              <w:ind w:left="13"/>
              <w:rPr>
                <w:color w:val="auto"/>
                <w:sz w:val="20"/>
                <w:highlight w:val="none"/>
              </w:rPr>
            </w:pPr>
            <w:r>
              <w:rPr>
                <w:color w:val="auto"/>
                <w:sz w:val="20"/>
                <w:highlight w:val="none"/>
              </w:rPr>
              <w:t>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290" w:type="dxa"/>
            <w:vMerge w:val="continue"/>
            <w:tcBorders>
              <w:top w:val="nil"/>
            </w:tcBorders>
          </w:tcPr>
          <w:p>
            <w:pPr>
              <w:rPr>
                <w:color w:val="auto"/>
                <w:sz w:val="2"/>
                <w:szCs w:val="2"/>
                <w:highlight w:val="none"/>
              </w:rPr>
            </w:pPr>
          </w:p>
        </w:tc>
        <w:tc>
          <w:tcPr>
            <w:tcW w:w="6658" w:type="dxa"/>
          </w:tcPr>
          <w:p>
            <w:pPr>
              <w:pStyle w:val="44"/>
              <w:spacing w:before="85"/>
              <w:ind w:left="13"/>
              <w:rPr>
                <w:color w:val="auto"/>
                <w:sz w:val="20"/>
                <w:highlight w:val="none"/>
              </w:rPr>
            </w:pPr>
            <w:r>
              <w:rPr>
                <w:color w:val="auto"/>
                <w:sz w:val="20"/>
                <w:highlight w:val="none"/>
              </w:rPr>
              <w:t>41、出版学术专著或者与辅导员（班主任）工作相关的书籍。(4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3"/>
              <w:rPr>
                <w:rFonts w:ascii="方正仿宋_GBK"/>
                <w:color w:val="auto"/>
                <w:sz w:val="12"/>
                <w:highlight w:val="none"/>
              </w:rPr>
            </w:pPr>
          </w:p>
          <w:p>
            <w:pPr>
              <w:pStyle w:val="44"/>
              <w:ind w:left="23" w:right="17"/>
              <w:jc w:val="center"/>
              <w:rPr>
                <w:color w:val="auto"/>
                <w:sz w:val="20"/>
                <w:highlight w:val="none"/>
              </w:rPr>
            </w:pPr>
            <w:r>
              <w:rPr>
                <w:color w:val="auto"/>
                <w:sz w:val="20"/>
                <w:highlight w:val="none"/>
              </w:rPr>
              <w:t>七、综合评价</w:t>
            </w:r>
          </w:p>
          <w:p>
            <w:pPr>
              <w:pStyle w:val="44"/>
              <w:spacing w:before="56"/>
              <w:ind w:left="23" w:right="17"/>
              <w:jc w:val="center"/>
              <w:rPr>
                <w:color w:val="auto"/>
                <w:sz w:val="20"/>
                <w:highlight w:val="none"/>
              </w:rPr>
            </w:pPr>
            <w:r>
              <w:rPr>
                <w:color w:val="auto"/>
                <w:sz w:val="20"/>
                <w:highlight w:val="none"/>
              </w:rPr>
              <w:t>（10 分）</w:t>
            </w:r>
          </w:p>
        </w:tc>
        <w:tc>
          <w:tcPr>
            <w:tcW w:w="6658" w:type="dxa"/>
          </w:tcPr>
          <w:p>
            <w:pPr>
              <w:pStyle w:val="44"/>
              <w:spacing w:before="87" w:line="292" w:lineRule="auto"/>
              <w:ind w:left="13" w:right="6"/>
              <w:rPr>
                <w:color w:val="auto"/>
                <w:sz w:val="20"/>
                <w:highlight w:val="none"/>
              </w:rPr>
            </w:pPr>
            <w:r>
              <w:rPr>
                <w:color w:val="auto"/>
                <w:sz w:val="20"/>
                <w:highlight w:val="none"/>
              </w:rPr>
              <w:t>42</w:t>
            </w:r>
            <w:r>
              <w:rPr>
                <w:color w:val="auto"/>
                <w:spacing w:val="-6"/>
                <w:sz w:val="20"/>
                <w:highlight w:val="none"/>
              </w:rPr>
              <w:t>、辅导员</w:t>
            </w:r>
            <w:r>
              <w:rPr>
                <w:color w:val="auto"/>
                <w:sz w:val="20"/>
                <w:highlight w:val="none"/>
              </w:rPr>
              <w:t>（班主任</w:t>
            </w:r>
            <w:r>
              <w:rPr>
                <w:color w:val="auto"/>
                <w:spacing w:val="-10"/>
                <w:sz w:val="20"/>
                <w:highlight w:val="none"/>
              </w:rPr>
              <w:t>）</w:t>
            </w:r>
            <w:r>
              <w:rPr>
                <w:color w:val="auto"/>
                <w:spacing w:val="-6"/>
                <w:sz w:val="20"/>
                <w:highlight w:val="none"/>
              </w:rPr>
              <w:t xml:space="preserve">工作受到学生、家长满意率达 </w:t>
            </w:r>
            <w:r>
              <w:rPr>
                <w:color w:val="auto"/>
                <w:sz w:val="20"/>
                <w:highlight w:val="none"/>
              </w:rPr>
              <w:t>85</w:t>
            </w:r>
            <w:r>
              <w:rPr>
                <w:color w:val="auto"/>
                <w:spacing w:val="-3"/>
                <w:sz w:val="20"/>
                <w:highlight w:val="none"/>
              </w:rPr>
              <w:t>%以上。(</w:t>
            </w:r>
            <w:r>
              <w:rPr>
                <w:color w:val="auto"/>
                <w:sz w:val="20"/>
                <w:highlight w:val="none"/>
              </w:rPr>
              <w:t>3</w:t>
            </w:r>
            <w:r>
              <w:rPr>
                <w:color w:val="auto"/>
                <w:spacing w:val="-22"/>
                <w:sz w:val="20"/>
                <w:highlight w:val="none"/>
              </w:rPr>
              <w:t xml:space="preserve"> 分)</w:t>
            </w:r>
            <w:r>
              <w:rPr>
                <w:color w:val="auto"/>
                <w:spacing w:val="-6"/>
                <w:sz w:val="20"/>
                <w:highlight w:val="none"/>
              </w:rPr>
              <w:t>（</w:t>
            </w:r>
            <w:r>
              <w:rPr>
                <w:color w:val="auto"/>
                <w:sz w:val="20"/>
                <w:highlight w:val="none"/>
              </w:rPr>
              <w:t>全年</w:t>
            </w:r>
            <w:r>
              <w:rPr>
                <w:color w:val="auto"/>
                <w:spacing w:val="-6"/>
                <w:sz w:val="20"/>
                <w:highlight w:val="none"/>
              </w:rPr>
              <w:t xml:space="preserve">学生评议平均得分 </w:t>
            </w:r>
            <w:r>
              <w:rPr>
                <w:color w:val="auto"/>
                <w:sz w:val="20"/>
                <w:highlight w:val="none"/>
              </w:rPr>
              <w:t>85</w:t>
            </w:r>
            <w:r>
              <w:rPr>
                <w:color w:val="auto"/>
                <w:spacing w:val="-12"/>
                <w:sz w:val="20"/>
                <w:highlight w:val="none"/>
              </w:rPr>
              <w:t xml:space="preserve"> 分及以上</w:t>
            </w:r>
            <w:r>
              <w:rPr>
                <w:color w:val="auto"/>
                <w:sz w:val="20"/>
                <w:highlight w:val="none"/>
              </w:rPr>
              <w:t>）</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90" w:type="dxa"/>
            <w:vMerge w:val="continue"/>
            <w:tcBorders>
              <w:top w:val="nil"/>
            </w:tcBorders>
          </w:tcPr>
          <w:p>
            <w:pPr>
              <w:rPr>
                <w:color w:val="auto"/>
                <w:sz w:val="2"/>
                <w:szCs w:val="2"/>
                <w:highlight w:val="none"/>
              </w:rPr>
            </w:pPr>
          </w:p>
        </w:tc>
        <w:tc>
          <w:tcPr>
            <w:tcW w:w="6658" w:type="dxa"/>
          </w:tcPr>
          <w:p>
            <w:pPr>
              <w:pStyle w:val="44"/>
              <w:spacing w:before="87" w:line="292" w:lineRule="auto"/>
              <w:ind w:left="13" w:right="2"/>
              <w:rPr>
                <w:color w:val="auto"/>
                <w:sz w:val="20"/>
                <w:highlight w:val="none"/>
              </w:rPr>
            </w:pPr>
            <w:r>
              <w:rPr>
                <w:color w:val="auto"/>
                <w:sz w:val="20"/>
                <w:highlight w:val="none"/>
              </w:rPr>
              <w:t>43</w:t>
            </w:r>
            <w:r>
              <w:rPr>
                <w:color w:val="auto"/>
                <w:spacing w:val="-16"/>
                <w:sz w:val="20"/>
                <w:highlight w:val="none"/>
              </w:rPr>
              <w:t>、辅导员</w:t>
            </w:r>
            <w:r>
              <w:rPr>
                <w:color w:val="auto"/>
                <w:sz w:val="20"/>
                <w:highlight w:val="none"/>
              </w:rPr>
              <w:t>（班主任</w:t>
            </w:r>
            <w:r>
              <w:rPr>
                <w:color w:val="auto"/>
                <w:spacing w:val="-31"/>
                <w:sz w:val="20"/>
                <w:highlight w:val="none"/>
              </w:rPr>
              <w:t>）</w:t>
            </w:r>
            <w:r>
              <w:rPr>
                <w:color w:val="auto"/>
                <w:spacing w:val="-6"/>
                <w:sz w:val="20"/>
                <w:highlight w:val="none"/>
              </w:rPr>
              <w:t xml:space="preserve">工作受到学校主管部门、院系领导及同事满意率达 </w:t>
            </w:r>
            <w:r>
              <w:rPr>
                <w:color w:val="auto"/>
                <w:sz w:val="20"/>
                <w:highlight w:val="none"/>
              </w:rPr>
              <w:t>85% 以上。(3</w:t>
            </w:r>
            <w:r>
              <w:rPr>
                <w:color w:val="auto"/>
                <w:spacing w:val="-17"/>
                <w:sz w:val="20"/>
                <w:highlight w:val="none"/>
              </w:rPr>
              <w:t xml:space="preserve"> 分)</w:t>
            </w:r>
            <w:r>
              <w:rPr>
                <w:color w:val="auto"/>
                <w:sz w:val="20"/>
                <w:highlight w:val="none"/>
              </w:rPr>
              <w:t>（</w:t>
            </w:r>
            <w:r>
              <w:rPr>
                <w:color w:val="auto"/>
                <w:spacing w:val="-4"/>
                <w:sz w:val="20"/>
                <w:highlight w:val="none"/>
              </w:rPr>
              <w:t xml:space="preserve">全年行政职能部门测评平均得分 </w:t>
            </w:r>
            <w:r>
              <w:rPr>
                <w:color w:val="auto"/>
                <w:sz w:val="20"/>
                <w:highlight w:val="none"/>
              </w:rPr>
              <w:t>85</w:t>
            </w:r>
            <w:r>
              <w:rPr>
                <w:color w:val="auto"/>
                <w:spacing w:val="-11"/>
                <w:sz w:val="20"/>
                <w:highlight w:val="none"/>
              </w:rPr>
              <w:t xml:space="preserve"> 分及以上</w:t>
            </w:r>
            <w:r>
              <w:rPr>
                <w:color w:val="auto"/>
                <w:sz w:val="20"/>
                <w:highlight w:val="none"/>
              </w:rPr>
              <w:t>）</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290" w:type="dxa"/>
            <w:vMerge w:val="continue"/>
            <w:tcBorders>
              <w:top w:val="nil"/>
            </w:tcBorders>
          </w:tcPr>
          <w:p>
            <w:pPr>
              <w:rPr>
                <w:color w:val="auto"/>
                <w:sz w:val="2"/>
                <w:szCs w:val="2"/>
                <w:highlight w:val="none"/>
              </w:rPr>
            </w:pPr>
          </w:p>
        </w:tc>
        <w:tc>
          <w:tcPr>
            <w:tcW w:w="6658" w:type="dxa"/>
          </w:tcPr>
          <w:p>
            <w:pPr>
              <w:pStyle w:val="44"/>
              <w:spacing w:before="9" w:line="310" w:lineRule="atLeast"/>
              <w:ind w:left="13" w:right="81"/>
              <w:rPr>
                <w:color w:val="auto"/>
                <w:sz w:val="20"/>
                <w:highlight w:val="none"/>
              </w:rPr>
            </w:pPr>
            <w:r>
              <w:rPr>
                <w:color w:val="auto"/>
                <w:sz w:val="20"/>
                <w:highlight w:val="none"/>
              </w:rPr>
              <w:t>44、辅导员（班主任）</w:t>
            </w:r>
            <w:r>
              <w:rPr>
                <w:color w:val="auto"/>
                <w:spacing w:val="-4"/>
                <w:sz w:val="20"/>
                <w:highlight w:val="none"/>
              </w:rPr>
              <w:t xml:space="preserve">岗位任职年限内，月度考核 </w:t>
            </w:r>
            <w:r>
              <w:rPr>
                <w:color w:val="auto"/>
                <w:sz w:val="20"/>
                <w:highlight w:val="none"/>
              </w:rPr>
              <w:t>1</w:t>
            </w:r>
            <w:r>
              <w:rPr>
                <w:color w:val="auto"/>
                <w:spacing w:val="-22"/>
                <w:sz w:val="20"/>
                <w:highlight w:val="none"/>
              </w:rPr>
              <w:t xml:space="preserve"> 次优秀 </w:t>
            </w:r>
            <w:r>
              <w:rPr>
                <w:color w:val="auto"/>
                <w:sz w:val="20"/>
                <w:highlight w:val="none"/>
              </w:rPr>
              <w:t>0.5</w:t>
            </w:r>
            <w:r>
              <w:rPr>
                <w:color w:val="auto"/>
                <w:spacing w:val="-19"/>
                <w:sz w:val="20"/>
                <w:highlight w:val="none"/>
              </w:rPr>
              <w:t xml:space="preserve"> 分，最高 </w:t>
            </w:r>
            <w:r>
              <w:rPr>
                <w:color w:val="auto"/>
                <w:sz w:val="20"/>
                <w:highlight w:val="none"/>
              </w:rPr>
              <w:t>2 分。(2</w:t>
            </w:r>
            <w:r>
              <w:rPr>
                <w:color w:val="auto"/>
                <w:spacing w:val="-18"/>
                <w:sz w:val="20"/>
                <w:highlight w:val="none"/>
              </w:rPr>
              <w:t xml:space="preserve"> 分)</w:t>
            </w:r>
          </w:p>
        </w:tc>
        <w:tc>
          <w:tcPr>
            <w:tcW w:w="1272"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290" w:type="dxa"/>
            <w:vMerge w:val="continue"/>
            <w:tcBorders>
              <w:top w:val="nil"/>
            </w:tcBorders>
          </w:tcPr>
          <w:p>
            <w:pPr>
              <w:rPr>
                <w:color w:val="auto"/>
                <w:sz w:val="2"/>
                <w:szCs w:val="2"/>
                <w:highlight w:val="none"/>
              </w:rPr>
            </w:pPr>
          </w:p>
        </w:tc>
        <w:tc>
          <w:tcPr>
            <w:tcW w:w="6658" w:type="dxa"/>
          </w:tcPr>
          <w:p>
            <w:pPr>
              <w:pStyle w:val="44"/>
              <w:spacing w:before="62"/>
              <w:ind w:left="13"/>
              <w:rPr>
                <w:color w:val="auto"/>
                <w:sz w:val="20"/>
                <w:highlight w:val="none"/>
              </w:rPr>
            </w:pPr>
            <w:r>
              <w:rPr>
                <w:color w:val="auto"/>
                <w:sz w:val="20"/>
                <w:highlight w:val="none"/>
              </w:rPr>
              <w:t>45</w:t>
            </w:r>
            <w:r>
              <w:rPr>
                <w:color w:val="auto"/>
                <w:spacing w:val="-9"/>
                <w:sz w:val="20"/>
                <w:highlight w:val="none"/>
              </w:rPr>
              <w:t>、辅导员</w:t>
            </w:r>
            <w:r>
              <w:rPr>
                <w:color w:val="auto"/>
                <w:sz w:val="20"/>
                <w:highlight w:val="none"/>
              </w:rPr>
              <w:t>（班主任</w:t>
            </w:r>
            <w:r>
              <w:rPr>
                <w:color w:val="auto"/>
                <w:spacing w:val="-15"/>
                <w:sz w:val="20"/>
                <w:highlight w:val="none"/>
              </w:rPr>
              <w:t>）</w:t>
            </w:r>
            <w:r>
              <w:rPr>
                <w:color w:val="auto"/>
                <w:spacing w:val="-6"/>
                <w:sz w:val="20"/>
                <w:highlight w:val="none"/>
              </w:rPr>
              <w:t xml:space="preserve">岗位任职年限内，年度考核 </w:t>
            </w:r>
            <w:r>
              <w:rPr>
                <w:color w:val="auto"/>
                <w:sz w:val="20"/>
                <w:highlight w:val="none"/>
              </w:rPr>
              <w:t>1</w:t>
            </w:r>
            <w:r>
              <w:rPr>
                <w:color w:val="auto"/>
                <w:spacing w:val="-22"/>
                <w:sz w:val="20"/>
                <w:highlight w:val="none"/>
              </w:rPr>
              <w:t xml:space="preserve"> 次优秀 </w:t>
            </w:r>
            <w:r>
              <w:rPr>
                <w:color w:val="auto"/>
                <w:sz w:val="20"/>
                <w:highlight w:val="none"/>
              </w:rPr>
              <w:t>1</w:t>
            </w:r>
            <w:r>
              <w:rPr>
                <w:color w:val="auto"/>
                <w:spacing w:val="-21"/>
                <w:sz w:val="20"/>
                <w:highlight w:val="none"/>
              </w:rPr>
              <w:t xml:space="preserve"> 分，最高 </w:t>
            </w:r>
            <w:r>
              <w:rPr>
                <w:color w:val="auto"/>
                <w:sz w:val="20"/>
                <w:highlight w:val="none"/>
              </w:rPr>
              <w:t>2</w:t>
            </w:r>
            <w:r>
              <w:rPr>
                <w:color w:val="auto"/>
                <w:spacing w:val="-26"/>
                <w:sz w:val="20"/>
                <w:highlight w:val="none"/>
              </w:rPr>
              <w:t xml:space="preserve"> 分</w:t>
            </w:r>
          </w:p>
          <w:p>
            <w:pPr>
              <w:pStyle w:val="44"/>
              <w:spacing w:before="56"/>
              <w:ind w:left="13"/>
              <w:rPr>
                <w:color w:val="auto"/>
                <w:sz w:val="20"/>
                <w:highlight w:val="none"/>
              </w:rPr>
            </w:pPr>
            <w:r>
              <w:rPr>
                <w:color w:val="auto"/>
                <w:sz w:val="20"/>
                <w:highlight w:val="none"/>
              </w:rPr>
              <w:t>(2 分)</w:t>
            </w:r>
          </w:p>
        </w:tc>
        <w:tc>
          <w:tcPr>
            <w:tcW w:w="1272" w:type="dxa"/>
          </w:tcPr>
          <w:p>
            <w:pPr>
              <w:pStyle w:val="44"/>
              <w:spacing w:before="62"/>
              <w:ind w:left="-117"/>
              <w:rPr>
                <w:color w:val="auto"/>
                <w:sz w:val="20"/>
                <w:highlight w:val="none"/>
              </w:rPr>
            </w:pPr>
            <w:r>
              <w:rPr>
                <w:color w:val="auto"/>
                <w:w w:val="99"/>
                <w:sz w:val="20"/>
                <w:highlight w:val="none"/>
              </w:rPr>
              <w:t>。</w:t>
            </w:r>
          </w:p>
        </w:tc>
      </w:tr>
    </w:tbl>
    <w:p>
      <w:pPr>
        <w:pStyle w:val="6"/>
        <w:rPr>
          <w:color w:val="auto"/>
          <w:sz w:val="20"/>
          <w:highlight w:val="none"/>
        </w:rPr>
      </w:pPr>
    </w:p>
    <w:p>
      <w:pPr>
        <w:pStyle w:val="6"/>
        <w:rPr>
          <w:color w:val="auto"/>
          <w:sz w:val="20"/>
          <w:highlight w:val="none"/>
        </w:rPr>
      </w:pPr>
    </w:p>
    <w:p>
      <w:pPr>
        <w:pStyle w:val="6"/>
        <w:spacing w:before="1"/>
        <w:rPr>
          <w:color w:val="auto"/>
          <w:sz w:val="15"/>
          <w:highlight w:val="none"/>
        </w:rPr>
      </w:pPr>
    </w:p>
    <w:p>
      <w:pPr>
        <w:spacing w:before="71"/>
        <w:ind w:left="120" w:right="0" w:firstLine="0"/>
        <w:jc w:val="left"/>
        <w:rPr>
          <w:color w:val="auto"/>
          <w:sz w:val="20"/>
          <w:highlight w:val="none"/>
        </w:rPr>
      </w:pPr>
      <w:r>
        <w:rPr>
          <w:color w:val="auto"/>
          <w:sz w:val="20"/>
          <w:highlight w:val="none"/>
        </w:rPr>
        <w:t>备注:</w:t>
      </w:r>
    </w:p>
    <w:p>
      <w:pPr>
        <w:pStyle w:val="35"/>
        <w:numPr>
          <w:ilvl w:val="0"/>
          <w:numId w:val="11"/>
        </w:numPr>
        <w:tabs>
          <w:tab w:val="left" w:pos="322"/>
        </w:tabs>
        <w:spacing w:before="56" w:after="0" w:line="292" w:lineRule="auto"/>
        <w:ind w:left="120" w:right="116" w:firstLine="0"/>
        <w:jc w:val="left"/>
        <w:rPr>
          <w:color w:val="auto"/>
          <w:sz w:val="20"/>
          <w:highlight w:val="none"/>
        </w:rPr>
      </w:pPr>
      <w:r>
        <w:rPr>
          <w:color w:val="auto"/>
          <w:sz w:val="20"/>
          <w:highlight w:val="none"/>
        </w:rPr>
        <w:t xml:space="preserve">本评审指标中涉及到的工作量、工作成绩、教学、科研、获奖情况等指标,均要求在专职辅导员（班主 </w:t>
      </w:r>
      <w:r>
        <w:rPr>
          <w:color w:val="auto"/>
          <w:w w:val="95"/>
          <w:sz w:val="20"/>
          <w:highlight w:val="none"/>
        </w:rPr>
        <w:t>任</w:t>
      </w:r>
      <w:r>
        <w:rPr>
          <w:color w:val="auto"/>
          <w:spacing w:val="-15"/>
          <w:w w:val="95"/>
          <w:sz w:val="20"/>
          <w:highlight w:val="none"/>
        </w:rPr>
        <w:t>）</w:t>
      </w:r>
      <w:r>
        <w:rPr>
          <w:color w:val="auto"/>
          <w:spacing w:val="-4"/>
          <w:w w:val="95"/>
          <w:sz w:val="20"/>
          <w:highlight w:val="none"/>
        </w:rPr>
        <w:t>工作职责之内。专职辅导员</w:t>
      </w:r>
      <w:r>
        <w:rPr>
          <w:color w:val="auto"/>
          <w:w w:val="95"/>
          <w:sz w:val="20"/>
          <w:highlight w:val="none"/>
        </w:rPr>
        <w:t>（班主任</w:t>
      </w:r>
      <w:r>
        <w:rPr>
          <w:color w:val="auto"/>
          <w:spacing w:val="-15"/>
          <w:w w:val="95"/>
          <w:sz w:val="20"/>
          <w:highlight w:val="none"/>
        </w:rPr>
        <w:t>）</w:t>
      </w:r>
      <w:r>
        <w:rPr>
          <w:color w:val="auto"/>
          <w:spacing w:val="-4"/>
          <w:w w:val="95"/>
          <w:sz w:val="20"/>
          <w:highlight w:val="none"/>
        </w:rPr>
        <w:t>工作职责参见《普通高等学校辅导员</w:t>
      </w:r>
      <w:r>
        <w:rPr>
          <w:color w:val="auto"/>
          <w:w w:val="95"/>
          <w:sz w:val="20"/>
          <w:highlight w:val="none"/>
        </w:rPr>
        <w:t>（班主任</w:t>
      </w:r>
      <w:r>
        <w:rPr>
          <w:color w:val="auto"/>
          <w:spacing w:val="-15"/>
          <w:w w:val="95"/>
          <w:sz w:val="20"/>
          <w:highlight w:val="none"/>
        </w:rPr>
        <w:t>）</w:t>
      </w:r>
      <w:r>
        <w:rPr>
          <w:color w:val="auto"/>
          <w:w w:val="95"/>
          <w:sz w:val="20"/>
          <w:highlight w:val="none"/>
        </w:rPr>
        <w:t xml:space="preserve">队伍建设规定》    </w:t>
      </w:r>
      <w:r>
        <w:rPr>
          <w:color w:val="auto"/>
          <w:spacing w:val="-8"/>
          <w:sz w:val="20"/>
          <w:highlight w:val="none"/>
        </w:rPr>
        <w:t xml:space="preserve">(教育部令第 </w:t>
      </w:r>
      <w:r>
        <w:rPr>
          <w:color w:val="auto"/>
          <w:sz w:val="20"/>
          <w:highlight w:val="none"/>
        </w:rPr>
        <w:t>43</w:t>
      </w:r>
      <w:r>
        <w:rPr>
          <w:color w:val="auto"/>
          <w:spacing w:val="-14"/>
          <w:sz w:val="20"/>
          <w:highlight w:val="none"/>
        </w:rPr>
        <w:t xml:space="preserve"> 号)。</w:t>
      </w:r>
    </w:p>
    <w:p>
      <w:pPr>
        <w:pStyle w:val="35"/>
        <w:numPr>
          <w:ilvl w:val="0"/>
          <w:numId w:val="11"/>
        </w:numPr>
        <w:tabs>
          <w:tab w:val="left" w:pos="322"/>
        </w:tabs>
        <w:spacing w:before="0" w:after="0" w:line="254" w:lineRule="exact"/>
        <w:ind w:left="321" w:right="0" w:hanging="202"/>
        <w:jc w:val="left"/>
        <w:rPr>
          <w:color w:val="auto"/>
          <w:sz w:val="20"/>
          <w:highlight w:val="none"/>
        </w:rPr>
      </w:pPr>
      <w:r>
        <w:rPr>
          <w:color w:val="auto"/>
          <w:sz w:val="20"/>
          <w:highlight w:val="none"/>
        </w:rPr>
        <w:t>本评审指标须在满足评审基本条件的基础上进行,评审基本条件参见本办法第二章。</w:t>
      </w:r>
    </w:p>
    <w:p>
      <w:pPr>
        <w:pStyle w:val="35"/>
        <w:numPr>
          <w:ilvl w:val="0"/>
          <w:numId w:val="11"/>
        </w:numPr>
        <w:tabs>
          <w:tab w:val="left" w:pos="322"/>
        </w:tabs>
        <w:spacing w:before="56" w:after="0" w:line="240" w:lineRule="auto"/>
        <w:ind w:left="321" w:right="0" w:hanging="202"/>
        <w:jc w:val="left"/>
        <w:rPr>
          <w:color w:val="auto"/>
          <w:sz w:val="20"/>
          <w:highlight w:val="none"/>
        </w:rPr>
      </w:pPr>
      <w:r>
        <w:rPr>
          <w:color w:val="auto"/>
          <w:sz w:val="20"/>
          <w:highlight w:val="none"/>
        </w:rPr>
        <w:t>本评审指标“合格率”、“优秀率”、“满意率”、“年度考核优秀”以学校的规定为准。</w:t>
      </w:r>
    </w:p>
    <w:p>
      <w:pPr>
        <w:pStyle w:val="35"/>
        <w:numPr>
          <w:ilvl w:val="0"/>
          <w:numId w:val="11"/>
        </w:numPr>
        <w:tabs>
          <w:tab w:val="left" w:pos="322"/>
        </w:tabs>
        <w:spacing w:before="56" w:after="0" w:line="240" w:lineRule="auto"/>
        <w:ind w:left="321" w:right="0" w:hanging="202"/>
        <w:jc w:val="left"/>
        <w:rPr>
          <w:color w:val="auto"/>
          <w:sz w:val="20"/>
          <w:highlight w:val="none"/>
        </w:rPr>
      </w:pPr>
      <w:r>
        <w:rPr>
          <w:color w:val="auto"/>
          <w:sz w:val="20"/>
          <w:highlight w:val="none"/>
        </w:rPr>
        <w:t>本评审指标中所有加分项所用的论文和奖项需在辅导员（班主任）岗位聘任期内获得。</w:t>
      </w:r>
    </w:p>
    <w:p>
      <w:pPr>
        <w:spacing w:after="0" w:line="240" w:lineRule="auto"/>
        <w:jc w:val="left"/>
        <w:rPr>
          <w:color w:val="auto"/>
          <w:sz w:val="20"/>
          <w:highlight w:val="none"/>
        </w:rPr>
        <w:sectPr>
          <w:pgSz w:w="11910" w:h="16840"/>
          <w:pgMar w:top="1400" w:right="700" w:bottom="1984" w:left="1680" w:header="720" w:footer="720" w:gutter="0"/>
          <w:pgNumType w:fmt="decimal"/>
          <w:cols w:space="720" w:num="1"/>
          <w:rtlGutter w:val="0"/>
        </w:sectPr>
      </w:pPr>
    </w:p>
    <w:p>
      <w:pPr>
        <w:pStyle w:val="6"/>
        <w:spacing w:before="9"/>
        <w:ind w:left="760"/>
        <w:rPr>
          <w:color w:val="auto"/>
          <w:highlight w:val="none"/>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page">
                  <wp:posOffset>1130300</wp:posOffset>
                </wp:positionH>
                <wp:positionV relativeFrom="paragraph">
                  <wp:posOffset>305435</wp:posOffset>
                </wp:positionV>
                <wp:extent cx="5343525" cy="8335010"/>
                <wp:effectExtent l="0" t="0" r="0" b="0"/>
                <wp:wrapNone/>
                <wp:docPr id="5" name="文本框 5"/>
                <wp:cNvGraphicFramePr/>
                <a:graphic xmlns:a="http://schemas.openxmlformats.org/drawingml/2006/main">
                  <a:graphicData uri="http://schemas.microsoft.com/office/word/2010/wordprocessingShape">
                    <wps:wsp>
                      <wps:cNvSpPr txBox="1"/>
                      <wps:spPr>
                        <a:xfrm>
                          <a:off x="0" y="0"/>
                          <a:ext cx="5343525" cy="8335010"/>
                        </a:xfrm>
                        <a:prstGeom prst="rect">
                          <a:avLst/>
                        </a:prstGeom>
                        <a:noFill/>
                        <a:ln>
                          <a:noFill/>
                        </a:ln>
                      </wps:spPr>
                      <wps:txbx>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1"/>
                              <w:gridCol w:w="5616"/>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8400" w:type="dxa"/>
                                  <w:gridSpan w:val="3"/>
                                </w:tcPr>
                                <w:p>
                                  <w:pPr>
                                    <w:pStyle w:val="44"/>
                                    <w:spacing w:before="11"/>
                                    <w:rPr>
                                      <w:rFonts w:ascii="方正仿宋_GBK"/>
                                      <w:sz w:val="15"/>
                                    </w:rPr>
                                  </w:pPr>
                                </w:p>
                                <w:p>
                                  <w:pPr>
                                    <w:pStyle w:val="44"/>
                                    <w:spacing w:line="417" w:lineRule="auto"/>
                                    <w:ind w:left="125" w:right="112"/>
                                    <w:jc w:val="center"/>
                                    <w:rPr>
                                      <w:b/>
                                      <w:sz w:val="28"/>
                                    </w:rPr>
                                  </w:pPr>
                                  <w:r>
                                    <w:rPr>
                                      <w:b/>
                                      <w:spacing w:val="-1"/>
                                      <w:w w:val="95"/>
                                      <w:sz w:val="28"/>
                                    </w:rPr>
                                    <w:t xml:space="preserve">云南城市建设职业学院专职辅导员申报教师专业技术职称思想政治  </w:t>
                                  </w:r>
                                  <w:r>
                                    <w:rPr>
                                      <w:b/>
                                      <w:spacing w:val="-1"/>
                                      <w:sz w:val="28"/>
                                    </w:rPr>
                                    <w:t>教育学科评审指标参考体系（教授）</w:t>
                                  </w:r>
                                </w:p>
                                <w:p>
                                  <w:pPr>
                                    <w:pStyle w:val="44"/>
                                    <w:spacing w:line="358" w:lineRule="exact"/>
                                    <w:ind w:left="122" w:right="112"/>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tcPr>
                                <w:p>
                                  <w:pPr>
                                    <w:pStyle w:val="44"/>
                                    <w:spacing w:before="95"/>
                                    <w:ind w:left="300"/>
                                    <w:rPr>
                                      <w:sz w:val="20"/>
                                    </w:rPr>
                                  </w:pPr>
                                  <w:r>
                                    <w:rPr>
                                      <w:sz w:val="20"/>
                                    </w:rPr>
                                    <w:t>一级指标</w:t>
                                  </w:r>
                                </w:p>
                              </w:tc>
                              <w:tc>
                                <w:tcPr>
                                  <w:tcW w:w="5616" w:type="dxa"/>
                                </w:tcPr>
                                <w:p>
                                  <w:pPr>
                                    <w:pStyle w:val="44"/>
                                    <w:spacing w:before="95"/>
                                    <w:ind w:left="2387" w:right="2378"/>
                                    <w:jc w:val="center"/>
                                    <w:rPr>
                                      <w:sz w:val="20"/>
                                    </w:rPr>
                                  </w:pPr>
                                  <w:r>
                                    <w:rPr>
                                      <w:sz w:val="20"/>
                                    </w:rPr>
                                    <w:t>二级指标</w:t>
                                  </w:r>
                                </w:p>
                              </w:tc>
                              <w:tc>
                                <w:tcPr>
                                  <w:tcW w:w="1383" w:type="dxa"/>
                                </w:tcPr>
                                <w:p>
                                  <w:pPr>
                                    <w:pStyle w:val="44"/>
                                    <w:spacing w:before="95"/>
                                    <w:ind w:left="469" w:right="463"/>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140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3"/>
                                    <w:rPr>
                                      <w:rFonts w:ascii="方正仿宋_GBK"/>
                                      <w:sz w:val="24"/>
                                    </w:rPr>
                                  </w:pPr>
                                </w:p>
                                <w:p>
                                  <w:pPr>
                                    <w:pStyle w:val="44"/>
                                    <w:spacing w:line="292" w:lineRule="auto"/>
                                    <w:ind w:left="499" w:right="2" w:hanging="485"/>
                                    <w:rPr>
                                      <w:sz w:val="20"/>
                                    </w:rPr>
                                  </w:pPr>
                                  <w:r>
                                    <w:rPr>
                                      <w:spacing w:val="-23"/>
                                      <w:sz w:val="20"/>
                                    </w:rPr>
                                    <w:t>一、思政素养</w:t>
                                  </w:r>
                                  <w:r>
                                    <w:rPr>
                                      <w:spacing w:val="-6"/>
                                      <w:sz w:val="20"/>
                                    </w:rPr>
                                    <w:t xml:space="preserve">（5 </w:t>
                                  </w:r>
                                  <w:r>
                                    <w:rPr>
                                      <w:sz w:val="20"/>
                                    </w:rPr>
                                    <w:t>分）</w:t>
                                  </w:r>
                                </w:p>
                              </w:tc>
                              <w:tc>
                                <w:tcPr>
                                  <w:tcW w:w="5616" w:type="dxa"/>
                                </w:tcPr>
                                <w:p>
                                  <w:pPr>
                                    <w:pStyle w:val="44"/>
                                    <w:spacing w:before="7"/>
                                    <w:rPr>
                                      <w:rFonts w:ascii="方正仿宋_GBK"/>
                                      <w:sz w:val="18"/>
                                    </w:rPr>
                                  </w:pPr>
                                </w:p>
                                <w:p>
                                  <w:pPr>
                                    <w:pStyle w:val="44"/>
                                    <w:spacing w:line="292" w:lineRule="auto"/>
                                    <w:ind w:left="15" w:right="90"/>
                                    <w:jc w:val="both"/>
                                    <w:rPr>
                                      <w:sz w:val="20"/>
                                    </w:rPr>
                                  </w:pPr>
                                  <w:r>
                                    <w:rPr>
                                      <w:w w:val="95"/>
                                      <w:sz w:val="20"/>
                                    </w:rPr>
                                    <w:t xml:space="preserve">1、政治立场坚定,热爱祖国，坚定不移拥护中国共产党领导,高 举中国特色社会主义伟大旗帜,全面贯彻党的教育方针。能根据 </w:t>
                                  </w:r>
                                  <w:r>
                                    <w:rPr>
                                      <w:sz w:val="20"/>
                                    </w:rPr>
                                    <w:t>高等教育发展要求结合学生实际开展工作。(1</w:t>
                                  </w:r>
                                  <w:r>
                                    <w:rPr>
                                      <w:spacing w:val="-26"/>
                                      <w:sz w:val="20"/>
                                    </w:rPr>
                                    <w:t xml:space="preserve"> 分</w:t>
                                  </w:r>
                                  <w:r>
                                    <w:rPr>
                                      <w:sz w:val="20"/>
                                    </w:rPr>
                                    <w:t>）</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2、富有爱心和责任心,真诚关爱和正确引导学生。(1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3、具有良好的道德品质和文明的举止言行。(1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4、管理工作公开公平公正,法治理念与人文关怀相结合。(1</w:t>
                                  </w:r>
                                  <w:r>
                                    <w:rPr>
                                      <w:spacing w:val="-19"/>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5、无违反工作纪律行为。(1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0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5"/>
                                    <w:rPr>
                                      <w:rFonts w:ascii="方正仿宋_GBK"/>
                                      <w:sz w:val="15"/>
                                    </w:rPr>
                                  </w:pPr>
                                </w:p>
                                <w:p>
                                  <w:pPr>
                                    <w:pStyle w:val="44"/>
                                    <w:ind w:left="78" w:right="72"/>
                                    <w:jc w:val="center"/>
                                    <w:rPr>
                                      <w:sz w:val="20"/>
                                    </w:rPr>
                                  </w:pPr>
                                  <w:r>
                                    <w:rPr>
                                      <w:sz w:val="20"/>
                                    </w:rPr>
                                    <w:t>二、职业能力</w:t>
                                  </w:r>
                                </w:p>
                                <w:p>
                                  <w:pPr>
                                    <w:pStyle w:val="44"/>
                                    <w:spacing w:before="56"/>
                                    <w:ind w:left="78" w:right="72"/>
                                    <w:jc w:val="center"/>
                                    <w:rPr>
                                      <w:sz w:val="20"/>
                                    </w:rPr>
                                  </w:pPr>
                                  <w:r>
                                    <w:rPr>
                                      <w:sz w:val="20"/>
                                    </w:rPr>
                                    <w:t>（25 分）</w:t>
                                  </w:r>
                                </w:p>
                              </w:tc>
                              <w:tc>
                                <w:tcPr>
                                  <w:tcW w:w="5616" w:type="dxa"/>
                                </w:tcPr>
                                <w:p>
                                  <w:pPr>
                                    <w:pStyle w:val="44"/>
                                    <w:spacing w:before="44" w:line="292" w:lineRule="auto"/>
                                    <w:ind w:left="15" w:right="-15"/>
                                    <w:rPr>
                                      <w:sz w:val="20"/>
                                    </w:rPr>
                                  </w:pPr>
                                  <w:r>
                                    <w:rPr>
                                      <w:sz w:val="20"/>
                                    </w:rPr>
                                    <w:t>6、获得心理咨询师、职业指导师、创业指导师、就业指导、社工等职业资质证书或者省级以上相关培训合格证书或结业证明。</w:t>
                                  </w:r>
                                </w:p>
                                <w:p>
                                  <w:pPr>
                                    <w:pStyle w:val="44"/>
                                    <w:spacing w:line="255" w:lineRule="exact"/>
                                    <w:ind w:left="15"/>
                                    <w:rPr>
                                      <w:sz w:val="20"/>
                                    </w:rPr>
                                  </w:pPr>
                                  <w:r>
                                    <w:rPr>
                                      <w:sz w:val="20"/>
                                    </w:rPr>
                                    <w:t>(4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401" w:type="dxa"/>
                                  <w:vMerge w:val="continue"/>
                                  <w:tcBorders>
                                    <w:top w:val="nil"/>
                                  </w:tcBorders>
                                </w:tcPr>
                                <w:p>
                                  <w:pPr>
                                    <w:rPr>
                                      <w:sz w:val="2"/>
                                      <w:szCs w:val="2"/>
                                    </w:rPr>
                                  </w:pPr>
                                </w:p>
                              </w:tc>
                              <w:tc>
                                <w:tcPr>
                                  <w:tcW w:w="5616" w:type="dxa"/>
                                </w:tcPr>
                                <w:p>
                                  <w:pPr>
                                    <w:pStyle w:val="44"/>
                                    <w:spacing w:before="8" w:line="310" w:lineRule="atLeast"/>
                                    <w:ind w:left="15" w:right="90"/>
                                    <w:rPr>
                                      <w:sz w:val="20"/>
                                    </w:rPr>
                                  </w:pPr>
                                  <w:r>
                                    <w:rPr>
                                      <w:w w:val="95"/>
                                      <w:sz w:val="20"/>
                                    </w:rPr>
                                    <w:t xml:space="preserve">7、在省级以上辅导员（班主任）演讲、网文、征文等各类单项 </w:t>
                                  </w:r>
                                  <w:r>
                                    <w:rPr>
                                      <w:sz w:val="20"/>
                                    </w:rPr>
                                    <w:t>竞赛中获奖。(4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01" w:type="dxa"/>
                                  <w:vMerge w:val="continue"/>
                                  <w:tcBorders>
                                    <w:top w:val="nil"/>
                                  </w:tcBorders>
                                </w:tcPr>
                                <w:p>
                                  <w:pPr>
                                    <w:rPr>
                                      <w:sz w:val="2"/>
                                      <w:szCs w:val="2"/>
                                    </w:rPr>
                                  </w:pPr>
                                </w:p>
                              </w:tc>
                              <w:tc>
                                <w:tcPr>
                                  <w:tcW w:w="5616" w:type="dxa"/>
                                </w:tcPr>
                                <w:p>
                                  <w:pPr>
                                    <w:pStyle w:val="44"/>
                                    <w:spacing w:before="44"/>
                                    <w:ind w:left="15"/>
                                    <w:rPr>
                                      <w:sz w:val="20"/>
                                    </w:rPr>
                                  </w:pPr>
                                  <w:r>
                                    <w:rPr>
                                      <w:sz w:val="20"/>
                                    </w:rPr>
                                    <w:t>8、主持或参与省级以上辅导员（班主任）精品项目工作任务。</w:t>
                                  </w:r>
                                </w:p>
                                <w:p>
                                  <w:pPr>
                                    <w:pStyle w:val="44"/>
                                    <w:spacing w:before="56"/>
                                    <w:ind w:left="15"/>
                                    <w:rPr>
                                      <w:sz w:val="20"/>
                                    </w:rPr>
                                  </w:pPr>
                                  <w:r>
                                    <w:rPr>
                                      <w:sz w:val="20"/>
                                    </w:rPr>
                                    <w:t>(4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01" w:type="dxa"/>
                                  <w:vMerge w:val="continue"/>
                                  <w:tcBorders>
                                    <w:top w:val="nil"/>
                                  </w:tcBorders>
                                </w:tcPr>
                                <w:p>
                                  <w:pPr>
                                    <w:rPr>
                                      <w:sz w:val="2"/>
                                      <w:szCs w:val="2"/>
                                    </w:rPr>
                                  </w:pPr>
                                </w:p>
                              </w:tc>
                              <w:tc>
                                <w:tcPr>
                                  <w:tcW w:w="5616" w:type="dxa"/>
                                </w:tcPr>
                                <w:p>
                                  <w:pPr>
                                    <w:pStyle w:val="44"/>
                                    <w:spacing w:before="45"/>
                                    <w:ind w:left="15"/>
                                    <w:rPr>
                                      <w:sz w:val="20"/>
                                    </w:rPr>
                                  </w:pPr>
                                  <w:r>
                                    <w:rPr>
                                      <w:sz w:val="20"/>
                                    </w:rPr>
                                    <w:t>9、在省级辅导员（班主任）职业能力大赛中获二等奖以上。(4</w:t>
                                  </w:r>
                                </w:p>
                                <w:p>
                                  <w:pPr>
                                    <w:pStyle w:val="44"/>
                                    <w:spacing w:before="55"/>
                                    <w:ind w:left="15"/>
                                    <w:rPr>
                                      <w:sz w:val="20"/>
                                    </w:rPr>
                                  </w:pPr>
                                  <w:r>
                                    <w:rPr>
                                      <w:sz w:val="20"/>
                                    </w:rPr>
                                    <w:t>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sz w:val="2"/>
                                      <w:szCs w:val="2"/>
                                    </w:rPr>
                                  </w:pPr>
                                </w:p>
                              </w:tc>
                              <w:tc>
                                <w:tcPr>
                                  <w:tcW w:w="5616" w:type="dxa"/>
                                </w:tcPr>
                                <w:p>
                                  <w:pPr>
                                    <w:pStyle w:val="44"/>
                                    <w:spacing w:before="9" w:line="310" w:lineRule="atLeast"/>
                                    <w:ind w:left="15" w:right="4"/>
                                    <w:rPr>
                                      <w:sz w:val="20"/>
                                    </w:rPr>
                                  </w:pPr>
                                  <w:r>
                                    <w:rPr>
                                      <w:w w:val="95"/>
                                      <w:sz w:val="20"/>
                                    </w:rPr>
                                    <w:t>10</w:t>
                                  </w:r>
                                  <w:r>
                                    <w:rPr>
                                      <w:spacing w:val="-3"/>
                                      <w:w w:val="95"/>
                                      <w:sz w:val="20"/>
                                    </w:rPr>
                                    <w:t>、获得省级以上年度优秀辅导员</w:t>
                                  </w:r>
                                  <w:r>
                                    <w:rPr>
                                      <w:w w:val="95"/>
                                      <w:sz w:val="20"/>
                                    </w:rPr>
                                    <w:t>（班主任</w:t>
                                  </w:r>
                                  <w:r>
                                    <w:rPr>
                                      <w:spacing w:val="-3"/>
                                      <w:w w:val="95"/>
                                      <w:sz w:val="20"/>
                                    </w:rPr>
                                    <w:t>）</w:t>
                                  </w:r>
                                  <w:r>
                                    <w:rPr>
                                      <w:w w:val="95"/>
                                      <w:sz w:val="20"/>
                                    </w:rPr>
                                    <w:t xml:space="preserve">或先进工作者及以 </w:t>
                                  </w:r>
                                  <w:r>
                                    <w:rPr>
                                      <w:sz w:val="20"/>
                                    </w:rPr>
                                    <w:t>上荣誉称号。(4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401" w:type="dxa"/>
                                  <w:vMerge w:val="continue"/>
                                  <w:tcBorders>
                                    <w:top w:val="nil"/>
                                  </w:tcBorders>
                                </w:tcPr>
                                <w:p>
                                  <w:pPr>
                                    <w:rPr>
                                      <w:sz w:val="2"/>
                                      <w:szCs w:val="2"/>
                                    </w:rPr>
                                  </w:pPr>
                                </w:p>
                              </w:tc>
                              <w:tc>
                                <w:tcPr>
                                  <w:tcW w:w="5616" w:type="dxa"/>
                                </w:tcPr>
                                <w:p>
                                  <w:pPr>
                                    <w:pStyle w:val="44"/>
                                    <w:spacing w:before="107" w:line="292" w:lineRule="auto"/>
                                    <w:ind w:left="15" w:right="6"/>
                                    <w:rPr>
                                      <w:sz w:val="20"/>
                                    </w:rPr>
                                  </w:pPr>
                                  <w:r>
                                    <w:rPr>
                                      <w:w w:val="95"/>
                                      <w:sz w:val="20"/>
                                    </w:rPr>
                                    <w:t>11</w:t>
                                  </w:r>
                                  <w:r>
                                    <w:rPr>
                                      <w:spacing w:val="-3"/>
                                      <w:w w:val="95"/>
                                      <w:sz w:val="20"/>
                                    </w:rPr>
                                    <w:t>、被评为云南省辅导员</w:t>
                                  </w:r>
                                  <w:r>
                                    <w:rPr>
                                      <w:w w:val="95"/>
                                      <w:sz w:val="20"/>
                                    </w:rPr>
                                    <w:t>（班主任</w:t>
                                  </w:r>
                                  <w:r>
                                    <w:rPr>
                                      <w:spacing w:val="-3"/>
                                      <w:w w:val="95"/>
                                      <w:sz w:val="20"/>
                                    </w:rPr>
                                    <w:t xml:space="preserve">）“年度人物”或“最受学生 </w:t>
                                  </w:r>
                                  <w:r>
                                    <w:rPr>
                                      <w:spacing w:val="-3"/>
                                      <w:sz w:val="20"/>
                                    </w:rPr>
                                    <w:t>敬佩辅导员（班主任）”等其他荣誉称号。(4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12、代表学院承担专项业务对接一年以上。(1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401" w:type="dxa"/>
                                  <w:vMerge w:val="restart"/>
                                </w:tcPr>
                                <w:p>
                                  <w:pPr>
                                    <w:pStyle w:val="44"/>
                                    <w:rPr>
                                      <w:rFonts w:ascii="方正仿宋_GBK"/>
                                      <w:sz w:val="20"/>
                                    </w:rPr>
                                  </w:pPr>
                                </w:p>
                                <w:p>
                                  <w:pPr>
                                    <w:pStyle w:val="44"/>
                                    <w:rPr>
                                      <w:rFonts w:ascii="方正仿宋_GBK"/>
                                      <w:sz w:val="20"/>
                                    </w:rPr>
                                  </w:pPr>
                                </w:p>
                                <w:p>
                                  <w:pPr>
                                    <w:pStyle w:val="44"/>
                                    <w:spacing w:before="14"/>
                                    <w:rPr>
                                      <w:rFonts w:ascii="方正仿宋_GBK"/>
                                      <w:sz w:val="12"/>
                                    </w:rPr>
                                  </w:pPr>
                                </w:p>
                                <w:p>
                                  <w:pPr>
                                    <w:pStyle w:val="44"/>
                                    <w:spacing w:line="292" w:lineRule="auto"/>
                                    <w:ind w:left="499" w:right="2" w:hanging="485"/>
                                    <w:rPr>
                                      <w:sz w:val="20"/>
                                    </w:rPr>
                                  </w:pPr>
                                  <w:r>
                                    <w:rPr>
                                      <w:spacing w:val="-7"/>
                                      <w:sz w:val="20"/>
                                    </w:rPr>
                                    <w:t>三、工作量</w:t>
                                  </w:r>
                                  <w:r>
                                    <w:rPr>
                                      <w:spacing w:val="-5"/>
                                      <w:sz w:val="20"/>
                                    </w:rPr>
                                    <w:t xml:space="preserve">（15 </w:t>
                                  </w:r>
                                  <w:r>
                                    <w:rPr>
                                      <w:sz w:val="20"/>
                                    </w:rPr>
                                    <w:t>分）</w:t>
                                  </w:r>
                                </w:p>
                              </w:tc>
                              <w:tc>
                                <w:tcPr>
                                  <w:tcW w:w="5616" w:type="dxa"/>
                                </w:tcPr>
                                <w:p>
                                  <w:pPr>
                                    <w:pStyle w:val="44"/>
                                    <w:spacing w:before="105"/>
                                    <w:ind w:left="15"/>
                                    <w:rPr>
                                      <w:sz w:val="20"/>
                                    </w:rPr>
                                  </w:pPr>
                                  <w:r>
                                    <w:rPr>
                                      <w:sz w:val="20"/>
                                    </w:rPr>
                                    <w:t>13</w:t>
                                  </w:r>
                                  <w:r>
                                    <w:rPr>
                                      <w:spacing w:val="-16"/>
                                      <w:sz w:val="20"/>
                                    </w:rPr>
                                    <w:t>、履职辅导员</w:t>
                                  </w:r>
                                  <w:r>
                                    <w:rPr>
                                      <w:sz w:val="20"/>
                                    </w:rPr>
                                    <w:t>（班主任</w:t>
                                  </w:r>
                                  <w:r>
                                    <w:rPr>
                                      <w:spacing w:val="-41"/>
                                      <w:sz w:val="20"/>
                                    </w:rPr>
                                    <w:t>）</w:t>
                                  </w:r>
                                  <w:r>
                                    <w:rPr>
                                      <w:spacing w:val="-15"/>
                                      <w:sz w:val="20"/>
                                    </w:rPr>
                                    <w:t xml:space="preserve">工作满 </w:t>
                                  </w:r>
                                  <w:r>
                                    <w:rPr>
                                      <w:sz w:val="20"/>
                                    </w:rPr>
                                    <w:t>8</w:t>
                                  </w:r>
                                  <w:r>
                                    <w:rPr>
                                      <w:spacing w:val="-14"/>
                                      <w:sz w:val="20"/>
                                    </w:rPr>
                                    <w:t xml:space="preserve"> 年基础上，每担任辅导员</w:t>
                                  </w:r>
                                  <w:r>
                                    <w:rPr>
                                      <w:sz w:val="20"/>
                                    </w:rPr>
                                    <w:t>（班</w:t>
                                  </w:r>
                                </w:p>
                                <w:p>
                                  <w:pPr>
                                    <w:pStyle w:val="44"/>
                                    <w:spacing w:before="56"/>
                                    <w:ind w:left="15"/>
                                    <w:rPr>
                                      <w:sz w:val="20"/>
                                    </w:rPr>
                                  </w:pPr>
                                  <w:r>
                                    <w:rPr>
                                      <w:sz w:val="20"/>
                                    </w:rPr>
                                    <w:t>主任）工作满 1 年加 0.5 分,最高 2 分。(2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continue"/>
                                  <w:tcBorders>
                                    <w:top w:val="nil"/>
                                  </w:tcBorders>
                                </w:tcPr>
                                <w:p>
                                  <w:pPr>
                                    <w:rPr>
                                      <w:sz w:val="2"/>
                                      <w:szCs w:val="2"/>
                                    </w:rPr>
                                  </w:pPr>
                                </w:p>
                              </w:tc>
                              <w:tc>
                                <w:tcPr>
                                  <w:tcW w:w="5616" w:type="dxa"/>
                                </w:tcPr>
                                <w:p>
                                  <w:pPr>
                                    <w:pStyle w:val="44"/>
                                    <w:spacing w:before="105" w:line="292" w:lineRule="auto"/>
                                    <w:ind w:left="15" w:right="90"/>
                                    <w:rPr>
                                      <w:sz w:val="20"/>
                                    </w:rPr>
                                  </w:pPr>
                                  <w:r>
                                    <w:rPr>
                                      <w:w w:val="95"/>
                                      <w:sz w:val="20"/>
                                    </w:rPr>
                                    <w:t xml:space="preserve">14、独立完成一个年级的辅导员（班主任）工作,或者所负责辅 </w:t>
                                  </w:r>
                                  <w:r>
                                    <w:rPr>
                                      <w:sz w:val="20"/>
                                    </w:rPr>
                                    <w:t>导学生数量符合教育部师生比规定。(1</w:t>
                                  </w:r>
                                  <w:r>
                                    <w:rPr>
                                      <w:spacing w:val="-26"/>
                                      <w:sz w:val="20"/>
                                    </w:rPr>
                                    <w:t xml:space="preserve"> 分</w:t>
                                  </w:r>
                                  <w:r>
                                    <w:rPr>
                                      <w:sz w:val="20"/>
                                    </w:rPr>
                                    <w:t>）</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401" w:type="dxa"/>
                                  <w:vMerge w:val="continue"/>
                                  <w:tcBorders>
                                    <w:top w:val="nil"/>
                                  </w:tcBorders>
                                </w:tcPr>
                                <w:p>
                                  <w:pPr>
                                    <w:rPr>
                                      <w:sz w:val="2"/>
                                      <w:szCs w:val="2"/>
                                    </w:rPr>
                                  </w:pPr>
                                </w:p>
                              </w:tc>
                              <w:tc>
                                <w:tcPr>
                                  <w:tcW w:w="5616" w:type="dxa"/>
                                </w:tcPr>
                                <w:p>
                                  <w:pPr>
                                    <w:pStyle w:val="44"/>
                                    <w:spacing w:before="9" w:line="310" w:lineRule="atLeast"/>
                                    <w:ind w:left="15" w:right="4"/>
                                    <w:rPr>
                                      <w:sz w:val="20"/>
                                    </w:rPr>
                                  </w:pPr>
                                  <w:r>
                                    <w:rPr>
                                      <w:w w:val="95"/>
                                      <w:sz w:val="20"/>
                                    </w:rPr>
                                    <w:t>15</w:t>
                                  </w:r>
                                  <w:r>
                                    <w:rPr>
                                      <w:spacing w:val="-4"/>
                                      <w:w w:val="95"/>
                                      <w:sz w:val="20"/>
                                    </w:rPr>
                                    <w:t xml:space="preserve">、兼任院系党委(支部)副书记或者团委(总支)书记、学生党总 </w:t>
                                  </w:r>
                                  <w:r>
                                    <w:rPr>
                                      <w:spacing w:val="-4"/>
                                      <w:sz w:val="20"/>
                                    </w:rPr>
                                    <w:t>支书记等工作。(1</w:t>
                                  </w:r>
                                  <w:r>
                                    <w:rPr>
                                      <w:spacing w:val="-18"/>
                                      <w:sz w:val="20"/>
                                    </w:rPr>
                                    <w:t xml:space="preserve"> 分)</w:t>
                                  </w:r>
                                </w:p>
                              </w:tc>
                              <w:tc>
                                <w:tcPr>
                                  <w:tcW w:w="1383" w:type="dxa"/>
                                </w:tcPr>
                                <w:p>
                                  <w:pPr>
                                    <w:pStyle w:val="44"/>
                                    <w:rPr>
                                      <w:rFonts w:ascii="Times New Roman"/>
                                      <w:sz w:val="20"/>
                                    </w:rPr>
                                  </w:pPr>
                                </w:p>
                              </w:tc>
                            </w:tr>
                          </w:tbl>
                          <w:p>
                            <w:pPr>
                              <w:pStyle w:val="6"/>
                            </w:pPr>
                          </w:p>
                        </w:txbxContent>
                      </wps:txbx>
                      <wps:bodyPr lIns="0" tIns="0" rIns="0" bIns="0" upright="1"/>
                    </wps:wsp>
                  </a:graphicData>
                </a:graphic>
              </wp:anchor>
            </w:drawing>
          </mc:Choice>
          <mc:Fallback>
            <w:pict>
              <v:shape id="_x0000_s1026" o:spid="_x0000_s1026" o:spt="202" type="#_x0000_t202" style="position:absolute;left:0pt;margin-left:89pt;margin-top:24.05pt;height:656.3pt;width:420.75pt;mso-position-horizontal-relative:page;z-index:251665408;mso-width-relative:page;mso-height-relative:page;" filled="f" stroked="f" coordsize="21600,21600" o:gfxdata="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4g7tHaAAAADAEAAA8AAAAAAAAAAQAgAAAAIgAAAGRycy9kb3ducmV2LnhtbFBL&#10;AQIUABQAAAAIAIdO4kCvd/eauwEAAHMDAAAOAAAAAAAAAAEAIAAAACkBAABkcnMvZTJvRG9jLnht&#10;bFBLBQYAAAAABgAGAFkBAABWBQAAAAA=&#10;">
                <v:fill on="f" focussize="0,0"/>
                <v:stroke on="f"/>
                <v:imagedata o:title=""/>
                <o:lock v:ext="edit" aspectratio="f"/>
                <v:textbox inset="0mm,0mm,0mm,0mm">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1"/>
                        <w:gridCol w:w="5616"/>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8400" w:type="dxa"/>
                            <w:gridSpan w:val="3"/>
                          </w:tcPr>
                          <w:p>
                            <w:pPr>
                              <w:pStyle w:val="44"/>
                              <w:spacing w:before="11"/>
                              <w:rPr>
                                <w:rFonts w:ascii="方正仿宋_GBK"/>
                                <w:sz w:val="15"/>
                              </w:rPr>
                            </w:pPr>
                          </w:p>
                          <w:p>
                            <w:pPr>
                              <w:pStyle w:val="44"/>
                              <w:spacing w:line="417" w:lineRule="auto"/>
                              <w:ind w:left="125" w:right="112"/>
                              <w:jc w:val="center"/>
                              <w:rPr>
                                <w:b/>
                                <w:sz w:val="28"/>
                              </w:rPr>
                            </w:pPr>
                            <w:r>
                              <w:rPr>
                                <w:b/>
                                <w:spacing w:val="-1"/>
                                <w:w w:val="95"/>
                                <w:sz w:val="28"/>
                              </w:rPr>
                              <w:t xml:space="preserve">云南城市建设职业学院专职辅导员申报教师专业技术职称思想政治  </w:t>
                            </w:r>
                            <w:r>
                              <w:rPr>
                                <w:b/>
                                <w:spacing w:val="-1"/>
                                <w:sz w:val="28"/>
                              </w:rPr>
                              <w:t>教育学科评审指标参考体系（教授）</w:t>
                            </w:r>
                          </w:p>
                          <w:p>
                            <w:pPr>
                              <w:pStyle w:val="44"/>
                              <w:spacing w:line="358" w:lineRule="exact"/>
                              <w:ind w:left="122" w:right="112"/>
                              <w:jc w:val="center"/>
                              <w:rPr>
                                <w:b/>
                                <w:sz w:val="28"/>
                              </w:rPr>
                            </w:pPr>
                            <w:r>
                              <w:rPr>
                                <w:b/>
                                <w:sz w:val="28"/>
                              </w:rPr>
                              <w:t>（注：总分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tcPr>
                          <w:p>
                            <w:pPr>
                              <w:pStyle w:val="44"/>
                              <w:spacing w:before="95"/>
                              <w:ind w:left="300"/>
                              <w:rPr>
                                <w:sz w:val="20"/>
                              </w:rPr>
                            </w:pPr>
                            <w:r>
                              <w:rPr>
                                <w:sz w:val="20"/>
                              </w:rPr>
                              <w:t>一级指标</w:t>
                            </w:r>
                          </w:p>
                        </w:tc>
                        <w:tc>
                          <w:tcPr>
                            <w:tcW w:w="5616" w:type="dxa"/>
                          </w:tcPr>
                          <w:p>
                            <w:pPr>
                              <w:pStyle w:val="44"/>
                              <w:spacing w:before="95"/>
                              <w:ind w:left="2387" w:right="2378"/>
                              <w:jc w:val="center"/>
                              <w:rPr>
                                <w:sz w:val="20"/>
                              </w:rPr>
                            </w:pPr>
                            <w:r>
                              <w:rPr>
                                <w:sz w:val="20"/>
                              </w:rPr>
                              <w:t>二级指标</w:t>
                            </w:r>
                          </w:p>
                        </w:tc>
                        <w:tc>
                          <w:tcPr>
                            <w:tcW w:w="1383" w:type="dxa"/>
                          </w:tcPr>
                          <w:p>
                            <w:pPr>
                              <w:pStyle w:val="44"/>
                              <w:spacing w:before="95"/>
                              <w:ind w:left="469" w:right="463"/>
                              <w:jc w:val="center"/>
                              <w:rPr>
                                <w:sz w:val="20"/>
                              </w:rPr>
                            </w:pPr>
                            <w:r>
                              <w:rPr>
                                <w:sz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140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3"/>
                              <w:rPr>
                                <w:rFonts w:ascii="方正仿宋_GBK"/>
                                <w:sz w:val="24"/>
                              </w:rPr>
                            </w:pPr>
                          </w:p>
                          <w:p>
                            <w:pPr>
                              <w:pStyle w:val="44"/>
                              <w:spacing w:line="292" w:lineRule="auto"/>
                              <w:ind w:left="499" w:right="2" w:hanging="485"/>
                              <w:rPr>
                                <w:sz w:val="20"/>
                              </w:rPr>
                            </w:pPr>
                            <w:r>
                              <w:rPr>
                                <w:spacing w:val="-23"/>
                                <w:sz w:val="20"/>
                              </w:rPr>
                              <w:t>一、思政素养</w:t>
                            </w:r>
                            <w:r>
                              <w:rPr>
                                <w:spacing w:val="-6"/>
                                <w:sz w:val="20"/>
                              </w:rPr>
                              <w:t xml:space="preserve">（5 </w:t>
                            </w:r>
                            <w:r>
                              <w:rPr>
                                <w:sz w:val="20"/>
                              </w:rPr>
                              <w:t>分）</w:t>
                            </w:r>
                          </w:p>
                        </w:tc>
                        <w:tc>
                          <w:tcPr>
                            <w:tcW w:w="5616" w:type="dxa"/>
                          </w:tcPr>
                          <w:p>
                            <w:pPr>
                              <w:pStyle w:val="44"/>
                              <w:spacing w:before="7"/>
                              <w:rPr>
                                <w:rFonts w:ascii="方正仿宋_GBK"/>
                                <w:sz w:val="18"/>
                              </w:rPr>
                            </w:pPr>
                          </w:p>
                          <w:p>
                            <w:pPr>
                              <w:pStyle w:val="44"/>
                              <w:spacing w:line="292" w:lineRule="auto"/>
                              <w:ind w:left="15" w:right="90"/>
                              <w:jc w:val="both"/>
                              <w:rPr>
                                <w:sz w:val="20"/>
                              </w:rPr>
                            </w:pPr>
                            <w:r>
                              <w:rPr>
                                <w:w w:val="95"/>
                                <w:sz w:val="20"/>
                              </w:rPr>
                              <w:t xml:space="preserve">1、政治立场坚定,热爱祖国，坚定不移拥护中国共产党领导,高 举中国特色社会主义伟大旗帜,全面贯彻党的教育方针。能根据 </w:t>
                            </w:r>
                            <w:r>
                              <w:rPr>
                                <w:sz w:val="20"/>
                              </w:rPr>
                              <w:t>高等教育发展要求结合学生实际开展工作。(1</w:t>
                            </w:r>
                            <w:r>
                              <w:rPr>
                                <w:spacing w:val="-26"/>
                                <w:sz w:val="20"/>
                              </w:rPr>
                              <w:t xml:space="preserve"> 分</w:t>
                            </w:r>
                            <w:r>
                              <w:rPr>
                                <w:sz w:val="20"/>
                              </w:rPr>
                              <w:t>）</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2、富有爱心和责任心,真诚关爱和正确引导学生。(1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3、具有良好的道德品质和文明的举止言行。(1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4、管理工作公开公平公正,法治理念与人文关怀相结合。(1</w:t>
                            </w:r>
                            <w:r>
                              <w:rPr>
                                <w:spacing w:val="-19"/>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5、无违反工作纪律行为。(1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01" w:type="dxa"/>
                            <w:vMerge w:val="restart"/>
                          </w:tcPr>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rPr>
                                <w:rFonts w:ascii="方正仿宋_GBK"/>
                                <w:sz w:val="20"/>
                              </w:rPr>
                            </w:pPr>
                          </w:p>
                          <w:p>
                            <w:pPr>
                              <w:pStyle w:val="44"/>
                              <w:spacing w:before="15"/>
                              <w:rPr>
                                <w:rFonts w:ascii="方正仿宋_GBK"/>
                                <w:sz w:val="15"/>
                              </w:rPr>
                            </w:pPr>
                          </w:p>
                          <w:p>
                            <w:pPr>
                              <w:pStyle w:val="44"/>
                              <w:ind w:left="78" w:right="72"/>
                              <w:jc w:val="center"/>
                              <w:rPr>
                                <w:sz w:val="20"/>
                              </w:rPr>
                            </w:pPr>
                            <w:r>
                              <w:rPr>
                                <w:sz w:val="20"/>
                              </w:rPr>
                              <w:t>二、职业能力</w:t>
                            </w:r>
                          </w:p>
                          <w:p>
                            <w:pPr>
                              <w:pStyle w:val="44"/>
                              <w:spacing w:before="56"/>
                              <w:ind w:left="78" w:right="72"/>
                              <w:jc w:val="center"/>
                              <w:rPr>
                                <w:sz w:val="20"/>
                              </w:rPr>
                            </w:pPr>
                            <w:r>
                              <w:rPr>
                                <w:sz w:val="20"/>
                              </w:rPr>
                              <w:t>（25 分）</w:t>
                            </w:r>
                          </w:p>
                        </w:tc>
                        <w:tc>
                          <w:tcPr>
                            <w:tcW w:w="5616" w:type="dxa"/>
                          </w:tcPr>
                          <w:p>
                            <w:pPr>
                              <w:pStyle w:val="44"/>
                              <w:spacing w:before="44" w:line="292" w:lineRule="auto"/>
                              <w:ind w:left="15" w:right="-15"/>
                              <w:rPr>
                                <w:sz w:val="20"/>
                              </w:rPr>
                            </w:pPr>
                            <w:r>
                              <w:rPr>
                                <w:sz w:val="20"/>
                              </w:rPr>
                              <w:t>6、获得心理咨询师、职业指导师、创业指导师、就业指导、社工等职业资质证书或者省级以上相关培训合格证书或结业证明。</w:t>
                            </w:r>
                          </w:p>
                          <w:p>
                            <w:pPr>
                              <w:pStyle w:val="44"/>
                              <w:spacing w:line="255" w:lineRule="exact"/>
                              <w:ind w:left="15"/>
                              <w:rPr>
                                <w:sz w:val="20"/>
                              </w:rPr>
                            </w:pPr>
                            <w:r>
                              <w:rPr>
                                <w:sz w:val="20"/>
                              </w:rPr>
                              <w:t>(4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401" w:type="dxa"/>
                            <w:vMerge w:val="continue"/>
                            <w:tcBorders>
                              <w:top w:val="nil"/>
                            </w:tcBorders>
                          </w:tcPr>
                          <w:p>
                            <w:pPr>
                              <w:rPr>
                                <w:sz w:val="2"/>
                                <w:szCs w:val="2"/>
                              </w:rPr>
                            </w:pPr>
                          </w:p>
                        </w:tc>
                        <w:tc>
                          <w:tcPr>
                            <w:tcW w:w="5616" w:type="dxa"/>
                          </w:tcPr>
                          <w:p>
                            <w:pPr>
                              <w:pStyle w:val="44"/>
                              <w:spacing w:before="8" w:line="310" w:lineRule="atLeast"/>
                              <w:ind w:left="15" w:right="90"/>
                              <w:rPr>
                                <w:sz w:val="20"/>
                              </w:rPr>
                            </w:pPr>
                            <w:r>
                              <w:rPr>
                                <w:w w:val="95"/>
                                <w:sz w:val="20"/>
                              </w:rPr>
                              <w:t xml:space="preserve">7、在省级以上辅导员（班主任）演讲、网文、征文等各类单项 </w:t>
                            </w:r>
                            <w:r>
                              <w:rPr>
                                <w:sz w:val="20"/>
                              </w:rPr>
                              <w:t>竞赛中获奖。(4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01" w:type="dxa"/>
                            <w:vMerge w:val="continue"/>
                            <w:tcBorders>
                              <w:top w:val="nil"/>
                            </w:tcBorders>
                          </w:tcPr>
                          <w:p>
                            <w:pPr>
                              <w:rPr>
                                <w:sz w:val="2"/>
                                <w:szCs w:val="2"/>
                              </w:rPr>
                            </w:pPr>
                          </w:p>
                        </w:tc>
                        <w:tc>
                          <w:tcPr>
                            <w:tcW w:w="5616" w:type="dxa"/>
                          </w:tcPr>
                          <w:p>
                            <w:pPr>
                              <w:pStyle w:val="44"/>
                              <w:spacing w:before="44"/>
                              <w:ind w:left="15"/>
                              <w:rPr>
                                <w:sz w:val="20"/>
                              </w:rPr>
                            </w:pPr>
                            <w:r>
                              <w:rPr>
                                <w:sz w:val="20"/>
                              </w:rPr>
                              <w:t>8、主持或参与省级以上辅导员（班主任）精品项目工作任务。</w:t>
                            </w:r>
                          </w:p>
                          <w:p>
                            <w:pPr>
                              <w:pStyle w:val="44"/>
                              <w:spacing w:before="56"/>
                              <w:ind w:left="15"/>
                              <w:rPr>
                                <w:sz w:val="20"/>
                              </w:rPr>
                            </w:pPr>
                            <w:r>
                              <w:rPr>
                                <w:sz w:val="20"/>
                              </w:rPr>
                              <w:t>(4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01" w:type="dxa"/>
                            <w:vMerge w:val="continue"/>
                            <w:tcBorders>
                              <w:top w:val="nil"/>
                            </w:tcBorders>
                          </w:tcPr>
                          <w:p>
                            <w:pPr>
                              <w:rPr>
                                <w:sz w:val="2"/>
                                <w:szCs w:val="2"/>
                              </w:rPr>
                            </w:pPr>
                          </w:p>
                        </w:tc>
                        <w:tc>
                          <w:tcPr>
                            <w:tcW w:w="5616" w:type="dxa"/>
                          </w:tcPr>
                          <w:p>
                            <w:pPr>
                              <w:pStyle w:val="44"/>
                              <w:spacing w:before="45"/>
                              <w:ind w:left="15"/>
                              <w:rPr>
                                <w:sz w:val="20"/>
                              </w:rPr>
                            </w:pPr>
                            <w:r>
                              <w:rPr>
                                <w:sz w:val="20"/>
                              </w:rPr>
                              <w:t>9、在省级辅导员（班主任）职业能力大赛中获二等奖以上。(4</w:t>
                            </w:r>
                          </w:p>
                          <w:p>
                            <w:pPr>
                              <w:pStyle w:val="44"/>
                              <w:spacing w:before="55"/>
                              <w:ind w:left="15"/>
                              <w:rPr>
                                <w:sz w:val="20"/>
                              </w:rPr>
                            </w:pPr>
                            <w:r>
                              <w:rPr>
                                <w:sz w:val="20"/>
                              </w:rPr>
                              <w:t>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sz w:val="2"/>
                                <w:szCs w:val="2"/>
                              </w:rPr>
                            </w:pPr>
                          </w:p>
                        </w:tc>
                        <w:tc>
                          <w:tcPr>
                            <w:tcW w:w="5616" w:type="dxa"/>
                          </w:tcPr>
                          <w:p>
                            <w:pPr>
                              <w:pStyle w:val="44"/>
                              <w:spacing w:before="9" w:line="310" w:lineRule="atLeast"/>
                              <w:ind w:left="15" w:right="4"/>
                              <w:rPr>
                                <w:sz w:val="20"/>
                              </w:rPr>
                            </w:pPr>
                            <w:r>
                              <w:rPr>
                                <w:w w:val="95"/>
                                <w:sz w:val="20"/>
                              </w:rPr>
                              <w:t>10</w:t>
                            </w:r>
                            <w:r>
                              <w:rPr>
                                <w:spacing w:val="-3"/>
                                <w:w w:val="95"/>
                                <w:sz w:val="20"/>
                              </w:rPr>
                              <w:t>、获得省级以上年度优秀辅导员</w:t>
                            </w:r>
                            <w:r>
                              <w:rPr>
                                <w:w w:val="95"/>
                                <w:sz w:val="20"/>
                              </w:rPr>
                              <w:t>（班主任</w:t>
                            </w:r>
                            <w:r>
                              <w:rPr>
                                <w:spacing w:val="-3"/>
                                <w:w w:val="95"/>
                                <w:sz w:val="20"/>
                              </w:rPr>
                              <w:t>）</w:t>
                            </w:r>
                            <w:r>
                              <w:rPr>
                                <w:w w:val="95"/>
                                <w:sz w:val="20"/>
                              </w:rPr>
                              <w:t xml:space="preserve">或先进工作者及以 </w:t>
                            </w:r>
                            <w:r>
                              <w:rPr>
                                <w:sz w:val="20"/>
                              </w:rPr>
                              <w:t>上荣誉称号。(4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401" w:type="dxa"/>
                            <w:vMerge w:val="continue"/>
                            <w:tcBorders>
                              <w:top w:val="nil"/>
                            </w:tcBorders>
                          </w:tcPr>
                          <w:p>
                            <w:pPr>
                              <w:rPr>
                                <w:sz w:val="2"/>
                                <w:szCs w:val="2"/>
                              </w:rPr>
                            </w:pPr>
                          </w:p>
                        </w:tc>
                        <w:tc>
                          <w:tcPr>
                            <w:tcW w:w="5616" w:type="dxa"/>
                          </w:tcPr>
                          <w:p>
                            <w:pPr>
                              <w:pStyle w:val="44"/>
                              <w:spacing w:before="107" w:line="292" w:lineRule="auto"/>
                              <w:ind w:left="15" w:right="6"/>
                              <w:rPr>
                                <w:sz w:val="20"/>
                              </w:rPr>
                            </w:pPr>
                            <w:r>
                              <w:rPr>
                                <w:w w:val="95"/>
                                <w:sz w:val="20"/>
                              </w:rPr>
                              <w:t>11</w:t>
                            </w:r>
                            <w:r>
                              <w:rPr>
                                <w:spacing w:val="-3"/>
                                <w:w w:val="95"/>
                                <w:sz w:val="20"/>
                              </w:rPr>
                              <w:t>、被评为云南省辅导员</w:t>
                            </w:r>
                            <w:r>
                              <w:rPr>
                                <w:w w:val="95"/>
                                <w:sz w:val="20"/>
                              </w:rPr>
                              <w:t>（班主任</w:t>
                            </w:r>
                            <w:r>
                              <w:rPr>
                                <w:spacing w:val="-3"/>
                                <w:w w:val="95"/>
                                <w:sz w:val="20"/>
                              </w:rPr>
                              <w:t xml:space="preserve">）“年度人物”或“最受学生 </w:t>
                            </w:r>
                            <w:r>
                              <w:rPr>
                                <w:spacing w:val="-3"/>
                                <w:sz w:val="20"/>
                              </w:rPr>
                              <w:t>敬佩辅导员（班主任）”等其他荣誉称号。(4</w:t>
                            </w:r>
                            <w:r>
                              <w:rPr>
                                <w:spacing w:val="-18"/>
                                <w:sz w:val="20"/>
                              </w:rPr>
                              <w:t xml:space="preserve">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sz w:val="2"/>
                                <w:szCs w:val="2"/>
                              </w:rPr>
                            </w:pPr>
                          </w:p>
                        </w:tc>
                        <w:tc>
                          <w:tcPr>
                            <w:tcW w:w="5616" w:type="dxa"/>
                          </w:tcPr>
                          <w:p>
                            <w:pPr>
                              <w:pStyle w:val="44"/>
                              <w:spacing w:before="95"/>
                              <w:ind w:left="15"/>
                              <w:rPr>
                                <w:sz w:val="20"/>
                              </w:rPr>
                            </w:pPr>
                            <w:r>
                              <w:rPr>
                                <w:sz w:val="20"/>
                              </w:rPr>
                              <w:t>12、代表学院承担专项业务对接一年以上。(1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401" w:type="dxa"/>
                            <w:vMerge w:val="restart"/>
                          </w:tcPr>
                          <w:p>
                            <w:pPr>
                              <w:pStyle w:val="44"/>
                              <w:rPr>
                                <w:rFonts w:ascii="方正仿宋_GBK"/>
                                <w:sz w:val="20"/>
                              </w:rPr>
                            </w:pPr>
                          </w:p>
                          <w:p>
                            <w:pPr>
                              <w:pStyle w:val="44"/>
                              <w:rPr>
                                <w:rFonts w:ascii="方正仿宋_GBK"/>
                                <w:sz w:val="20"/>
                              </w:rPr>
                            </w:pPr>
                          </w:p>
                          <w:p>
                            <w:pPr>
                              <w:pStyle w:val="44"/>
                              <w:spacing w:before="14"/>
                              <w:rPr>
                                <w:rFonts w:ascii="方正仿宋_GBK"/>
                                <w:sz w:val="12"/>
                              </w:rPr>
                            </w:pPr>
                          </w:p>
                          <w:p>
                            <w:pPr>
                              <w:pStyle w:val="44"/>
                              <w:spacing w:line="292" w:lineRule="auto"/>
                              <w:ind w:left="499" w:right="2" w:hanging="485"/>
                              <w:rPr>
                                <w:sz w:val="20"/>
                              </w:rPr>
                            </w:pPr>
                            <w:r>
                              <w:rPr>
                                <w:spacing w:val="-7"/>
                                <w:sz w:val="20"/>
                              </w:rPr>
                              <w:t>三、工作量</w:t>
                            </w:r>
                            <w:r>
                              <w:rPr>
                                <w:spacing w:val="-5"/>
                                <w:sz w:val="20"/>
                              </w:rPr>
                              <w:t xml:space="preserve">（15 </w:t>
                            </w:r>
                            <w:r>
                              <w:rPr>
                                <w:sz w:val="20"/>
                              </w:rPr>
                              <w:t>分）</w:t>
                            </w:r>
                          </w:p>
                        </w:tc>
                        <w:tc>
                          <w:tcPr>
                            <w:tcW w:w="5616" w:type="dxa"/>
                          </w:tcPr>
                          <w:p>
                            <w:pPr>
                              <w:pStyle w:val="44"/>
                              <w:spacing w:before="105"/>
                              <w:ind w:left="15"/>
                              <w:rPr>
                                <w:sz w:val="20"/>
                              </w:rPr>
                            </w:pPr>
                            <w:r>
                              <w:rPr>
                                <w:sz w:val="20"/>
                              </w:rPr>
                              <w:t>13</w:t>
                            </w:r>
                            <w:r>
                              <w:rPr>
                                <w:spacing w:val="-16"/>
                                <w:sz w:val="20"/>
                              </w:rPr>
                              <w:t>、履职辅导员</w:t>
                            </w:r>
                            <w:r>
                              <w:rPr>
                                <w:sz w:val="20"/>
                              </w:rPr>
                              <w:t>（班主任</w:t>
                            </w:r>
                            <w:r>
                              <w:rPr>
                                <w:spacing w:val="-41"/>
                                <w:sz w:val="20"/>
                              </w:rPr>
                              <w:t>）</w:t>
                            </w:r>
                            <w:r>
                              <w:rPr>
                                <w:spacing w:val="-15"/>
                                <w:sz w:val="20"/>
                              </w:rPr>
                              <w:t xml:space="preserve">工作满 </w:t>
                            </w:r>
                            <w:r>
                              <w:rPr>
                                <w:sz w:val="20"/>
                              </w:rPr>
                              <w:t>8</w:t>
                            </w:r>
                            <w:r>
                              <w:rPr>
                                <w:spacing w:val="-14"/>
                                <w:sz w:val="20"/>
                              </w:rPr>
                              <w:t xml:space="preserve"> 年基础上，每担任辅导员</w:t>
                            </w:r>
                            <w:r>
                              <w:rPr>
                                <w:sz w:val="20"/>
                              </w:rPr>
                              <w:t>（班</w:t>
                            </w:r>
                          </w:p>
                          <w:p>
                            <w:pPr>
                              <w:pStyle w:val="44"/>
                              <w:spacing w:before="56"/>
                              <w:ind w:left="15"/>
                              <w:rPr>
                                <w:sz w:val="20"/>
                              </w:rPr>
                            </w:pPr>
                            <w:r>
                              <w:rPr>
                                <w:sz w:val="20"/>
                              </w:rPr>
                              <w:t>主任）工作满 1 年加 0.5 分,最高 2 分。(2 分)</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continue"/>
                            <w:tcBorders>
                              <w:top w:val="nil"/>
                            </w:tcBorders>
                          </w:tcPr>
                          <w:p>
                            <w:pPr>
                              <w:rPr>
                                <w:sz w:val="2"/>
                                <w:szCs w:val="2"/>
                              </w:rPr>
                            </w:pPr>
                          </w:p>
                        </w:tc>
                        <w:tc>
                          <w:tcPr>
                            <w:tcW w:w="5616" w:type="dxa"/>
                          </w:tcPr>
                          <w:p>
                            <w:pPr>
                              <w:pStyle w:val="44"/>
                              <w:spacing w:before="105" w:line="292" w:lineRule="auto"/>
                              <w:ind w:left="15" w:right="90"/>
                              <w:rPr>
                                <w:sz w:val="20"/>
                              </w:rPr>
                            </w:pPr>
                            <w:r>
                              <w:rPr>
                                <w:w w:val="95"/>
                                <w:sz w:val="20"/>
                              </w:rPr>
                              <w:t xml:space="preserve">14、独立完成一个年级的辅导员（班主任）工作,或者所负责辅 </w:t>
                            </w:r>
                            <w:r>
                              <w:rPr>
                                <w:sz w:val="20"/>
                              </w:rPr>
                              <w:t>导学生数量符合教育部师生比规定。(1</w:t>
                            </w:r>
                            <w:r>
                              <w:rPr>
                                <w:spacing w:val="-26"/>
                                <w:sz w:val="20"/>
                              </w:rPr>
                              <w:t xml:space="preserve"> 分</w:t>
                            </w:r>
                            <w:r>
                              <w:rPr>
                                <w:sz w:val="20"/>
                              </w:rPr>
                              <w:t>）</w:t>
                            </w:r>
                          </w:p>
                        </w:tc>
                        <w:tc>
                          <w:tcPr>
                            <w:tcW w:w="1383" w:type="dxa"/>
                          </w:tcPr>
                          <w:p>
                            <w:pPr>
                              <w:pStyle w:val="44"/>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401" w:type="dxa"/>
                            <w:vMerge w:val="continue"/>
                            <w:tcBorders>
                              <w:top w:val="nil"/>
                            </w:tcBorders>
                          </w:tcPr>
                          <w:p>
                            <w:pPr>
                              <w:rPr>
                                <w:sz w:val="2"/>
                                <w:szCs w:val="2"/>
                              </w:rPr>
                            </w:pPr>
                          </w:p>
                        </w:tc>
                        <w:tc>
                          <w:tcPr>
                            <w:tcW w:w="5616" w:type="dxa"/>
                          </w:tcPr>
                          <w:p>
                            <w:pPr>
                              <w:pStyle w:val="44"/>
                              <w:spacing w:before="9" w:line="310" w:lineRule="atLeast"/>
                              <w:ind w:left="15" w:right="4"/>
                              <w:rPr>
                                <w:sz w:val="20"/>
                              </w:rPr>
                            </w:pPr>
                            <w:r>
                              <w:rPr>
                                <w:w w:val="95"/>
                                <w:sz w:val="20"/>
                              </w:rPr>
                              <w:t>15</w:t>
                            </w:r>
                            <w:r>
                              <w:rPr>
                                <w:spacing w:val="-4"/>
                                <w:w w:val="95"/>
                                <w:sz w:val="20"/>
                              </w:rPr>
                              <w:t xml:space="preserve">、兼任院系党委(支部)副书记或者团委(总支)书记、学生党总 </w:t>
                            </w:r>
                            <w:r>
                              <w:rPr>
                                <w:spacing w:val="-4"/>
                                <w:sz w:val="20"/>
                              </w:rPr>
                              <w:t>支书记等工作。(1</w:t>
                            </w:r>
                            <w:r>
                              <w:rPr>
                                <w:spacing w:val="-18"/>
                                <w:sz w:val="20"/>
                              </w:rPr>
                              <w:t xml:space="preserve"> 分)</w:t>
                            </w:r>
                          </w:p>
                        </w:tc>
                        <w:tc>
                          <w:tcPr>
                            <w:tcW w:w="1383" w:type="dxa"/>
                          </w:tcPr>
                          <w:p>
                            <w:pPr>
                              <w:pStyle w:val="44"/>
                              <w:rPr>
                                <w:rFonts w:ascii="Times New Roman"/>
                                <w:sz w:val="20"/>
                              </w:rPr>
                            </w:pPr>
                          </w:p>
                        </w:tc>
                      </w:tr>
                    </w:tbl>
                    <w:p>
                      <w:pPr>
                        <w:pStyle w:val="6"/>
                      </w:pPr>
                    </w:p>
                  </w:txbxContent>
                </v:textbox>
              </v:shape>
            </w:pict>
          </mc:Fallback>
        </mc:AlternateContent>
      </w:r>
      <w:r>
        <w:rPr>
          <w:color w:val="auto"/>
          <w:highlight w:val="none"/>
        </w:rPr>
        <w:t>附件 4</w:t>
      </w:r>
    </w:p>
    <w:p>
      <w:pPr>
        <w:spacing w:after="0"/>
        <w:rPr>
          <w:color w:val="auto"/>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1"/>
        <w:gridCol w:w="5616"/>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restart"/>
          </w:tcPr>
          <w:p>
            <w:pPr>
              <w:pStyle w:val="44"/>
              <w:rPr>
                <w:rFonts w:ascii="Times New Roman"/>
                <w:color w:val="auto"/>
                <w:sz w:val="18"/>
                <w:highlight w:val="none"/>
              </w:rPr>
            </w:pPr>
          </w:p>
        </w:tc>
        <w:tc>
          <w:tcPr>
            <w:tcW w:w="5616" w:type="dxa"/>
          </w:tcPr>
          <w:p>
            <w:pPr>
              <w:pStyle w:val="44"/>
              <w:spacing w:before="96"/>
              <w:ind w:left="15"/>
              <w:rPr>
                <w:color w:val="auto"/>
                <w:sz w:val="20"/>
                <w:highlight w:val="none"/>
              </w:rPr>
            </w:pPr>
            <w:r>
              <w:rPr>
                <w:color w:val="auto"/>
                <w:sz w:val="20"/>
                <w:highlight w:val="none"/>
              </w:rPr>
              <w:t>16、完成学校的政治学习、值班等工作任务。(1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17</w:t>
            </w:r>
            <w:r>
              <w:rPr>
                <w:color w:val="auto"/>
                <w:spacing w:val="-13"/>
                <w:sz w:val="20"/>
                <w:highlight w:val="none"/>
              </w:rPr>
              <w:t>、关注学生成长环境,及时做好家校联系,并有相关记录。(</w:t>
            </w:r>
            <w:r>
              <w:rPr>
                <w:color w:val="auto"/>
                <w:sz w:val="20"/>
                <w:highlight w:val="none"/>
              </w:rPr>
              <w:t>1</w:t>
            </w:r>
            <w:r>
              <w:rPr>
                <w:color w:val="auto"/>
                <w:spacing w:val="-20"/>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continue"/>
            <w:tcBorders>
              <w:top w:val="nil"/>
            </w:tcBorders>
          </w:tcPr>
          <w:p>
            <w:pPr>
              <w:rPr>
                <w:color w:val="auto"/>
                <w:sz w:val="2"/>
                <w:szCs w:val="2"/>
                <w:highlight w:val="none"/>
              </w:rPr>
            </w:pPr>
          </w:p>
        </w:tc>
        <w:tc>
          <w:tcPr>
            <w:tcW w:w="5616" w:type="dxa"/>
          </w:tcPr>
          <w:p>
            <w:pPr>
              <w:pStyle w:val="44"/>
              <w:spacing w:before="105" w:line="292" w:lineRule="auto"/>
              <w:ind w:left="15" w:right="4"/>
              <w:rPr>
                <w:color w:val="auto"/>
                <w:sz w:val="20"/>
                <w:highlight w:val="none"/>
              </w:rPr>
            </w:pPr>
            <w:r>
              <w:rPr>
                <w:color w:val="auto"/>
                <w:w w:val="95"/>
                <w:sz w:val="20"/>
                <w:highlight w:val="none"/>
              </w:rPr>
              <w:t>18</w:t>
            </w:r>
            <w:r>
              <w:rPr>
                <w:color w:val="auto"/>
                <w:spacing w:val="-4"/>
                <w:w w:val="95"/>
                <w:sz w:val="20"/>
                <w:highlight w:val="none"/>
              </w:rPr>
              <w:t xml:space="preserve">、深入学生课堂，做好听课记录。了解学生的学习情况，与任 </w:t>
            </w:r>
            <w:r>
              <w:rPr>
                <w:color w:val="auto"/>
                <w:spacing w:val="-4"/>
                <w:sz w:val="20"/>
                <w:highlight w:val="none"/>
              </w:rPr>
              <w:t>课老师保持联系，及时处理好学生学习问题。(1</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401" w:type="dxa"/>
            <w:vMerge w:val="continue"/>
            <w:tcBorders>
              <w:top w:val="nil"/>
            </w:tcBorders>
          </w:tcPr>
          <w:p>
            <w:pPr>
              <w:rPr>
                <w:color w:val="auto"/>
                <w:sz w:val="2"/>
                <w:szCs w:val="2"/>
                <w:highlight w:val="none"/>
              </w:rPr>
            </w:pPr>
          </w:p>
        </w:tc>
        <w:tc>
          <w:tcPr>
            <w:tcW w:w="5616" w:type="dxa"/>
          </w:tcPr>
          <w:p>
            <w:pPr>
              <w:pStyle w:val="44"/>
              <w:spacing w:before="106" w:line="292" w:lineRule="auto"/>
              <w:ind w:left="15" w:right="90"/>
              <w:rPr>
                <w:color w:val="auto"/>
                <w:sz w:val="20"/>
                <w:highlight w:val="none"/>
              </w:rPr>
            </w:pPr>
            <w:r>
              <w:rPr>
                <w:color w:val="auto"/>
                <w:w w:val="95"/>
                <w:sz w:val="20"/>
                <w:highlight w:val="none"/>
              </w:rPr>
              <w:t xml:space="preserve">19、做好贫困学生帮扶和勤工助学工作;在各类奖助学金、综合 </w:t>
            </w:r>
            <w:r>
              <w:rPr>
                <w:color w:val="auto"/>
                <w:sz w:val="20"/>
                <w:highlight w:val="none"/>
              </w:rPr>
              <w:t>测评的评定中无学生投诉。(1</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continue"/>
            <w:tcBorders>
              <w:top w:val="nil"/>
            </w:tcBorders>
          </w:tcPr>
          <w:p>
            <w:pPr>
              <w:rPr>
                <w:color w:val="auto"/>
                <w:sz w:val="2"/>
                <w:szCs w:val="2"/>
                <w:highlight w:val="none"/>
              </w:rPr>
            </w:pPr>
          </w:p>
        </w:tc>
        <w:tc>
          <w:tcPr>
            <w:tcW w:w="5616" w:type="dxa"/>
          </w:tcPr>
          <w:p>
            <w:pPr>
              <w:pStyle w:val="44"/>
              <w:spacing w:before="106" w:line="292" w:lineRule="auto"/>
              <w:ind w:left="15" w:right="4"/>
              <w:rPr>
                <w:color w:val="auto"/>
                <w:sz w:val="20"/>
                <w:highlight w:val="none"/>
              </w:rPr>
            </w:pPr>
            <w:r>
              <w:rPr>
                <w:color w:val="auto"/>
                <w:w w:val="95"/>
                <w:sz w:val="20"/>
                <w:highlight w:val="none"/>
              </w:rPr>
              <w:t>20</w:t>
            </w:r>
            <w:r>
              <w:rPr>
                <w:color w:val="auto"/>
                <w:spacing w:val="-3"/>
                <w:w w:val="95"/>
                <w:sz w:val="20"/>
                <w:highlight w:val="none"/>
              </w:rPr>
              <w:t xml:space="preserve">、按学校要求深入学生宿舍,入住学生园区;定期开展宿舍走访 </w:t>
            </w:r>
            <w:r>
              <w:rPr>
                <w:color w:val="auto"/>
                <w:spacing w:val="-3"/>
                <w:sz w:val="20"/>
                <w:highlight w:val="none"/>
              </w:rPr>
              <w:t>工作,并且有相关工作记录。(1</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trPr>
        <w:tc>
          <w:tcPr>
            <w:tcW w:w="1401" w:type="dxa"/>
            <w:vMerge w:val="continue"/>
            <w:tcBorders>
              <w:top w:val="nil"/>
            </w:tcBorders>
          </w:tcPr>
          <w:p>
            <w:pPr>
              <w:rPr>
                <w:color w:val="auto"/>
                <w:sz w:val="2"/>
                <w:szCs w:val="2"/>
                <w:highlight w:val="none"/>
              </w:rPr>
            </w:pPr>
          </w:p>
        </w:tc>
        <w:tc>
          <w:tcPr>
            <w:tcW w:w="5616" w:type="dxa"/>
          </w:tcPr>
          <w:p>
            <w:pPr>
              <w:pStyle w:val="44"/>
              <w:spacing w:before="8" w:line="310" w:lineRule="atLeast"/>
              <w:ind w:left="15" w:right="4"/>
              <w:rPr>
                <w:color w:val="auto"/>
                <w:sz w:val="20"/>
                <w:highlight w:val="none"/>
              </w:rPr>
            </w:pPr>
            <w:r>
              <w:rPr>
                <w:color w:val="auto"/>
                <w:sz w:val="20"/>
                <w:highlight w:val="none"/>
              </w:rPr>
              <w:t>21、熟练运用相关政策和理论开展工作,了解学生的思想动态以</w:t>
            </w:r>
            <w:r>
              <w:rPr>
                <w:color w:val="auto"/>
                <w:spacing w:val="-1"/>
                <w:w w:val="95"/>
                <w:sz w:val="20"/>
                <w:highlight w:val="none"/>
              </w:rPr>
              <w:t xml:space="preserve">及学习生活情况,经常性主动与学生谈心谈话，做好记录,解决大 </w:t>
            </w:r>
            <w:r>
              <w:rPr>
                <w:color w:val="auto"/>
                <w:spacing w:val="-1"/>
                <w:sz w:val="20"/>
                <w:highlight w:val="none"/>
              </w:rPr>
              <w:t>学生实际问题。(1</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401" w:type="dxa"/>
            <w:vMerge w:val="continue"/>
            <w:tcBorders>
              <w:top w:val="nil"/>
            </w:tcBorders>
          </w:tcPr>
          <w:p>
            <w:pPr>
              <w:rPr>
                <w:color w:val="auto"/>
                <w:sz w:val="2"/>
                <w:szCs w:val="2"/>
                <w:highlight w:val="none"/>
              </w:rPr>
            </w:pPr>
          </w:p>
        </w:tc>
        <w:tc>
          <w:tcPr>
            <w:tcW w:w="5616" w:type="dxa"/>
          </w:tcPr>
          <w:p>
            <w:pPr>
              <w:pStyle w:val="44"/>
              <w:spacing w:before="8" w:line="310" w:lineRule="atLeast"/>
              <w:ind w:left="15" w:right="4"/>
              <w:rPr>
                <w:color w:val="auto"/>
                <w:sz w:val="20"/>
                <w:highlight w:val="none"/>
              </w:rPr>
            </w:pPr>
            <w:r>
              <w:rPr>
                <w:color w:val="auto"/>
                <w:w w:val="95"/>
                <w:sz w:val="20"/>
                <w:highlight w:val="none"/>
              </w:rPr>
              <w:t>22</w:t>
            </w:r>
            <w:r>
              <w:rPr>
                <w:color w:val="auto"/>
                <w:spacing w:val="-3"/>
                <w:w w:val="95"/>
                <w:sz w:val="20"/>
                <w:highlight w:val="none"/>
              </w:rPr>
              <w:t xml:space="preserve">、积极运用“易班”和“中国大学生在线”等开展网络思想政 </w:t>
            </w:r>
            <w:r>
              <w:rPr>
                <w:color w:val="auto"/>
                <w:spacing w:val="-3"/>
                <w:sz w:val="20"/>
                <w:highlight w:val="none"/>
              </w:rPr>
              <w:t>治教育;建立并及时更新辅导员（班主任）专属的微信群、公众号、QQ</w:t>
            </w:r>
            <w:r>
              <w:rPr>
                <w:color w:val="auto"/>
                <w:spacing w:val="-8"/>
                <w:sz w:val="20"/>
                <w:highlight w:val="none"/>
              </w:rPr>
              <w:t xml:space="preserve"> 群等大学生网络思想政治教育工作平台。(</w:t>
            </w:r>
            <w:r>
              <w:rPr>
                <w:color w:val="auto"/>
                <w:sz w:val="20"/>
                <w:highlight w:val="none"/>
              </w:rPr>
              <w:t>1</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401" w:type="dxa"/>
            <w:vMerge w:val="continue"/>
            <w:tcBorders>
              <w:top w:val="nil"/>
            </w:tcBorders>
          </w:tcPr>
          <w:p>
            <w:pPr>
              <w:rPr>
                <w:color w:val="auto"/>
                <w:sz w:val="2"/>
                <w:szCs w:val="2"/>
                <w:highlight w:val="none"/>
              </w:rPr>
            </w:pPr>
          </w:p>
        </w:tc>
        <w:tc>
          <w:tcPr>
            <w:tcW w:w="5616" w:type="dxa"/>
          </w:tcPr>
          <w:p>
            <w:pPr>
              <w:pStyle w:val="44"/>
              <w:spacing w:before="7" w:line="310" w:lineRule="atLeast"/>
              <w:ind w:left="15" w:right="4"/>
              <w:jc w:val="both"/>
              <w:rPr>
                <w:color w:val="auto"/>
                <w:sz w:val="20"/>
                <w:highlight w:val="none"/>
              </w:rPr>
            </w:pPr>
            <w:r>
              <w:rPr>
                <w:color w:val="auto"/>
                <w:w w:val="95"/>
                <w:sz w:val="20"/>
                <w:highlight w:val="none"/>
              </w:rPr>
              <w:t>23</w:t>
            </w:r>
            <w:r>
              <w:rPr>
                <w:color w:val="auto"/>
                <w:spacing w:val="-4"/>
                <w:w w:val="95"/>
                <w:sz w:val="20"/>
                <w:highlight w:val="none"/>
              </w:rPr>
              <w:t xml:space="preserve">、做好学生日常思想政治教育工作，注重学生良好道德品质和 实践能力培养。定期开展有针对性、实效性的“主题班会”，并 </w:t>
            </w:r>
            <w:r>
              <w:rPr>
                <w:color w:val="auto"/>
                <w:spacing w:val="-4"/>
                <w:sz w:val="20"/>
                <w:highlight w:val="none"/>
              </w:rPr>
              <w:t>且有相关工作记录。(1</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2" w:hRule="atLeast"/>
        </w:trPr>
        <w:tc>
          <w:tcPr>
            <w:tcW w:w="1401" w:type="dxa"/>
            <w:vMerge w:val="continue"/>
            <w:tcBorders>
              <w:top w:val="nil"/>
            </w:tcBorders>
          </w:tcPr>
          <w:p>
            <w:pPr>
              <w:rPr>
                <w:color w:val="auto"/>
                <w:sz w:val="2"/>
                <w:szCs w:val="2"/>
                <w:highlight w:val="none"/>
              </w:rPr>
            </w:pPr>
          </w:p>
        </w:tc>
        <w:tc>
          <w:tcPr>
            <w:tcW w:w="5616" w:type="dxa"/>
          </w:tcPr>
          <w:p>
            <w:pPr>
              <w:pStyle w:val="44"/>
              <w:spacing w:before="116" w:line="292" w:lineRule="auto"/>
              <w:ind w:left="15" w:right="2"/>
              <w:rPr>
                <w:color w:val="auto"/>
                <w:sz w:val="20"/>
                <w:highlight w:val="none"/>
              </w:rPr>
            </w:pPr>
            <w:r>
              <w:rPr>
                <w:color w:val="auto"/>
                <w:sz w:val="20"/>
                <w:highlight w:val="none"/>
              </w:rPr>
              <w:t>24、具有长期丰富的学生事务管理工作经验,能运用相关知识进行服务育人体系化设计,结合时政和大学生实际,做好大学生思</w:t>
            </w:r>
            <w:r>
              <w:rPr>
                <w:color w:val="auto"/>
                <w:spacing w:val="-14"/>
                <w:sz w:val="20"/>
                <w:highlight w:val="none"/>
              </w:rPr>
              <w:t>想政治教育、职业规划、创业就业、心理健康教育等工作。(</w:t>
            </w:r>
            <w:r>
              <w:rPr>
                <w:color w:val="auto"/>
                <w:sz w:val="20"/>
                <w:highlight w:val="none"/>
              </w:rPr>
              <w:t>1</w:t>
            </w:r>
            <w:r>
              <w:rPr>
                <w:color w:val="auto"/>
                <w:spacing w:val="-21"/>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401" w:type="dxa"/>
            <w:vMerge w:val="continue"/>
            <w:tcBorders>
              <w:top w:val="nil"/>
            </w:tcBorders>
          </w:tcPr>
          <w:p>
            <w:pPr>
              <w:rPr>
                <w:color w:val="auto"/>
                <w:sz w:val="2"/>
                <w:szCs w:val="2"/>
                <w:highlight w:val="none"/>
              </w:rPr>
            </w:pPr>
          </w:p>
        </w:tc>
        <w:tc>
          <w:tcPr>
            <w:tcW w:w="5616" w:type="dxa"/>
          </w:tcPr>
          <w:p>
            <w:pPr>
              <w:pStyle w:val="44"/>
              <w:spacing w:before="8" w:line="310" w:lineRule="atLeast"/>
              <w:ind w:left="15" w:right="90"/>
              <w:jc w:val="both"/>
              <w:rPr>
                <w:color w:val="auto"/>
                <w:sz w:val="20"/>
                <w:highlight w:val="none"/>
              </w:rPr>
            </w:pPr>
            <w:r>
              <w:rPr>
                <w:color w:val="auto"/>
                <w:w w:val="95"/>
                <w:sz w:val="20"/>
                <w:highlight w:val="none"/>
              </w:rPr>
              <w:t xml:space="preserve">25、指导和负责学生党团基层组织建设;严格按照程序和纪律认 真做好党、团员的发展工作;所带学生入党愿望明显，入党积极 </w:t>
            </w:r>
            <w:r>
              <w:rPr>
                <w:color w:val="auto"/>
                <w:sz w:val="20"/>
                <w:highlight w:val="none"/>
              </w:rPr>
              <w:t>分子较多，入党动机纯正。(1</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color w:val="auto"/>
                <w:sz w:val="2"/>
                <w:szCs w:val="2"/>
                <w:highlight w:val="none"/>
              </w:rPr>
            </w:pPr>
          </w:p>
        </w:tc>
        <w:tc>
          <w:tcPr>
            <w:tcW w:w="5616" w:type="dxa"/>
          </w:tcPr>
          <w:p>
            <w:pPr>
              <w:pStyle w:val="44"/>
              <w:spacing w:before="95"/>
              <w:ind w:left="15"/>
              <w:rPr>
                <w:color w:val="auto"/>
                <w:sz w:val="20"/>
                <w:highlight w:val="none"/>
              </w:rPr>
            </w:pPr>
            <w:r>
              <w:rPr>
                <w:color w:val="auto"/>
                <w:sz w:val="20"/>
                <w:highlight w:val="none"/>
              </w:rPr>
              <w:t>26、特殊学生、违纪学生跟踪管理，有相关工作记录。（1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40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1"/>
              <w:rPr>
                <w:rFonts w:ascii="方正仿宋_GBK"/>
                <w:color w:val="auto"/>
                <w:sz w:val="21"/>
                <w:highlight w:val="none"/>
              </w:rPr>
            </w:pPr>
          </w:p>
          <w:p>
            <w:pPr>
              <w:pStyle w:val="44"/>
              <w:ind w:left="78" w:right="72"/>
              <w:jc w:val="center"/>
              <w:rPr>
                <w:color w:val="auto"/>
                <w:sz w:val="20"/>
                <w:highlight w:val="none"/>
              </w:rPr>
            </w:pPr>
            <w:r>
              <w:rPr>
                <w:color w:val="auto"/>
                <w:sz w:val="20"/>
                <w:highlight w:val="none"/>
              </w:rPr>
              <w:t>四、工作实绩</w:t>
            </w:r>
          </w:p>
          <w:p>
            <w:pPr>
              <w:pStyle w:val="44"/>
              <w:spacing w:before="56"/>
              <w:ind w:left="78" w:right="72"/>
              <w:jc w:val="center"/>
              <w:rPr>
                <w:color w:val="auto"/>
                <w:sz w:val="20"/>
                <w:highlight w:val="none"/>
              </w:rPr>
            </w:pPr>
            <w:r>
              <w:rPr>
                <w:color w:val="auto"/>
                <w:sz w:val="20"/>
                <w:highlight w:val="none"/>
              </w:rPr>
              <w:t>（15 分）</w:t>
            </w:r>
          </w:p>
        </w:tc>
        <w:tc>
          <w:tcPr>
            <w:tcW w:w="5616" w:type="dxa"/>
          </w:tcPr>
          <w:p>
            <w:pPr>
              <w:pStyle w:val="44"/>
              <w:spacing w:before="8" w:line="310" w:lineRule="atLeast"/>
              <w:ind w:left="15" w:right="47"/>
              <w:rPr>
                <w:color w:val="auto"/>
                <w:sz w:val="20"/>
                <w:highlight w:val="none"/>
              </w:rPr>
            </w:pPr>
            <w:r>
              <w:rPr>
                <w:color w:val="auto"/>
                <w:w w:val="95"/>
                <w:sz w:val="20"/>
                <w:highlight w:val="none"/>
              </w:rPr>
              <w:t xml:space="preserve">27、所带学生未出现任何重大安全责任事故,应急事件处理得当 </w:t>
            </w:r>
            <w:r>
              <w:rPr>
                <w:color w:val="auto"/>
                <w:sz w:val="20"/>
                <w:highlight w:val="none"/>
              </w:rPr>
              <w:t>(3 分)</w:t>
            </w:r>
          </w:p>
        </w:tc>
        <w:tc>
          <w:tcPr>
            <w:tcW w:w="1383" w:type="dxa"/>
          </w:tcPr>
          <w:p>
            <w:pPr>
              <w:pStyle w:val="44"/>
              <w:spacing w:before="62"/>
              <w:ind w:left="-115"/>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2" w:hRule="atLeast"/>
        </w:trPr>
        <w:tc>
          <w:tcPr>
            <w:tcW w:w="1401" w:type="dxa"/>
            <w:vMerge w:val="continue"/>
            <w:tcBorders>
              <w:top w:val="nil"/>
            </w:tcBorders>
          </w:tcPr>
          <w:p>
            <w:pPr>
              <w:rPr>
                <w:color w:val="auto"/>
                <w:sz w:val="2"/>
                <w:szCs w:val="2"/>
                <w:highlight w:val="none"/>
              </w:rPr>
            </w:pPr>
          </w:p>
        </w:tc>
        <w:tc>
          <w:tcPr>
            <w:tcW w:w="5616" w:type="dxa"/>
          </w:tcPr>
          <w:p>
            <w:pPr>
              <w:pStyle w:val="44"/>
              <w:spacing w:before="116" w:line="292" w:lineRule="auto"/>
              <w:ind w:left="15" w:right="90"/>
              <w:rPr>
                <w:color w:val="auto"/>
                <w:sz w:val="20"/>
                <w:highlight w:val="none"/>
              </w:rPr>
            </w:pPr>
            <w:r>
              <w:rPr>
                <w:color w:val="auto"/>
                <w:w w:val="95"/>
                <w:sz w:val="20"/>
                <w:highlight w:val="none"/>
              </w:rPr>
              <w:t xml:space="preserve">28、能够认真完成学校和学院的各项工作;积极参加学校组织的 </w:t>
            </w:r>
            <w:r>
              <w:rPr>
                <w:color w:val="auto"/>
                <w:sz w:val="20"/>
                <w:highlight w:val="none"/>
              </w:rPr>
              <w:t>各项培训活动,按照要求上交工作计划和总结;对各级各部门的通知和要求能够准确及时的传达给学生,并督促落实。(2</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color w:val="auto"/>
                <w:sz w:val="2"/>
                <w:szCs w:val="2"/>
                <w:highlight w:val="none"/>
              </w:rPr>
            </w:pPr>
          </w:p>
        </w:tc>
        <w:tc>
          <w:tcPr>
            <w:tcW w:w="5616" w:type="dxa"/>
          </w:tcPr>
          <w:p>
            <w:pPr>
              <w:pStyle w:val="44"/>
              <w:spacing w:before="8" w:line="310" w:lineRule="atLeast"/>
              <w:ind w:left="15" w:right="40"/>
              <w:rPr>
                <w:color w:val="auto"/>
                <w:sz w:val="20"/>
                <w:highlight w:val="none"/>
              </w:rPr>
            </w:pPr>
            <w:r>
              <w:rPr>
                <w:color w:val="auto"/>
                <w:sz w:val="20"/>
                <w:highlight w:val="none"/>
              </w:rPr>
              <w:t>29</w:t>
            </w:r>
            <w:r>
              <w:rPr>
                <w:color w:val="auto"/>
                <w:spacing w:val="-4"/>
                <w:sz w:val="20"/>
                <w:highlight w:val="none"/>
              </w:rPr>
              <w:t xml:space="preserve">、所辅导学生期末成绩优秀率达 </w:t>
            </w:r>
            <w:r>
              <w:rPr>
                <w:color w:val="auto"/>
                <w:sz w:val="20"/>
                <w:highlight w:val="none"/>
              </w:rPr>
              <w:t>10%以上或者就业率达到专业平均水平及以上。(2</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color w:val="auto"/>
                <w:sz w:val="2"/>
                <w:szCs w:val="2"/>
                <w:highlight w:val="none"/>
              </w:rPr>
            </w:pPr>
          </w:p>
        </w:tc>
        <w:tc>
          <w:tcPr>
            <w:tcW w:w="5616" w:type="dxa"/>
          </w:tcPr>
          <w:p>
            <w:pPr>
              <w:pStyle w:val="44"/>
              <w:spacing w:before="9" w:line="310" w:lineRule="atLeast"/>
              <w:ind w:left="15" w:right="4"/>
              <w:rPr>
                <w:color w:val="auto"/>
                <w:sz w:val="20"/>
                <w:highlight w:val="none"/>
              </w:rPr>
            </w:pPr>
            <w:r>
              <w:rPr>
                <w:color w:val="auto"/>
                <w:w w:val="95"/>
                <w:sz w:val="20"/>
                <w:highlight w:val="none"/>
              </w:rPr>
              <w:t>30</w:t>
            </w:r>
            <w:r>
              <w:rPr>
                <w:color w:val="auto"/>
                <w:spacing w:val="-4"/>
                <w:w w:val="95"/>
                <w:sz w:val="20"/>
                <w:highlight w:val="none"/>
              </w:rPr>
              <w:t xml:space="preserve">、所辅导班级获得省级以上表彰，所辅导学生获得省级以上表 </w:t>
            </w:r>
            <w:r>
              <w:rPr>
                <w:color w:val="auto"/>
                <w:spacing w:val="-4"/>
                <w:sz w:val="20"/>
                <w:highlight w:val="none"/>
              </w:rPr>
              <w:t>彰。(2</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continue"/>
            <w:tcBorders>
              <w:top w:val="nil"/>
            </w:tcBorders>
          </w:tcPr>
          <w:p>
            <w:pPr>
              <w:rPr>
                <w:color w:val="auto"/>
                <w:sz w:val="2"/>
                <w:szCs w:val="2"/>
                <w:highlight w:val="none"/>
              </w:rPr>
            </w:pPr>
          </w:p>
        </w:tc>
        <w:tc>
          <w:tcPr>
            <w:tcW w:w="5616" w:type="dxa"/>
          </w:tcPr>
          <w:p>
            <w:pPr>
              <w:pStyle w:val="44"/>
              <w:spacing w:before="105" w:line="292" w:lineRule="auto"/>
              <w:ind w:left="15" w:right="4"/>
              <w:rPr>
                <w:color w:val="auto"/>
                <w:sz w:val="20"/>
                <w:highlight w:val="none"/>
              </w:rPr>
            </w:pPr>
            <w:r>
              <w:rPr>
                <w:color w:val="auto"/>
                <w:w w:val="95"/>
                <w:sz w:val="20"/>
                <w:highlight w:val="none"/>
              </w:rPr>
              <w:t>31</w:t>
            </w:r>
            <w:r>
              <w:rPr>
                <w:color w:val="auto"/>
                <w:spacing w:val="-4"/>
                <w:w w:val="95"/>
                <w:sz w:val="20"/>
                <w:highlight w:val="none"/>
              </w:rPr>
              <w:t xml:space="preserve">、积极组织学生开展丰富多彩的校内外科技创新、社会实践和 </w:t>
            </w:r>
            <w:r>
              <w:rPr>
                <w:color w:val="auto"/>
                <w:spacing w:val="-4"/>
                <w:sz w:val="20"/>
                <w:highlight w:val="none"/>
              </w:rPr>
              <w:t>体育锻炼等活动,所辅导学生在省级以上竞赛中获奖。(3</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32、完成年度个人招生任务。(3 分)</w:t>
            </w:r>
          </w:p>
        </w:tc>
        <w:tc>
          <w:tcPr>
            <w:tcW w:w="1383" w:type="dxa"/>
          </w:tcPr>
          <w:p>
            <w:pPr>
              <w:pStyle w:val="44"/>
              <w:rPr>
                <w:rFonts w:ascii="Times New Roman"/>
                <w:color w:val="auto"/>
                <w:sz w:val="18"/>
                <w:highlight w:val="none"/>
              </w:rPr>
            </w:pPr>
          </w:p>
        </w:tc>
      </w:tr>
    </w:tbl>
    <w:p>
      <w:pPr>
        <w:spacing w:after="0"/>
        <w:rPr>
          <w:rFonts w:ascii="Times New Roman"/>
          <w:color w:val="auto"/>
          <w:sz w:val="18"/>
          <w:highlight w:val="none"/>
        </w:rPr>
        <w:sectPr>
          <w:pgSz w:w="11910" w:h="16840"/>
          <w:pgMar w:top="1400" w:right="700" w:bottom="1984" w:left="1680" w:header="720" w:footer="720" w:gutter="0"/>
          <w:pgNumType w:fmt="decimal"/>
          <w:cols w:space="720" w:num="1"/>
          <w:rtlGutter w:val="0"/>
        </w:sectPr>
      </w:pPr>
    </w:p>
    <w:tbl>
      <w:tblPr>
        <w:tblStyle w:val="22"/>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1"/>
        <w:gridCol w:w="5616"/>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40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2"/>
              <w:rPr>
                <w:rFonts w:ascii="方正仿宋_GBK"/>
                <w:color w:val="auto"/>
                <w:sz w:val="12"/>
                <w:highlight w:val="none"/>
              </w:rPr>
            </w:pPr>
          </w:p>
          <w:p>
            <w:pPr>
              <w:pStyle w:val="44"/>
              <w:spacing w:before="1" w:line="292" w:lineRule="auto"/>
              <w:ind w:left="499" w:right="2" w:hanging="485"/>
              <w:rPr>
                <w:color w:val="auto"/>
                <w:sz w:val="20"/>
                <w:highlight w:val="none"/>
              </w:rPr>
            </w:pPr>
            <w:r>
              <w:rPr>
                <w:color w:val="auto"/>
                <w:spacing w:val="-23"/>
                <w:sz w:val="20"/>
                <w:highlight w:val="none"/>
              </w:rPr>
              <w:t>五、教学情况</w:t>
            </w:r>
            <w:r>
              <w:rPr>
                <w:color w:val="auto"/>
                <w:spacing w:val="-6"/>
                <w:sz w:val="20"/>
                <w:highlight w:val="none"/>
              </w:rPr>
              <w:t xml:space="preserve">（5 </w:t>
            </w:r>
            <w:r>
              <w:rPr>
                <w:color w:val="auto"/>
                <w:sz w:val="20"/>
                <w:highlight w:val="none"/>
              </w:rPr>
              <w:t>分）</w:t>
            </w:r>
          </w:p>
        </w:tc>
        <w:tc>
          <w:tcPr>
            <w:tcW w:w="5616" w:type="dxa"/>
          </w:tcPr>
          <w:p>
            <w:pPr>
              <w:pStyle w:val="44"/>
              <w:spacing w:before="43" w:line="292" w:lineRule="auto"/>
              <w:ind w:left="15" w:right="90"/>
              <w:rPr>
                <w:color w:val="auto"/>
                <w:sz w:val="20"/>
                <w:highlight w:val="none"/>
              </w:rPr>
            </w:pPr>
            <w:r>
              <w:rPr>
                <w:color w:val="auto"/>
                <w:w w:val="95"/>
                <w:sz w:val="20"/>
                <w:highlight w:val="none"/>
              </w:rPr>
              <w:t xml:space="preserve">33、承担思想政治教育相关课程,或者专业课、公共课、基础课 </w:t>
            </w:r>
            <w:r>
              <w:rPr>
                <w:color w:val="auto"/>
                <w:spacing w:val="-5"/>
                <w:sz w:val="20"/>
                <w:highlight w:val="none"/>
              </w:rPr>
              <w:t xml:space="preserve">等教学任务,每学年在 </w:t>
            </w:r>
            <w:r>
              <w:rPr>
                <w:color w:val="auto"/>
                <w:sz w:val="20"/>
                <w:highlight w:val="none"/>
              </w:rPr>
              <w:t>36</w:t>
            </w:r>
            <w:r>
              <w:rPr>
                <w:color w:val="auto"/>
                <w:spacing w:val="-15"/>
                <w:sz w:val="20"/>
                <w:highlight w:val="none"/>
              </w:rPr>
              <w:t xml:space="preserve"> 课时以上(含 </w:t>
            </w:r>
            <w:r>
              <w:rPr>
                <w:color w:val="auto"/>
                <w:sz w:val="20"/>
                <w:highlight w:val="none"/>
              </w:rPr>
              <w:t>36</w:t>
            </w:r>
            <w:r>
              <w:rPr>
                <w:color w:val="auto"/>
                <w:spacing w:val="-9"/>
                <w:sz w:val="20"/>
                <w:highlight w:val="none"/>
              </w:rPr>
              <w:t xml:space="preserve"> 课时)，且无教学事故</w:t>
            </w:r>
          </w:p>
          <w:p>
            <w:pPr>
              <w:pStyle w:val="44"/>
              <w:spacing w:line="255" w:lineRule="exact"/>
              <w:ind w:left="15"/>
              <w:rPr>
                <w:color w:val="auto"/>
                <w:sz w:val="20"/>
                <w:highlight w:val="none"/>
              </w:rPr>
            </w:pPr>
            <w:r>
              <w:rPr>
                <w:color w:val="auto"/>
                <w:sz w:val="20"/>
                <w:highlight w:val="none"/>
              </w:rPr>
              <w:t>(1 分)</w:t>
            </w:r>
          </w:p>
        </w:tc>
        <w:tc>
          <w:tcPr>
            <w:tcW w:w="1383" w:type="dxa"/>
          </w:tcPr>
          <w:p>
            <w:pPr>
              <w:pStyle w:val="44"/>
              <w:spacing w:before="1"/>
              <w:rPr>
                <w:rFonts w:ascii="方正仿宋_GBK"/>
                <w:color w:val="auto"/>
                <w:sz w:val="22"/>
                <w:highlight w:val="none"/>
              </w:rPr>
            </w:pPr>
          </w:p>
          <w:p>
            <w:pPr>
              <w:pStyle w:val="44"/>
              <w:ind w:left="-115"/>
              <w:rPr>
                <w:color w:val="auto"/>
                <w:sz w:val="20"/>
                <w:highlight w:val="none"/>
              </w:rPr>
            </w:pPr>
            <w:r>
              <w:rPr>
                <w:color w:val="auto"/>
                <w:w w:val="99"/>
                <w:sz w:val="20"/>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401" w:type="dxa"/>
            <w:vMerge w:val="continue"/>
            <w:tcBorders>
              <w:top w:val="nil"/>
            </w:tcBorders>
          </w:tcPr>
          <w:p>
            <w:pPr>
              <w:rPr>
                <w:color w:val="auto"/>
                <w:sz w:val="2"/>
                <w:szCs w:val="2"/>
                <w:highlight w:val="none"/>
              </w:rPr>
            </w:pPr>
          </w:p>
        </w:tc>
        <w:tc>
          <w:tcPr>
            <w:tcW w:w="5616" w:type="dxa"/>
          </w:tcPr>
          <w:p>
            <w:pPr>
              <w:pStyle w:val="44"/>
              <w:spacing w:before="9" w:line="310" w:lineRule="atLeast"/>
              <w:ind w:left="15" w:right="4"/>
              <w:rPr>
                <w:color w:val="auto"/>
                <w:sz w:val="20"/>
                <w:highlight w:val="none"/>
              </w:rPr>
            </w:pPr>
            <w:r>
              <w:rPr>
                <w:color w:val="auto"/>
                <w:w w:val="95"/>
                <w:sz w:val="20"/>
                <w:highlight w:val="none"/>
              </w:rPr>
              <w:t>34</w:t>
            </w:r>
            <w:r>
              <w:rPr>
                <w:color w:val="auto"/>
                <w:spacing w:val="-3"/>
                <w:w w:val="95"/>
                <w:sz w:val="20"/>
                <w:highlight w:val="none"/>
              </w:rPr>
              <w:t xml:space="preserve">、在省级心理健康教育、形势与政策、就业创业指导等与辅导 </w:t>
            </w:r>
            <w:r>
              <w:rPr>
                <w:color w:val="auto"/>
                <w:spacing w:val="-3"/>
                <w:sz w:val="20"/>
                <w:highlight w:val="none"/>
              </w:rPr>
              <w:t>员（班主任）工作相关的教学竞赛中获奖,或创立相关专业省级精品课程。(1</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35、评为教学名师。(2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36、按学校要求管控课堂秩序。(1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0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spacing w:before="16"/>
              <w:rPr>
                <w:rFonts w:ascii="方正仿宋_GBK"/>
                <w:color w:val="auto"/>
                <w:sz w:val="26"/>
                <w:highlight w:val="none"/>
              </w:rPr>
            </w:pPr>
          </w:p>
          <w:p>
            <w:pPr>
              <w:pStyle w:val="44"/>
              <w:ind w:left="78" w:right="72"/>
              <w:jc w:val="center"/>
              <w:rPr>
                <w:color w:val="auto"/>
                <w:sz w:val="20"/>
                <w:highlight w:val="none"/>
              </w:rPr>
            </w:pPr>
            <w:r>
              <w:rPr>
                <w:color w:val="auto"/>
                <w:sz w:val="20"/>
                <w:highlight w:val="none"/>
              </w:rPr>
              <w:t>六、科研成果</w:t>
            </w:r>
          </w:p>
          <w:p>
            <w:pPr>
              <w:pStyle w:val="44"/>
              <w:spacing w:before="55"/>
              <w:ind w:left="78" w:right="72"/>
              <w:jc w:val="center"/>
              <w:rPr>
                <w:color w:val="auto"/>
                <w:sz w:val="20"/>
                <w:highlight w:val="none"/>
              </w:rPr>
            </w:pPr>
            <w:r>
              <w:rPr>
                <w:color w:val="auto"/>
                <w:sz w:val="20"/>
                <w:highlight w:val="none"/>
              </w:rPr>
              <w:t>（25 分）</w:t>
            </w:r>
          </w:p>
        </w:tc>
        <w:tc>
          <w:tcPr>
            <w:tcW w:w="5616" w:type="dxa"/>
          </w:tcPr>
          <w:p>
            <w:pPr>
              <w:pStyle w:val="44"/>
              <w:spacing w:before="96"/>
              <w:ind w:left="15"/>
              <w:rPr>
                <w:color w:val="auto"/>
                <w:sz w:val="20"/>
                <w:highlight w:val="none"/>
              </w:rPr>
            </w:pPr>
            <w:r>
              <w:rPr>
                <w:color w:val="auto"/>
                <w:sz w:val="20"/>
                <w:highlight w:val="none"/>
              </w:rPr>
              <w:t>37、承担或参与省级以上课题研究。(6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38、发表论文或专业文章。(4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401" w:type="dxa"/>
            <w:vMerge w:val="continue"/>
            <w:tcBorders>
              <w:top w:val="nil"/>
            </w:tcBorders>
          </w:tcPr>
          <w:p>
            <w:pPr>
              <w:rPr>
                <w:color w:val="auto"/>
                <w:sz w:val="2"/>
                <w:szCs w:val="2"/>
                <w:highlight w:val="none"/>
              </w:rPr>
            </w:pPr>
          </w:p>
        </w:tc>
        <w:tc>
          <w:tcPr>
            <w:tcW w:w="5616" w:type="dxa"/>
          </w:tcPr>
          <w:p>
            <w:pPr>
              <w:pStyle w:val="44"/>
              <w:spacing w:before="96"/>
              <w:ind w:left="15"/>
              <w:rPr>
                <w:color w:val="auto"/>
                <w:sz w:val="20"/>
                <w:highlight w:val="none"/>
              </w:rPr>
            </w:pPr>
            <w:r>
              <w:rPr>
                <w:color w:val="auto"/>
                <w:sz w:val="20"/>
                <w:highlight w:val="none"/>
              </w:rPr>
              <w:t>39、发表论文、专业文章获奖。(3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color w:val="auto"/>
                <w:sz w:val="2"/>
                <w:szCs w:val="2"/>
                <w:highlight w:val="none"/>
              </w:rPr>
            </w:pPr>
          </w:p>
        </w:tc>
        <w:tc>
          <w:tcPr>
            <w:tcW w:w="5616" w:type="dxa"/>
          </w:tcPr>
          <w:p>
            <w:pPr>
              <w:pStyle w:val="44"/>
              <w:spacing w:before="9" w:line="310" w:lineRule="atLeast"/>
              <w:ind w:left="15" w:right="4"/>
              <w:rPr>
                <w:color w:val="auto"/>
                <w:sz w:val="20"/>
                <w:highlight w:val="none"/>
              </w:rPr>
            </w:pPr>
            <w:r>
              <w:rPr>
                <w:color w:val="auto"/>
                <w:w w:val="95"/>
                <w:sz w:val="20"/>
                <w:highlight w:val="none"/>
              </w:rPr>
              <w:t>40</w:t>
            </w:r>
            <w:r>
              <w:rPr>
                <w:color w:val="auto"/>
                <w:spacing w:val="-3"/>
                <w:w w:val="95"/>
                <w:sz w:val="20"/>
                <w:highlight w:val="none"/>
              </w:rPr>
              <w:t xml:space="preserve">、主编或者参与出版编著、译著、教材、工具书、读本、参考 </w:t>
            </w:r>
            <w:r>
              <w:rPr>
                <w:color w:val="auto"/>
                <w:spacing w:val="-3"/>
                <w:sz w:val="20"/>
                <w:highlight w:val="none"/>
              </w:rPr>
              <w:t>书籍等。（6</w:t>
            </w:r>
            <w:r>
              <w:rPr>
                <w:color w:val="auto"/>
                <w:spacing w:val="-17"/>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401" w:type="dxa"/>
            <w:vMerge w:val="continue"/>
            <w:tcBorders>
              <w:top w:val="nil"/>
            </w:tcBorders>
          </w:tcPr>
          <w:p>
            <w:pPr>
              <w:rPr>
                <w:color w:val="auto"/>
                <w:sz w:val="2"/>
                <w:szCs w:val="2"/>
                <w:highlight w:val="none"/>
              </w:rPr>
            </w:pPr>
          </w:p>
        </w:tc>
        <w:tc>
          <w:tcPr>
            <w:tcW w:w="5616" w:type="dxa"/>
          </w:tcPr>
          <w:p>
            <w:pPr>
              <w:pStyle w:val="44"/>
              <w:spacing w:before="45"/>
              <w:ind w:left="15"/>
              <w:rPr>
                <w:color w:val="auto"/>
                <w:sz w:val="20"/>
                <w:highlight w:val="none"/>
              </w:rPr>
            </w:pPr>
            <w:r>
              <w:rPr>
                <w:color w:val="auto"/>
                <w:sz w:val="20"/>
                <w:highlight w:val="none"/>
              </w:rPr>
              <w:t>41</w:t>
            </w:r>
            <w:r>
              <w:rPr>
                <w:color w:val="auto"/>
                <w:spacing w:val="-3"/>
                <w:sz w:val="20"/>
                <w:highlight w:val="none"/>
              </w:rPr>
              <w:t>、出版学术专著或者与辅导员</w:t>
            </w:r>
            <w:r>
              <w:rPr>
                <w:color w:val="auto"/>
                <w:sz w:val="20"/>
                <w:highlight w:val="none"/>
              </w:rPr>
              <w:t>（班主任</w:t>
            </w:r>
            <w:r>
              <w:rPr>
                <w:color w:val="auto"/>
                <w:spacing w:val="-5"/>
                <w:sz w:val="20"/>
                <w:highlight w:val="none"/>
              </w:rPr>
              <w:t>）</w:t>
            </w:r>
            <w:r>
              <w:rPr>
                <w:color w:val="auto"/>
                <w:spacing w:val="-1"/>
                <w:sz w:val="20"/>
                <w:highlight w:val="none"/>
              </w:rPr>
              <w:t>工作相关的书籍。(</w:t>
            </w:r>
            <w:r>
              <w:rPr>
                <w:color w:val="auto"/>
                <w:sz w:val="20"/>
                <w:highlight w:val="none"/>
              </w:rPr>
              <w:t>6</w:t>
            </w:r>
          </w:p>
          <w:p>
            <w:pPr>
              <w:pStyle w:val="44"/>
              <w:spacing w:before="55"/>
              <w:ind w:left="15"/>
              <w:rPr>
                <w:color w:val="auto"/>
                <w:sz w:val="20"/>
                <w:highlight w:val="none"/>
              </w:rPr>
            </w:pPr>
            <w:r>
              <w:rPr>
                <w:color w:val="auto"/>
                <w:sz w:val="20"/>
                <w:highlight w:val="none"/>
              </w:rPr>
              <w:t>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trPr>
        <w:tc>
          <w:tcPr>
            <w:tcW w:w="1401" w:type="dxa"/>
            <w:vMerge w:val="restart"/>
          </w:tcPr>
          <w:p>
            <w:pPr>
              <w:pStyle w:val="44"/>
              <w:rPr>
                <w:rFonts w:ascii="方正仿宋_GBK"/>
                <w:color w:val="auto"/>
                <w:sz w:val="20"/>
                <w:highlight w:val="none"/>
              </w:rPr>
            </w:pPr>
          </w:p>
          <w:p>
            <w:pPr>
              <w:pStyle w:val="44"/>
              <w:rPr>
                <w:rFonts w:ascii="方正仿宋_GBK"/>
                <w:color w:val="auto"/>
                <w:sz w:val="20"/>
                <w:highlight w:val="none"/>
              </w:rPr>
            </w:pPr>
          </w:p>
          <w:p>
            <w:pPr>
              <w:pStyle w:val="44"/>
              <w:rPr>
                <w:rFonts w:ascii="方正仿宋_GBK"/>
                <w:color w:val="auto"/>
                <w:sz w:val="20"/>
                <w:highlight w:val="none"/>
              </w:rPr>
            </w:pPr>
          </w:p>
          <w:p>
            <w:pPr>
              <w:pStyle w:val="44"/>
              <w:spacing w:before="8"/>
              <w:rPr>
                <w:rFonts w:ascii="方正仿宋_GBK"/>
                <w:color w:val="auto"/>
                <w:sz w:val="20"/>
                <w:highlight w:val="none"/>
              </w:rPr>
            </w:pPr>
          </w:p>
          <w:p>
            <w:pPr>
              <w:pStyle w:val="44"/>
              <w:ind w:left="78" w:right="72"/>
              <w:jc w:val="center"/>
              <w:rPr>
                <w:color w:val="auto"/>
                <w:sz w:val="20"/>
                <w:highlight w:val="none"/>
              </w:rPr>
            </w:pPr>
            <w:r>
              <w:rPr>
                <w:color w:val="auto"/>
                <w:sz w:val="20"/>
                <w:highlight w:val="none"/>
              </w:rPr>
              <w:t>七、综合评价</w:t>
            </w:r>
          </w:p>
          <w:p>
            <w:pPr>
              <w:pStyle w:val="44"/>
              <w:spacing w:before="56"/>
              <w:ind w:left="78" w:right="72"/>
              <w:jc w:val="center"/>
              <w:rPr>
                <w:color w:val="auto"/>
                <w:sz w:val="20"/>
                <w:highlight w:val="none"/>
              </w:rPr>
            </w:pPr>
            <w:r>
              <w:rPr>
                <w:color w:val="auto"/>
                <w:sz w:val="20"/>
                <w:highlight w:val="none"/>
              </w:rPr>
              <w:t>（10 分）</w:t>
            </w:r>
          </w:p>
        </w:tc>
        <w:tc>
          <w:tcPr>
            <w:tcW w:w="5616" w:type="dxa"/>
          </w:tcPr>
          <w:p>
            <w:pPr>
              <w:pStyle w:val="44"/>
              <w:spacing w:before="106" w:line="292" w:lineRule="auto"/>
              <w:ind w:left="15" w:right="40"/>
              <w:rPr>
                <w:color w:val="auto"/>
                <w:sz w:val="20"/>
                <w:highlight w:val="none"/>
              </w:rPr>
            </w:pPr>
            <w:r>
              <w:rPr>
                <w:color w:val="auto"/>
                <w:sz w:val="20"/>
                <w:highlight w:val="none"/>
              </w:rPr>
              <w:t>42、辅导员（班主任）</w:t>
            </w:r>
            <w:r>
              <w:rPr>
                <w:color w:val="auto"/>
                <w:spacing w:val="-5"/>
                <w:sz w:val="20"/>
                <w:highlight w:val="none"/>
              </w:rPr>
              <w:t xml:space="preserve">工作受到学生、家长满意率达 </w:t>
            </w:r>
            <w:r>
              <w:rPr>
                <w:color w:val="auto"/>
                <w:sz w:val="20"/>
                <w:highlight w:val="none"/>
              </w:rPr>
              <w:t>90%以上。(3</w:t>
            </w:r>
            <w:r>
              <w:rPr>
                <w:color w:val="auto"/>
                <w:spacing w:val="-18"/>
                <w:sz w:val="20"/>
                <w:highlight w:val="none"/>
              </w:rPr>
              <w:t xml:space="preserve"> 分)</w:t>
            </w:r>
            <w:r>
              <w:rPr>
                <w:color w:val="auto"/>
                <w:sz w:val="20"/>
                <w:highlight w:val="none"/>
              </w:rPr>
              <w:t>（</w:t>
            </w:r>
            <w:r>
              <w:rPr>
                <w:color w:val="auto"/>
                <w:spacing w:val="-5"/>
                <w:sz w:val="20"/>
                <w:highlight w:val="none"/>
              </w:rPr>
              <w:t xml:space="preserve">全年学生评议平均得分 </w:t>
            </w:r>
            <w:r>
              <w:rPr>
                <w:color w:val="auto"/>
                <w:sz w:val="20"/>
                <w:highlight w:val="none"/>
              </w:rPr>
              <w:t>90</w:t>
            </w:r>
            <w:r>
              <w:rPr>
                <w:color w:val="auto"/>
                <w:spacing w:val="-11"/>
                <w:sz w:val="20"/>
                <w:highlight w:val="none"/>
              </w:rPr>
              <w:t xml:space="preserve"> 分及以上</w:t>
            </w:r>
            <w:r>
              <w:rPr>
                <w:color w:val="auto"/>
                <w:sz w:val="20"/>
                <w:highlight w:val="none"/>
              </w:rPr>
              <w:t>）</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401" w:type="dxa"/>
            <w:vMerge w:val="continue"/>
            <w:tcBorders>
              <w:top w:val="nil"/>
            </w:tcBorders>
          </w:tcPr>
          <w:p>
            <w:pPr>
              <w:rPr>
                <w:color w:val="auto"/>
                <w:sz w:val="2"/>
                <w:szCs w:val="2"/>
                <w:highlight w:val="none"/>
              </w:rPr>
            </w:pPr>
          </w:p>
        </w:tc>
        <w:tc>
          <w:tcPr>
            <w:tcW w:w="5616" w:type="dxa"/>
          </w:tcPr>
          <w:p>
            <w:pPr>
              <w:pStyle w:val="44"/>
              <w:spacing w:before="44" w:line="292" w:lineRule="auto"/>
              <w:ind w:left="15" w:right="4"/>
              <w:rPr>
                <w:color w:val="auto"/>
                <w:sz w:val="20"/>
                <w:highlight w:val="none"/>
              </w:rPr>
            </w:pPr>
            <w:r>
              <w:rPr>
                <w:color w:val="auto"/>
                <w:w w:val="95"/>
                <w:sz w:val="20"/>
                <w:highlight w:val="none"/>
              </w:rPr>
              <w:t>43</w:t>
            </w:r>
            <w:r>
              <w:rPr>
                <w:color w:val="auto"/>
                <w:spacing w:val="-3"/>
                <w:w w:val="95"/>
                <w:sz w:val="20"/>
                <w:highlight w:val="none"/>
              </w:rPr>
              <w:t>、辅导员</w:t>
            </w:r>
            <w:r>
              <w:rPr>
                <w:color w:val="auto"/>
                <w:w w:val="95"/>
                <w:sz w:val="20"/>
                <w:highlight w:val="none"/>
              </w:rPr>
              <w:t>（班主任</w:t>
            </w:r>
            <w:r>
              <w:rPr>
                <w:color w:val="auto"/>
                <w:spacing w:val="-5"/>
                <w:w w:val="95"/>
                <w:sz w:val="20"/>
                <w:highlight w:val="none"/>
              </w:rPr>
              <w:t>）</w:t>
            </w:r>
            <w:r>
              <w:rPr>
                <w:color w:val="auto"/>
                <w:spacing w:val="-1"/>
                <w:w w:val="95"/>
                <w:sz w:val="20"/>
                <w:highlight w:val="none"/>
              </w:rPr>
              <w:t xml:space="preserve">工作受到学校主管部门、院系领导及同事 </w:t>
            </w:r>
            <w:r>
              <w:rPr>
                <w:color w:val="auto"/>
                <w:spacing w:val="-12"/>
                <w:sz w:val="20"/>
                <w:highlight w:val="none"/>
              </w:rPr>
              <w:t xml:space="preserve">满意率达 </w:t>
            </w:r>
            <w:r>
              <w:rPr>
                <w:color w:val="auto"/>
                <w:sz w:val="20"/>
                <w:highlight w:val="none"/>
              </w:rPr>
              <w:t>85%以上。(3</w:t>
            </w:r>
            <w:r>
              <w:rPr>
                <w:color w:val="auto"/>
                <w:spacing w:val="-18"/>
                <w:sz w:val="20"/>
                <w:highlight w:val="none"/>
              </w:rPr>
              <w:t xml:space="preserve"> 分)</w:t>
            </w:r>
            <w:r>
              <w:rPr>
                <w:color w:val="auto"/>
                <w:sz w:val="20"/>
                <w:highlight w:val="none"/>
              </w:rPr>
              <w:t>（</w:t>
            </w:r>
            <w:r>
              <w:rPr>
                <w:color w:val="auto"/>
                <w:spacing w:val="-4"/>
                <w:sz w:val="20"/>
                <w:highlight w:val="none"/>
              </w:rPr>
              <w:t xml:space="preserve">全年行政职能部门测评平均得分 </w:t>
            </w:r>
            <w:r>
              <w:rPr>
                <w:color w:val="auto"/>
                <w:sz w:val="20"/>
                <w:highlight w:val="none"/>
              </w:rPr>
              <w:t>90</w:t>
            </w:r>
          </w:p>
          <w:p>
            <w:pPr>
              <w:pStyle w:val="44"/>
              <w:spacing w:line="255" w:lineRule="exact"/>
              <w:ind w:left="15"/>
              <w:rPr>
                <w:color w:val="auto"/>
                <w:sz w:val="20"/>
                <w:highlight w:val="none"/>
              </w:rPr>
            </w:pPr>
            <w:r>
              <w:rPr>
                <w:color w:val="auto"/>
                <w:sz w:val="20"/>
                <w:highlight w:val="none"/>
              </w:rPr>
              <w:t>分及以上）</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401" w:type="dxa"/>
            <w:vMerge w:val="continue"/>
            <w:tcBorders>
              <w:top w:val="nil"/>
            </w:tcBorders>
          </w:tcPr>
          <w:p>
            <w:pPr>
              <w:rPr>
                <w:color w:val="auto"/>
                <w:sz w:val="2"/>
                <w:szCs w:val="2"/>
                <w:highlight w:val="none"/>
              </w:rPr>
            </w:pPr>
          </w:p>
        </w:tc>
        <w:tc>
          <w:tcPr>
            <w:tcW w:w="5616" w:type="dxa"/>
          </w:tcPr>
          <w:p>
            <w:pPr>
              <w:pStyle w:val="44"/>
              <w:spacing w:before="10" w:line="310" w:lineRule="atLeast"/>
              <w:ind w:left="15" w:right="38"/>
              <w:rPr>
                <w:color w:val="auto"/>
                <w:sz w:val="20"/>
                <w:highlight w:val="none"/>
              </w:rPr>
            </w:pPr>
            <w:r>
              <w:rPr>
                <w:color w:val="auto"/>
                <w:sz w:val="20"/>
                <w:highlight w:val="none"/>
              </w:rPr>
              <w:t>44、辅导员（班主任）</w:t>
            </w:r>
            <w:r>
              <w:rPr>
                <w:color w:val="auto"/>
                <w:spacing w:val="-5"/>
                <w:sz w:val="20"/>
                <w:highlight w:val="none"/>
              </w:rPr>
              <w:t xml:space="preserve">岗位任职年限内，月度考核 </w:t>
            </w:r>
            <w:r>
              <w:rPr>
                <w:color w:val="auto"/>
                <w:sz w:val="20"/>
                <w:highlight w:val="none"/>
              </w:rPr>
              <w:t>1</w:t>
            </w:r>
            <w:r>
              <w:rPr>
                <w:color w:val="auto"/>
                <w:spacing w:val="-22"/>
                <w:sz w:val="20"/>
                <w:highlight w:val="none"/>
              </w:rPr>
              <w:t xml:space="preserve"> 次优秀 </w:t>
            </w:r>
            <w:r>
              <w:rPr>
                <w:color w:val="auto"/>
                <w:sz w:val="20"/>
                <w:highlight w:val="none"/>
              </w:rPr>
              <w:t xml:space="preserve">0.5 </w:t>
            </w:r>
            <w:r>
              <w:rPr>
                <w:color w:val="auto"/>
                <w:spacing w:val="-11"/>
                <w:sz w:val="20"/>
                <w:highlight w:val="none"/>
              </w:rPr>
              <w:t xml:space="preserve">分，最高 </w:t>
            </w:r>
            <w:r>
              <w:rPr>
                <w:color w:val="auto"/>
                <w:sz w:val="20"/>
                <w:highlight w:val="none"/>
              </w:rPr>
              <w:t>2</w:t>
            </w:r>
            <w:r>
              <w:rPr>
                <w:color w:val="auto"/>
                <w:spacing w:val="-14"/>
                <w:sz w:val="20"/>
                <w:highlight w:val="none"/>
              </w:rPr>
              <w:t xml:space="preserve"> 分。(</w:t>
            </w:r>
            <w:r>
              <w:rPr>
                <w:color w:val="auto"/>
                <w:sz w:val="20"/>
                <w:highlight w:val="none"/>
              </w:rPr>
              <w:t>2</w:t>
            </w:r>
            <w:r>
              <w:rPr>
                <w:color w:val="auto"/>
                <w:spacing w:val="-18"/>
                <w:sz w:val="20"/>
                <w:highlight w:val="none"/>
              </w:rPr>
              <w:t xml:space="preserve"> 分)</w:t>
            </w:r>
          </w:p>
        </w:tc>
        <w:tc>
          <w:tcPr>
            <w:tcW w:w="1383" w:type="dxa"/>
          </w:tcPr>
          <w:p>
            <w:pPr>
              <w:pStyle w:val="44"/>
              <w:rPr>
                <w:rFonts w:ascii="Times New Roman"/>
                <w:color w:val="auto"/>
                <w:sz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401" w:type="dxa"/>
            <w:vMerge w:val="continue"/>
            <w:tcBorders>
              <w:top w:val="nil"/>
            </w:tcBorders>
          </w:tcPr>
          <w:p>
            <w:pPr>
              <w:rPr>
                <w:color w:val="auto"/>
                <w:sz w:val="2"/>
                <w:szCs w:val="2"/>
                <w:highlight w:val="none"/>
              </w:rPr>
            </w:pPr>
          </w:p>
        </w:tc>
        <w:tc>
          <w:tcPr>
            <w:tcW w:w="5616" w:type="dxa"/>
          </w:tcPr>
          <w:p>
            <w:pPr>
              <w:pStyle w:val="44"/>
              <w:spacing w:before="9" w:line="310" w:lineRule="atLeast"/>
              <w:ind w:left="15" w:right="104"/>
              <w:rPr>
                <w:color w:val="auto"/>
                <w:sz w:val="20"/>
                <w:highlight w:val="none"/>
              </w:rPr>
            </w:pPr>
            <w:r>
              <w:rPr>
                <w:color w:val="auto"/>
                <w:sz w:val="20"/>
                <w:highlight w:val="none"/>
              </w:rPr>
              <w:t>45</w:t>
            </w:r>
            <w:r>
              <w:rPr>
                <w:color w:val="auto"/>
                <w:spacing w:val="-15"/>
                <w:sz w:val="20"/>
                <w:highlight w:val="none"/>
              </w:rPr>
              <w:t>、辅导员</w:t>
            </w:r>
            <w:r>
              <w:rPr>
                <w:color w:val="auto"/>
                <w:sz w:val="20"/>
                <w:highlight w:val="none"/>
              </w:rPr>
              <w:t>（班主任</w:t>
            </w:r>
            <w:r>
              <w:rPr>
                <w:color w:val="auto"/>
                <w:spacing w:val="-29"/>
                <w:sz w:val="20"/>
                <w:highlight w:val="none"/>
              </w:rPr>
              <w:t>）</w:t>
            </w:r>
            <w:r>
              <w:rPr>
                <w:color w:val="auto"/>
                <w:spacing w:val="-8"/>
                <w:sz w:val="20"/>
                <w:highlight w:val="none"/>
              </w:rPr>
              <w:t xml:space="preserve">岗位任职年限内，年度考核 </w:t>
            </w:r>
            <w:r>
              <w:rPr>
                <w:color w:val="auto"/>
                <w:sz w:val="20"/>
                <w:highlight w:val="none"/>
              </w:rPr>
              <w:t>1</w:t>
            </w:r>
            <w:r>
              <w:rPr>
                <w:color w:val="auto"/>
                <w:spacing w:val="-22"/>
                <w:sz w:val="20"/>
                <w:highlight w:val="none"/>
              </w:rPr>
              <w:t xml:space="preserve"> 次优秀 </w:t>
            </w:r>
            <w:r>
              <w:rPr>
                <w:color w:val="auto"/>
                <w:sz w:val="20"/>
                <w:highlight w:val="none"/>
              </w:rPr>
              <w:t>1</w:t>
            </w:r>
            <w:r>
              <w:rPr>
                <w:color w:val="auto"/>
                <w:spacing w:val="-28"/>
                <w:sz w:val="20"/>
                <w:highlight w:val="none"/>
              </w:rPr>
              <w:t xml:space="preserve"> 分</w:t>
            </w:r>
            <w:r>
              <w:rPr>
                <w:color w:val="auto"/>
                <w:spacing w:val="-36"/>
                <w:sz w:val="20"/>
                <w:highlight w:val="none"/>
              </w:rPr>
              <w:t xml:space="preserve">最高 </w:t>
            </w:r>
            <w:r>
              <w:rPr>
                <w:color w:val="auto"/>
                <w:sz w:val="20"/>
                <w:highlight w:val="none"/>
              </w:rPr>
              <w:t>2</w:t>
            </w:r>
            <w:r>
              <w:rPr>
                <w:color w:val="auto"/>
                <w:spacing w:val="-13"/>
                <w:sz w:val="20"/>
                <w:highlight w:val="none"/>
              </w:rPr>
              <w:t xml:space="preserve"> 分。(</w:t>
            </w:r>
            <w:r>
              <w:rPr>
                <w:color w:val="auto"/>
                <w:sz w:val="20"/>
                <w:highlight w:val="none"/>
              </w:rPr>
              <w:t>2</w:t>
            </w:r>
            <w:r>
              <w:rPr>
                <w:color w:val="auto"/>
                <w:spacing w:val="-17"/>
                <w:sz w:val="20"/>
                <w:highlight w:val="none"/>
              </w:rPr>
              <w:t xml:space="preserve"> 分)</w:t>
            </w:r>
          </w:p>
        </w:tc>
        <w:tc>
          <w:tcPr>
            <w:tcW w:w="1383" w:type="dxa"/>
          </w:tcPr>
          <w:p>
            <w:pPr>
              <w:pStyle w:val="44"/>
              <w:spacing w:before="62"/>
              <w:ind w:left="-115"/>
              <w:rPr>
                <w:color w:val="auto"/>
                <w:sz w:val="20"/>
                <w:highlight w:val="none"/>
              </w:rPr>
            </w:pPr>
            <w:r>
              <w:rPr>
                <w:color w:val="auto"/>
                <w:w w:val="99"/>
                <w:sz w:val="20"/>
                <w:highlight w:val="none"/>
              </w:rPr>
              <w:t>，</w:t>
            </w:r>
          </w:p>
        </w:tc>
      </w:tr>
    </w:tbl>
    <w:p>
      <w:pPr>
        <w:pStyle w:val="6"/>
        <w:rPr>
          <w:color w:val="auto"/>
          <w:sz w:val="20"/>
          <w:highlight w:val="none"/>
        </w:rPr>
      </w:pPr>
    </w:p>
    <w:p>
      <w:pPr>
        <w:pStyle w:val="6"/>
        <w:rPr>
          <w:color w:val="auto"/>
          <w:sz w:val="20"/>
          <w:highlight w:val="none"/>
        </w:rPr>
      </w:pPr>
    </w:p>
    <w:p>
      <w:pPr>
        <w:pStyle w:val="6"/>
        <w:spacing w:before="8"/>
        <w:rPr>
          <w:color w:val="auto"/>
          <w:sz w:val="22"/>
          <w:highlight w:val="none"/>
        </w:rPr>
      </w:pPr>
    </w:p>
    <w:p>
      <w:pPr>
        <w:spacing w:before="71"/>
        <w:ind w:left="120" w:right="0" w:firstLine="0"/>
        <w:jc w:val="left"/>
        <w:rPr>
          <w:color w:val="auto"/>
          <w:sz w:val="20"/>
          <w:highlight w:val="none"/>
        </w:rPr>
      </w:pPr>
      <w:r>
        <w:rPr>
          <w:color w:val="auto"/>
          <w:sz w:val="20"/>
          <w:highlight w:val="none"/>
        </w:rPr>
        <w:t>备注:</w:t>
      </w:r>
    </w:p>
    <w:p>
      <w:pPr>
        <w:pStyle w:val="35"/>
        <w:numPr>
          <w:ilvl w:val="0"/>
          <w:numId w:val="12"/>
        </w:numPr>
        <w:tabs>
          <w:tab w:val="left" w:pos="322"/>
        </w:tabs>
        <w:spacing w:before="56" w:after="0" w:line="292" w:lineRule="auto"/>
        <w:ind w:left="120" w:right="1035" w:firstLine="0"/>
        <w:jc w:val="left"/>
        <w:rPr>
          <w:color w:val="auto"/>
          <w:sz w:val="20"/>
          <w:highlight w:val="none"/>
        </w:rPr>
      </w:pPr>
      <w:r>
        <w:rPr>
          <w:color w:val="auto"/>
          <w:sz w:val="20"/>
          <w:highlight w:val="none"/>
        </w:rPr>
        <w:t>本评审指标中涉及到的工作量、工作成绩、教学、科研、获奖情况等指标,均要求在专职辅导</w:t>
      </w:r>
      <w:r>
        <w:rPr>
          <w:color w:val="auto"/>
          <w:spacing w:val="-3"/>
          <w:w w:val="95"/>
          <w:sz w:val="20"/>
          <w:highlight w:val="none"/>
        </w:rPr>
        <w:t>员</w:t>
      </w:r>
      <w:r>
        <w:rPr>
          <w:color w:val="auto"/>
          <w:w w:val="95"/>
          <w:sz w:val="20"/>
          <w:highlight w:val="none"/>
        </w:rPr>
        <w:t>（班主任</w:t>
      </w:r>
      <w:r>
        <w:rPr>
          <w:color w:val="auto"/>
          <w:spacing w:val="-5"/>
          <w:w w:val="95"/>
          <w:sz w:val="20"/>
          <w:highlight w:val="none"/>
        </w:rPr>
        <w:t>）</w:t>
      </w:r>
      <w:r>
        <w:rPr>
          <w:color w:val="auto"/>
          <w:spacing w:val="-2"/>
          <w:w w:val="95"/>
          <w:sz w:val="20"/>
          <w:highlight w:val="none"/>
        </w:rPr>
        <w:t>工作职责之内。专职辅导员</w:t>
      </w:r>
      <w:r>
        <w:rPr>
          <w:color w:val="auto"/>
          <w:w w:val="95"/>
          <w:sz w:val="20"/>
          <w:highlight w:val="none"/>
        </w:rPr>
        <w:t>（班主任</w:t>
      </w:r>
      <w:r>
        <w:rPr>
          <w:color w:val="auto"/>
          <w:spacing w:val="-5"/>
          <w:w w:val="95"/>
          <w:sz w:val="20"/>
          <w:highlight w:val="none"/>
        </w:rPr>
        <w:t>）</w:t>
      </w:r>
      <w:r>
        <w:rPr>
          <w:color w:val="auto"/>
          <w:spacing w:val="-2"/>
          <w:w w:val="95"/>
          <w:sz w:val="20"/>
          <w:highlight w:val="none"/>
        </w:rPr>
        <w:t>工作职责参见《普通高等学校辅导员</w:t>
      </w:r>
      <w:r>
        <w:rPr>
          <w:color w:val="auto"/>
          <w:w w:val="95"/>
          <w:sz w:val="20"/>
          <w:highlight w:val="none"/>
        </w:rPr>
        <w:t xml:space="preserve">（班主   </w:t>
      </w:r>
      <w:r>
        <w:rPr>
          <w:color w:val="auto"/>
          <w:sz w:val="20"/>
          <w:highlight w:val="none"/>
        </w:rPr>
        <w:t>任）</w:t>
      </w:r>
      <w:r>
        <w:rPr>
          <w:color w:val="auto"/>
          <w:spacing w:val="-4"/>
          <w:sz w:val="20"/>
          <w:highlight w:val="none"/>
        </w:rPr>
        <w:t xml:space="preserve">队伍建设规定》(教育部令第 </w:t>
      </w:r>
      <w:r>
        <w:rPr>
          <w:color w:val="auto"/>
          <w:sz w:val="20"/>
          <w:highlight w:val="none"/>
        </w:rPr>
        <w:t>43</w:t>
      </w:r>
      <w:r>
        <w:rPr>
          <w:color w:val="auto"/>
          <w:spacing w:val="-14"/>
          <w:sz w:val="20"/>
          <w:highlight w:val="none"/>
        </w:rPr>
        <w:t xml:space="preserve"> 号)。</w:t>
      </w:r>
    </w:p>
    <w:p>
      <w:pPr>
        <w:pStyle w:val="35"/>
        <w:numPr>
          <w:ilvl w:val="0"/>
          <w:numId w:val="12"/>
        </w:numPr>
        <w:tabs>
          <w:tab w:val="left" w:pos="322"/>
        </w:tabs>
        <w:spacing w:before="0" w:after="0" w:line="254" w:lineRule="exact"/>
        <w:ind w:left="321" w:right="0" w:hanging="202"/>
        <w:jc w:val="left"/>
        <w:rPr>
          <w:color w:val="auto"/>
          <w:sz w:val="20"/>
          <w:highlight w:val="none"/>
        </w:rPr>
      </w:pPr>
      <w:r>
        <w:rPr>
          <w:color w:val="auto"/>
          <w:sz w:val="20"/>
          <w:highlight w:val="none"/>
        </w:rPr>
        <w:t>本评审指标须在满足评审基本条件的基础上进行,评审基本条件参见本办法第二章。</w:t>
      </w:r>
    </w:p>
    <w:p>
      <w:pPr>
        <w:pStyle w:val="35"/>
        <w:numPr>
          <w:ilvl w:val="0"/>
          <w:numId w:val="12"/>
        </w:numPr>
        <w:tabs>
          <w:tab w:val="left" w:pos="322"/>
        </w:tabs>
        <w:spacing w:before="55" w:after="0" w:line="240" w:lineRule="auto"/>
        <w:ind w:left="321" w:right="0" w:hanging="202"/>
        <w:jc w:val="left"/>
        <w:rPr>
          <w:color w:val="auto"/>
          <w:sz w:val="20"/>
          <w:highlight w:val="none"/>
        </w:rPr>
      </w:pPr>
      <w:r>
        <w:rPr>
          <w:color w:val="auto"/>
          <w:sz w:val="20"/>
          <w:highlight w:val="none"/>
        </w:rPr>
        <w:t>本评审指标“合格率”、“优秀率”、“满意率”、“年度考核优秀”以学校的规定为准。</w:t>
      </w:r>
    </w:p>
    <w:p>
      <w:pPr>
        <w:pStyle w:val="35"/>
        <w:numPr>
          <w:ilvl w:val="0"/>
          <w:numId w:val="12"/>
        </w:numPr>
        <w:tabs>
          <w:tab w:val="left" w:pos="322"/>
        </w:tabs>
        <w:spacing w:before="56" w:after="0" w:line="240" w:lineRule="auto"/>
        <w:ind w:left="321" w:right="0" w:hanging="202"/>
        <w:jc w:val="left"/>
        <w:rPr>
          <w:color w:val="auto"/>
          <w:sz w:val="20"/>
          <w:highlight w:val="none"/>
        </w:rPr>
      </w:pPr>
      <w:r>
        <w:rPr>
          <w:color w:val="auto"/>
          <w:sz w:val="20"/>
          <w:highlight w:val="none"/>
        </w:rPr>
        <w:t>本评审指标中所有加分项所用的论文和奖项需在辅导员（班主任）岗位聘任期内获得。</w:t>
      </w:r>
    </w:p>
    <w:p>
      <w:pPr>
        <w:rPr>
          <w:color w:val="auto"/>
          <w:sz w:val="20"/>
          <w:highlight w:val="none"/>
        </w:rPr>
      </w:pPr>
      <w:r>
        <w:rPr>
          <w:color w:val="auto"/>
          <w:sz w:val="20"/>
          <w:highlight w:val="none"/>
        </w:rPr>
        <w:br w:type="page"/>
      </w:r>
    </w:p>
    <w:p>
      <w:pPr>
        <w:spacing w:after="0" w:line="240" w:lineRule="auto"/>
        <w:jc w:val="left"/>
        <w:rPr>
          <w:color w:val="auto"/>
          <w:sz w:val="20"/>
          <w:highlight w:val="none"/>
        </w:rPr>
        <w:sectPr>
          <w:pgSz w:w="11910" w:h="16840"/>
          <w:pgMar w:top="1400" w:right="700" w:bottom="1984" w:left="1680" w:header="720" w:footer="720" w:gutter="0"/>
          <w:pgNumType w:fmt="decimal"/>
          <w:cols w:space="720" w:num="1"/>
          <w:rtlGutter w:val="0"/>
        </w:sectPr>
      </w:pPr>
    </w:p>
    <w:p>
      <w:pPr>
        <w:spacing w:before="3" w:line="240" w:lineRule="auto"/>
        <w:rPr>
          <w:color w:val="auto"/>
          <w:sz w:val="19"/>
          <w:highlight w:val="none"/>
        </w:rPr>
      </w:pPr>
    </w:p>
    <w:p>
      <w:pPr>
        <w:pStyle w:val="6"/>
        <w:spacing w:before="22"/>
        <w:ind w:left="120"/>
        <w:rPr>
          <w:color w:val="auto"/>
          <w:highlight w:val="none"/>
        </w:rPr>
      </w:pPr>
      <w:r>
        <w:rPr>
          <w:color w:val="auto"/>
          <w:highlight w:val="none"/>
        </w:rPr>
        <mc:AlternateContent>
          <mc:Choice Requires="wps">
            <w:drawing>
              <wp:anchor distT="0" distB="0" distL="114300" distR="114300" simplePos="0" relativeHeight="251667456" behindDoc="0" locked="0" layoutInCell="1" allowOverlap="1">
                <wp:simplePos x="0" y="0"/>
                <wp:positionH relativeFrom="page">
                  <wp:posOffset>901700</wp:posOffset>
                </wp:positionH>
                <wp:positionV relativeFrom="paragraph">
                  <wp:posOffset>313690</wp:posOffset>
                </wp:positionV>
                <wp:extent cx="8742045" cy="411162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742045" cy="4111625"/>
                        </a:xfrm>
                        <a:prstGeom prst="rect">
                          <a:avLst/>
                        </a:prstGeom>
                        <a:noFill/>
                        <a:ln>
                          <a:noFill/>
                        </a:ln>
                      </wps:spPr>
                      <wps:txbx>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7"/>
                              <w:gridCol w:w="1785"/>
                              <w:gridCol w:w="1517"/>
                              <w:gridCol w:w="1213"/>
                              <w:gridCol w:w="1755"/>
                              <w:gridCol w:w="2040"/>
                              <w:gridCol w:w="1710"/>
                              <w:gridCol w:w="16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13752" w:type="dxa"/>
                                  <w:gridSpan w:val="8"/>
                                </w:tcPr>
                                <w:p>
                                  <w:pPr>
                                    <w:pStyle w:val="44"/>
                                    <w:spacing w:before="140"/>
                                    <w:ind w:left="1093" w:right="1083"/>
                                    <w:jc w:val="center"/>
                                    <w:rPr>
                                      <w:b/>
                                      <w:color w:val="auto"/>
                                      <w:sz w:val="28"/>
                                    </w:rPr>
                                  </w:pPr>
                                  <w:r>
                                    <w:rPr>
                                      <w:b/>
                                      <w:color w:val="auto"/>
                                      <w:sz w:val="28"/>
                                    </w:rPr>
                                    <w:t>云南城市建设职业学院辅导员申报教师专业技术职称思想政治教育学科评审指标与分值参考表</w:t>
                                  </w:r>
                                </w:p>
                                <w:p>
                                  <w:pPr>
                                    <w:pStyle w:val="44"/>
                                    <w:spacing w:before="7"/>
                                    <w:rPr>
                                      <w:rFonts w:ascii="方正仿宋_GBK"/>
                                      <w:color w:val="auto"/>
                                      <w:sz w:val="16"/>
                                    </w:rPr>
                                  </w:pPr>
                                </w:p>
                                <w:p>
                                  <w:pPr>
                                    <w:pStyle w:val="44"/>
                                    <w:ind w:left="1093" w:right="1083"/>
                                    <w:jc w:val="center"/>
                                    <w:rPr>
                                      <w:b/>
                                      <w:color w:val="auto"/>
                                      <w:sz w:val="28"/>
                                    </w:rPr>
                                  </w:pPr>
                                  <w:r>
                                    <w:rPr>
                                      <w:b/>
                                      <w:color w:val="auto"/>
                                      <w:sz w:val="28"/>
                                    </w:rPr>
                                    <w:t>（满分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2037" w:type="dxa"/>
                                </w:tcPr>
                                <w:p>
                                  <w:pPr>
                                    <w:pStyle w:val="44"/>
                                    <w:rPr>
                                      <w:rFonts w:ascii="Times New Roman"/>
                                      <w:color w:val="auto"/>
                                      <w:sz w:val="30"/>
                                    </w:rPr>
                                  </w:pPr>
                                </w:p>
                              </w:tc>
                              <w:tc>
                                <w:tcPr>
                                  <w:tcW w:w="1785" w:type="dxa"/>
                                </w:tcPr>
                                <w:p>
                                  <w:pPr>
                                    <w:pStyle w:val="44"/>
                                    <w:spacing w:before="2"/>
                                    <w:rPr>
                                      <w:rFonts w:ascii="方正仿宋_GBK"/>
                                      <w:color w:val="auto"/>
                                      <w:sz w:val="22"/>
                                    </w:rPr>
                                  </w:pPr>
                                </w:p>
                                <w:p>
                                  <w:pPr>
                                    <w:pStyle w:val="44"/>
                                    <w:ind w:left="230" w:right="225"/>
                                    <w:jc w:val="center"/>
                                    <w:rPr>
                                      <w:color w:val="auto"/>
                                      <w:sz w:val="32"/>
                                    </w:rPr>
                                  </w:pPr>
                                  <w:r>
                                    <w:rPr>
                                      <w:color w:val="auto"/>
                                      <w:sz w:val="32"/>
                                    </w:rPr>
                                    <w:t>思政素养</w:t>
                                  </w:r>
                                </w:p>
                              </w:tc>
                              <w:tc>
                                <w:tcPr>
                                  <w:tcW w:w="1517" w:type="dxa"/>
                                </w:tcPr>
                                <w:p>
                                  <w:pPr>
                                    <w:pStyle w:val="44"/>
                                    <w:spacing w:before="2"/>
                                    <w:rPr>
                                      <w:rFonts w:ascii="方正仿宋_GBK"/>
                                      <w:color w:val="auto"/>
                                      <w:sz w:val="22"/>
                                    </w:rPr>
                                  </w:pPr>
                                </w:p>
                                <w:p>
                                  <w:pPr>
                                    <w:pStyle w:val="44"/>
                                    <w:ind w:left="96" w:right="91"/>
                                    <w:jc w:val="center"/>
                                    <w:rPr>
                                      <w:color w:val="auto"/>
                                      <w:sz w:val="32"/>
                                    </w:rPr>
                                  </w:pPr>
                                  <w:r>
                                    <w:rPr>
                                      <w:color w:val="auto"/>
                                      <w:sz w:val="32"/>
                                    </w:rPr>
                                    <w:t>职业能力</w:t>
                                  </w:r>
                                </w:p>
                              </w:tc>
                              <w:tc>
                                <w:tcPr>
                                  <w:tcW w:w="1213" w:type="dxa"/>
                                </w:tcPr>
                                <w:p>
                                  <w:pPr>
                                    <w:pStyle w:val="44"/>
                                    <w:spacing w:before="2"/>
                                    <w:rPr>
                                      <w:rFonts w:ascii="方正仿宋_GBK"/>
                                      <w:color w:val="auto"/>
                                      <w:sz w:val="22"/>
                                    </w:rPr>
                                  </w:pPr>
                                </w:p>
                                <w:p>
                                  <w:pPr>
                                    <w:pStyle w:val="44"/>
                                    <w:ind w:left="106" w:right="97"/>
                                    <w:jc w:val="center"/>
                                    <w:rPr>
                                      <w:color w:val="auto"/>
                                      <w:sz w:val="32"/>
                                    </w:rPr>
                                  </w:pPr>
                                  <w:r>
                                    <w:rPr>
                                      <w:color w:val="auto"/>
                                      <w:sz w:val="32"/>
                                    </w:rPr>
                                    <w:t>工作量</w:t>
                                  </w:r>
                                </w:p>
                              </w:tc>
                              <w:tc>
                                <w:tcPr>
                                  <w:tcW w:w="1755" w:type="dxa"/>
                                </w:tcPr>
                                <w:p>
                                  <w:pPr>
                                    <w:pStyle w:val="44"/>
                                    <w:spacing w:before="2"/>
                                    <w:rPr>
                                      <w:rFonts w:ascii="方正仿宋_GBK"/>
                                      <w:color w:val="auto"/>
                                      <w:sz w:val="22"/>
                                    </w:rPr>
                                  </w:pPr>
                                </w:p>
                                <w:p>
                                  <w:pPr>
                                    <w:pStyle w:val="44"/>
                                    <w:ind w:left="215" w:right="210"/>
                                    <w:jc w:val="center"/>
                                    <w:rPr>
                                      <w:color w:val="auto"/>
                                      <w:sz w:val="32"/>
                                    </w:rPr>
                                  </w:pPr>
                                  <w:r>
                                    <w:rPr>
                                      <w:color w:val="auto"/>
                                      <w:sz w:val="32"/>
                                    </w:rPr>
                                    <w:t>工作实际</w:t>
                                  </w:r>
                                </w:p>
                              </w:tc>
                              <w:tc>
                                <w:tcPr>
                                  <w:tcW w:w="2040" w:type="dxa"/>
                                </w:tcPr>
                                <w:p>
                                  <w:pPr>
                                    <w:pStyle w:val="44"/>
                                    <w:spacing w:before="2"/>
                                    <w:rPr>
                                      <w:rFonts w:ascii="方正仿宋_GBK"/>
                                      <w:color w:val="auto"/>
                                      <w:sz w:val="22"/>
                                    </w:rPr>
                                  </w:pPr>
                                </w:p>
                                <w:p>
                                  <w:pPr>
                                    <w:pStyle w:val="44"/>
                                    <w:ind w:left="358" w:right="352"/>
                                    <w:jc w:val="center"/>
                                    <w:rPr>
                                      <w:color w:val="auto"/>
                                      <w:sz w:val="32"/>
                                    </w:rPr>
                                  </w:pPr>
                                  <w:r>
                                    <w:rPr>
                                      <w:color w:val="auto"/>
                                      <w:sz w:val="32"/>
                                    </w:rPr>
                                    <w:t>教学情况</w:t>
                                  </w:r>
                                </w:p>
                              </w:tc>
                              <w:tc>
                                <w:tcPr>
                                  <w:tcW w:w="1710" w:type="dxa"/>
                                </w:tcPr>
                                <w:p>
                                  <w:pPr>
                                    <w:pStyle w:val="44"/>
                                    <w:spacing w:before="2"/>
                                    <w:rPr>
                                      <w:rFonts w:ascii="方正仿宋_GBK"/>
                                      <w:color w:val="auto"/>
                                      <w:sz w:val="22"/>
                                    </w:rPr>
                                  </w:pPr>
                                </w:p>
                                <w:p>
                                  <w:pPr>
                                    <w:pStyle w:val="44"/>
                                    <w:ind w:left="195" w:right="185"/>
                                    <w:jc w:val="center"/>
                                    <w:rPr>
                                      <w:color w:val="auto"/>
                                      <w:sz w:val="32"/>
                                    </w:rPr>
                                  </w:pPr>
                                  <w:r>
                                    <w:rPr>
                                      <w:color w:val="auto"/>
                                      <w:sz w:val="32"/>
                                    </w:rPr>
                                    <w:t>科研成果</w:t>
                                  </w:r>
                                </w:p>
                              </w:tc>
                              <w:tc>
                                <w:tcPr>
                                  <w:tcW w:w="1695" w:type="dxa"/>
                                </w:tcPr>
                                <w:p>
                                  <w:pPr>
                                    <w:pStyle w:val="44"/>
                                    <w:spacing w:before="2"/>
                                    <w:rPr>
                                      <w:rFonts w:ascii="方正仿宋_GBK"/>
                                      <w:color w:val="auto"/>
                                      <w:sz w:val="22"/>
                                    </w:rPr>
                                  </w:pPr>
                                </w:p>
                                <w:p>
                                  <w:pPr>
                                    <w:pStyle w:val="44"/>
                                    <w:ind w:left="186" w:right="178"/>
                                    <w:jc w:val="center"/>
                                    <w:rPr>
                                      <w:color w:val="auto"/>
                                      <w:sz w:val="32"/>
                                    </w:rPr>
                                  </w:pPr>
                                  <w:r>
                                    <w:rPr>
                                      <w:color w:val="auto"/>
                                      <w:sz w:val="32"/>
                                    </w:rPr>
                                    <w:t>综合评价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7"/>
                                    <w:ind w:left="517" w:right="509"/>
                                    <w:jc w:val="center"/>
                                    <w:rPr>
                                      <w:color w:val="auto"/>
                                      <w:sz w:val="32"/>
                                    </w:rPr>
                                  </w:pPr>
                                  <w:r>
                                    <w:rPr>
                                      <w:color w:val="auto"/>
                                      <w:sz w:val="32"/>
                                    </w:rPr>
                                    <w:t>助教</w:t>
                                  </w:r>
                                </w:p>
                              </w:tc>
                              <w:tc>
                                <w:tcPr>
                                  <w:tcW w:w="1785" w:type="dxa"/>
                                </w:tcPr>
                                <w:p>
                                  <w:pPr>
                                    <w:pStyle w:val="44"/>
                                    <w:spacing w:before="107"/>
                                    <w:ind w:left="8"/>
                                    <w:jc w:val="center"/>
                                    <w:rPr>
                                      <w:color w:val="auto"/>
                                      <w:sz w:val="32"/>
                                    </w:rPr>
                                  </w:pPr>
                                  <w:r>
                                    <w:rPr>
                                      <w:color w:val="auto"/>
                                      <w:w w:val="99"/>
                                      <w:sz w:val="32"/>
                                    </w:rPr>
                                    <w:t>5</w:t>
                                  </w:r>
                                </w:p>
                              </w:tc>
                              <w:tc>
                                <w:tcPr>
                                  <w:tcW w:w="1517" w:type="dxa"/>
                                </w:tcPr>
                                <w:p>
                                  <w:pPr>
                                    <w:pStyle w:val="44"/>
                                    <w:spacing w:before="107"/>
                                    <w:ind w:left="96" w:right="90"/>
                                    <w:jc w:val="center"/>
                                    <w:rPr>
                                      <w:color w:val="auto"/>
                                      <w:sz w:val="32"/>
                                    </w:rPr>
                                  </w:pPr>
                                  <w:r>
                                    <w:rPr>
                                      <w:color w:val="auto"/>
                                      <w:sz w:val="32"/>
                                    </w:rPr>
                                    <w:t>10</w:t>
                                  </w:r>
                                </w:p>
                              </w:tc>
                              <w:tc>
                                <w:tcPr>
                                  <w:tcW w:w="1213" w:type="dxa"/>
                                </w:tcPr>
                                <w:p>
                                  <w:pPr>
                                    <w:pStyle w:val="44"/>
                                    <w:spacing w:before="107"/>
                                    <w:ind w:left="105" w:right="97"/>
                                    <w:jc w:val="center"/>
                                    <w:rPr>
                                      <w:color w:val="auto"/>
                                      <w:sz w:val="32"/>
                                    </w:rPr>
                                  </w:pPr>
                                  <w:r>
                                    <w:rPr>
                                      <w:color w:val="auto"/>
                                      <w:sz w:val="32"/>
                                    </w:rPr>
                                    <w:t>50</w:t>
                                  </w:r>
                                </w:p>
                              </w:tc>
                              <w:tc>
                                <w:tcPr>
                                  <w:tcW w:w="1755" w:type="dxa"/>
                                </w:tcPr>
                                <w:p>
                                  <w:pPr>
                                    <w:pStyle w:val="44"/>
                                    <w:spacing w:before="107"/>
                                    <w:ind w:left="215" w:right="209"/>
                                    <w:jc w:val="center"/>
                                    <w:rPr>
                                      <w:color w:val="auto"/>
                                      <w:sz w:val="32"/>
                                    </w:rPr>
                                  </w:pPr>
                                  <w:r>
                                    <w:rPr>
                                      <w:color w:val="auto"/>
                                      <w:sz w:val="32"/>
                                    </w:rPr>
                                    <w:t>15</w:t>
                                  </w:r>
                                </w:p>
                              </w:tc>
                              <w:tc>
                                <w:tcPr>
                                  <w:tcW w:w="2040" w:type="dxa"/>
                                </w:tcPr>
                                <w:p>
                                  <w:pPr>
                                    <w:pStyle w:val="44"/>
                                    <w:spacing w:before="107"/>
                                    <w:ind w:left="10"/>
                                    <w:jc w:val="center"/>
                                    <w:rPr>
                                      <w:color w:val="auto"/>
                                      <w:sz w:val="32"/>
                                    </w:rPr>
                                  </w:pPr>
                                  <w:r>
                                    <w:rPr>
                                      <w:color w:val="auto"/>
                                      <w:w w:val="99"/>
                                      <w:sz w:val="32"/>
                                    </w:rPr>
                                    <w:t>5</w:t>
                                  </w:r>
                                </w:p>
                              </w:tc>
                              <w:tc>
                                <w:tcPr>
                                  <w:tcW w:w="1710" w:type="dxa"/>
                                </w:tcPr>
                                <w:p>
                                  <w:pPr>
                                    <w:pStyle w:val="44"/>
                                    <w:spacing w:before="107"/>
                                    <w:ind w:left="9"/>
                                    <w:jc w:val="center"/>
                                    <w:rPr>
                                      <w:color w:val="auto"/>
                                      <w:sz w:val="32"/>
                                    </w:rPr>
                                  </w:pPr>
                                  <w:r>
                                    <w:rPr>
                                      <w:color w:val="auto"/>
                                      <w:w w:val="99"/>
                                      <w:sz w:val="32"/>
                                    </w:rPr>
                                    <w:t>5</w:t>
                                  </w:r>
                                </w:p>
                              </w:tc>
                              <w:tc>
                                <w:tcPr>
                                  <w:tcW w:w="1695" w:type="dxa"/>
                                </w:tcPr>
                                <w:p>
                                  <w:pPr>
                                    <w:pStyle w:val="44"/>
                                    <w:spacing w:before="107"/>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9"/>
                                    <w:ind w:left="517" w:right="509"/>
                                    <w:jc w:val="center"/>
                                    <w:rPr>
                                      <w:color w:val="auto"/>
                                      <w:sz w:val="32"/>
                                    </w:rPr>
                                  </w:pPr>
                                  <w:r>
                                    <w:rPr>
                                      <w:color w:val="auto"/>
                                      <w:sz w:val="32"/>
                                    </w:rPr>
                                    <w:t>讲师</w:t>
                                  </w:r>
                                </w:p>
                              </w:tc>
                              <w:tc>
                                <w:tcPr>
                                  <w:tcW w:w="1785" w:type="dxa"/>
                                </w:tcPr>
                                <w:p>
                                  <w:pPr>
                                    <w:pStyle w:val="44"/>
                                    <w:spacing w:before="109"/>
                                    <w:ind w:left="8"/>
                                    <w:jc w:val="center"/>
                                    <w:rPr>
                                      <w:color w:val="auto"/>
                                      <w:sz w:val="32"/>
                                    </w:rPr>
                                  </w:pPr>
                                  <w:r>
                                    <w:rPr>
                                      <w:color w:val="auto"/>
                                      <w:w w:val="99"/>
                                      <w:sz w:val="32"/>
                                    </w:rPr>
                                    <w:t>5</w:t>
                                  </w:r>
                                </w:p>
                              </w:tc>
                              <w:tc>
                                <w:tcPr>
                                  <w:tcW w:w="1517" w:type="dxa"/>
                                </w:tcPr>
                                <w:p>
                                  <w:pPr>
                                    <w:pStyle w:val="44"/>
                                    <w:spacing w:before="109"/>
                                    <w:ind w:left="96" w:right="90"/>
                                    <w:jc w:val="center"/>
                                    <w:rPr>
                                      <w:color w:val="auto"/>
                                      <w:sz w:val="32"/>
                                    </w:rPr>
                                  </w:pPr>
                                  <w:r>
                                    <w:rPr>
                                      <w:color w:val="auto"/>
                                      <w:sz w:val="32"/>
                                    </w:rPr>
                                    <w:t>15</w:t>
                                  </w:r>
                                </w:p>
                              </w:tc>
                              <w:tc>
                                <w:tcPr>
                                  <w:tcW w:w="1213" w:type="dxa"/>
                                </w:tcPr>
                                <w:p>
                                  <w:pPr>
                                    <w:pStyle w:val="44"/>
                                    <w:spacing w:before="109"/>
                                    <w:ind w:left="105" w:right="97"/>
                                    <w:jc w:val="center"/>
                                    <w:rPr>
                                      <w:color w:val="auto"/>
                                      <w:sz w:val="32"/>
                                    </w:rPr>
                                  </w:pPr>
                                  <w:r>
                                    <w:rPr>
                                      <w:color w:val="auto"/>
                                      <w:sz w:val="32"/>
                                    </w:rPr>
                                    <w:t>40</w:t>
                                  </w:r>
                                </w:p>
                              </w:tc>
                              <w:tc>
                                <w:tcPr>
                                  <w:tcW w:w="1755" w:type="dxa"/>
                                </w:tcPr>
                                <w:p>
                                  <w:pPr>
                                    <w:pStyle w:val="44"/>
                                    <w:spacing w:before="109"/>
                                    <w:ind w:left="215" w:right="209"/>
                                    <w:jc w:val="center"/>
                                    <w:rPr>
                                      <w:color w:val="auto"/>
                                      <w:sz w:val="32"/>
                                    </w:rPr>
                                  </w:pPr>
                                  <w:r>
                                    <w:rPr>
                                      <w:color w:val="auto"/>
                                      <w:sz w:val="32"/>
                                    </w:rPr>
                                    <w:t>15</w:t>
                                  </w:r>
                                </w:p>
                              </w:tc>
                              <w:tc>
                                <w:tcPr>
                                  <w:tcW w:w="2040" w:type="dxa"/>
                                </w:tcPr>
                                <w:p>
                                  <w:pPr>
                                    <w:pStyle w:val="44"/>
                                    <w:spacing w:before="109"/>
                                    <w:ind w:left="10"/>
                                    <w:jc w:val="center"/>
                                    <w:rPr>
                                      <w:color w:val="auto"/>
                                      <w:sz w:val="32"/>
                                    </w:rPr>
                                  </w:pPr>
                                  <w:r>
                                    <w:rPr>
                                      <w:color w:val="auto"/>
                                      <w:w w:val="99"/>
                                      <w:sz w:val="32"/>
                                    </w:rPr>
                                    <w:t>5</w:t>
                                  </w:r>
                                </w:p>
                              </w:tc>
                              <w:tc>
                                <w:tcPr>
                                  <w:tcW w:w="1710" w:type="dxa"/>
                                </w:tcPr>
                                <w:p>
                                  <w:pPr>
                                    <w:pStyle w:val="44"/>
                                    <w:spacing w:before="109"/>
                                    <w:ind w:left="195" w:right="184"/>
                                    <w:jc w:val="center"/>
                                    <w:rPr>
                                      <w:color w:val="auto"/>
                                      <w:sz w:val="32"/>
                                    </w:rPr>
                                  </w:pPr>
                                  <w:r>
                                    <w:rPr>
                                      <w:color w:val="auto"/>
                                      <w:sz w:val="32"/>
                                    </w:rPr>
                                    <w:t>10</w:t>
                                  </w:r>
                                </w:p>
                              </w:tc>
                              <w:tc>
                                <w:tcPr>
                                  <w:tcW w:w="1695" w:type="dxa"/>
                                </w:tcPr>
                                <w:p>
                                  <w:pPr>
                                    <w:pStyle w:val="44"/>
                                    <w:spacing w:before="109"/>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8"/>
                                    <w:ind w:left="517" w:right="509"/>
                                    <w:jc w:val="center"/>
                                    <w:rPr>
                                      <w:color w:val="auto"/>
                                      <w:sz w:val="32"/>
                                    </w:rPr>
                                  </w:pPr>
                                  <w:r>
                                    <w:rPr>
                                      <w:color w:val="auto"/>
                                      <w:sz w:val="32"/>
                                    </w:rPr>
                                    <w:t>副教授</w:t>
                                  </w:r>
                                </w:p>
                              </w:tc>
                              <w:tc>
                                <w:tcPr>
                                  <w:tcW w:w="1785" w:type="dxa"/>
                                </w:tcPr>
                                <w:p>
                                  <w:pPr>
                                    <w:pStyle w:val="44"/>
                                    <w:spacing w:before="108"/>
                                    <w:ind w:left="8"/>
                                    <w:jc w:val="center"/>
                                    <w:rPr>
                                      <w:color w:val="auto"/>
                                      <w:sz w:val="32"/>
                                    </w:rPr>
                                  </w:pPr>
                                  <w:r>
                                    <w:rPr>
                                      <w:color w:val="auto"/>
                                      <w:w w:val="99"/>
                                      <w:sz w:val="32"/>
                                    </w:rPr>
                                    <w:t>5</w:t>
                                  </w:r>
                                </w:p>
                              </w:tc>
                              <w:tc>
                                <w:tcPr>
                                  <w:tcW w:w="1517" w:type="dxa"/>
                                </w:tcPr>
                                <w:p>
                                  <w:pPr>
                                    <w:pStyle w:val="44"/>
                                    <w:spacing w:before="108"/>
                                    <w:ind w:left="96" w:right="90"/>
                                    <w:jc w:val="center"/>
                                    <w:rPr>
                                      <w:color w:val="auto"/>
                                      <w:sz w:val="32"/>
                                    </w:rPr>
                                  </w:pPr>
                                  <w:r>
                                    <w:rPr>
                                      <w:color w:val="auto"/>
                                      <w:sz w:val="32"/>
                                    </w:rPr>
                                    <w:t>20</w:t>
                                  </w:r>
                                </w:p>
                              </w:tc>
                              <w:tc>
                                <w:tcPr>
                                  <w:tcW w:w="1213" w:type="dxa"/>
                                </w:tcPr>
                                <w:p>
                                  <w:pPr>
                                    <w:pStyle w:val="44"/>
                                    <w:spacing w:before="108"/>
                                    <w:ind w:left="105" w:right="97"/>
                                    <w:jc w:val="center"/>
                                    <w:rPr>
                                      <w:color w:val="auto"/>
                                      <w:sz w:val="32"/>
                                    </w:rPr>
                                  </w:pPr>
                                  <w:r>
                                    <w:rPr>
                                      <w:color w:val="auto"/>
                                      <w:sz w:val="32"/>
                                    </w:rPr>
                                    <w:t>30</w:t>
                                  </w:r>
                                </w:p>
                              </w:tc>
                              <w:tc>
                                <w:tcPr>
                                  <w:tcW w:w="1755" w:type="dxa"/>
                                </w:tcPr>
                                <w:p>
                                  <w:pPr>
                                    <w:pStyle w:val="44"/>
                                    <w:spacing w:before="108"/>
                                    <w:ind w:left="215" w:right="209"/>
                                    <w:jc w:val="center"/>
                                    <w:rPr>
                                      <w:color w:val="auto"/>
                                      <w:sz w:val="32"/>
                                    </w:rPr>
                                  </w:pPr>
                                  <w:r>
                                    <w:rPr>
                                      <w:color w:val="auto"/>
                                      <w:sz w:val="32"/>
                                    </w:rPr>
                                    <w:t>15</w:t>
                                  </w:r>
                                </w:p>
                              </w:tc>
                              <w:tc>
                                <w:tcPr>
                                  <w:tcW w:w="2040" w:type="dxa"/>
                                </w:tcPr>
                                <w:p>
                                  <w:pPr>
                                    <w:pStyle w:val="44"/>
                                    <w:spacing w:before="108"/>
                                    <w:ind w:left="10"/>
                                    <w:jc w:val="center"/>
                                    <w:rPr>
                                      <w:color w:val="auto"/>
                                      <w:sz w:val="32"/>
                                    </w:rPr>
                                  </w:pPr>
                                  <w:r>
                                    <w:rPr>
                                      <w:color w:val="auto"/>
                                      <w:w w:val="99"/>
                                      <w:sz w:val="32"/>
                                    </w:rPr>
                                    <w:t>5</w:t>
                                  </w:r>
                                </w:p>
                              </w:tc>
                              <w:tc>
                                <w:tcPr>
                                  <w:tcW w:w="1710" w:type="dxa"/>
                                </w:tcPr>
                                <w:p>
                                  <w:pPr>
                                    <w:pStyle w:val="44"/>
                                    <w:spacing w:before="108"/>
                                    <w:ind w:left="195" w:right="184"/>
                                    <w:jc w:val="center"/>
                                    <w:rPr>
                                      <w:color w:val="auto"/>
                                      <w:sz w:val="32"/>
                                    </w:rPr>
                                  </w:pPr>
                                  <w:r>
                                    <w:rPr>
                                      <w:color w:val="auto"/>
                                      <w:sz w:val="32"/>
                                    </w:rPr>
                                    <w:t>15</w:t>
                                  </w:r>
                                </w:p>
                              </w:tc>
                              <w:tc>
                                <w:tcPr>
                                  <w:tcW w:w="1695" w:type="dxa"/>
                                </w:tcPr>
                                <w:p>
                                  <w:pPr>
                                    <w:pStyle w:val="44"/>
                                    <w:spacing w:before="108"/>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037" w:type="dxa"/>
                                </w:tcPr>
                                <w:p>
                                  <w:pPr>
                                    <w:pStyle w:val="44"/>
                                    <w:spacing w:before="108"/>
                                    <w:ind w:left="517" w:right="509"/>
                                    <w:jc w:val="center"/>
                                    <w:rPr>
                                      <w:color w:val="auto"/>
                                      <w:sz w:val="32"/>
                                    </w:rPr>
                                  </w:pPr>
                                  <w:r>
                                    <w:rPr>
                                      <w:color w:val="auto"/>
                                      <w:sz w:val="32"/>
                                    </w:rPr>
                                    <w:t>教授</w:t>
                                  </w:r>
                                </w:p>
                              </w:tc>
                              <w:tc>
                                <w:tcPr>
                                  <w:tcW w:w="1785" w:type="dxa"/>
                                </w:tcPr>
                                <w:p>
                                  <w:pPr>
                                    <w:pStyle w:val="44"/>
                                    <w:spacing w:before="108"/>
                                    <w:ind w:left="8"/>
                                    <w:jc w:val="center"/>
                                    <w:rPr>
                                      <w:color w:val="auto"/>
                                      <w:sz w:val="32"/>
                                    </w:rPr>
                                  </w:pPr>
                                  <w:r>
                                    <w:rPr>
                                      <w:color w:val="auto"/>
                                      <w:w w:val="99"/>
                                      <w:sz w:val="32"/>
                                    </w:rPr>
                                    <w:t>5</w:t>
                                  </w:r>
                                </w:p>
                              </w:tc>
                              <w:tc>
                                <w:tcPr>
                                  <w:tcW w:w="1517" w:type="dxa"/>
                                </w:tcPr>
                                <w:p>
                                  <w:pPr>
                                    <w:pStyle w:val="44"/>
                                    <w:spacing w:before="108"/>
                                    <w:ind w:left="96" w:right="90"/>
                                    <w:jc w:val="center"/>
                                    <w:rPr>
                                      <w:color w:val="auto"/>
                                      <w:sz w:val="32"/>
                                    </w:rPr>
                                  </w:pPr>
                                  <w:r>
                                    <w:rPr>
                                      <w:color w:val="auto"/>
                                      <w:sz w:val="32"/>
                                    </w:rPr>
                                    <w:t>25</w:t>
                                  </w:r>
                                </w:p>
                              </w:tc>
                              <w:tc>
                                <w:tcPr>
                                  <w:tcW w:w="1213" w:type="dxa"/>
                                </w:tcPr>
                                <w:p>
                                  <w:pPr>
                                    <w:pStyle w:val="44"/>
                                    <w:spacing w:before="108"/>
                                    <w:ind w:left="105" w:right="97"/>
                                    <w:jc w:val="center"/>
                                    <w:rPr>
                                      <w:color w:val="auto"/>
                                      <w:sz w:val="32"/>
                                    </w:rPr>
                                  </w:pPr>
                                  <w:r>
                                    <w:rPr>
                                      <w:color w:val="auto"/>
                                      <w:sz w:val="32"/>
                                    </w:rPr>
                                    <w:t>15</w:t>
                                  </w:r>
                                </w:p>
                              </w:tc>
                              <w:tc>
                                <w:tcPr>
                                  <w:tcW w:w="1755" w:type="dxa"/>
                                </w:tcPr>
                                <w:p>
                                  <w:pPr>
                                    <w:pStyle w:val="44"/>
                                    <w:spacing w:before="108"/>
                                    <w:ind w:left="215" w:right="209"/>
                                    <w:jc w:val="center"/>
                                    <w:rPr>
                                      <w:color w:val="auto"/>
                                      <w:sz w:val="32"/>
                                    </w:rPr>
                                  </w:pPr>
                                  <w:r>
                                    <w:rPr>
                                      <w:color w:val="auto"/>
                                      <w:sz w:val="32"/>
                                    </w:rPr>
                                    <w:t>15</w:t>
                                  </w:r>
                                </w:p>
                              </w:tc>
                              <w:tc>
                                <w:tcPr>
                                  <w:tcW w:w="2040" w:type="dxa"/>
                                </w:tcPr>
                                <w:p>
                                  <w:pPr>
                                    <w:pStyle w:val="44"/>
                                    <w:spacing w:before="108"/>
                                    <w:ind w:left="10"/>
                                    <w:jc w:val="center"/>
                                    <w:rPr>
                                      <w:color w:val="auto"/>
                                      <w:sz w:val="32"/>
                                    </w:rPr>
                                  </w:pPr>
                                  <w:r>
                                    <w:rPr>
                                      <w:color w:val="auto"/>
                                      <w:w w:val="99"/>
                                      <w:sz w:val="32"/>
                                    </w:rPr>
                                    <w:t>5</w:t>
                                  </w:r>
                                </w:p>
                              </w:tc>
                              <w:tc>
                                <w:tcPr>
                                  <w:tcW w:w="1710" w:type="dxa"/>
                                </w:tcPr>
                                <w:p>
                                  <w:pPr>
                                    <w:pStyle w:val="44"/>
                                    <w:spacing w:before="108"/>
                                    <w:ind w:left="195" w:right="184"/>
                                    <w:jc w:val="center"/>
                                    <w:rPr>
                                      <w:color w:val="auto"/>
                                      <w:sz w:val="32"/>
                                    </w:rPr>
                                  </w:pPr>
                                  <w:r>
                                    <w:rPr>
                                      <w:color w:val="auto"/>
                                      <w:sz w:val="32"/>
                                    </w:rPr>
                                    <w:t>25</w:t>
                                  </w:r>
                                </w:p>
                              </w:tc>
                              <w:tc>
                                <w:tcPr>
                                  <w:tcW w:w="1695" w:type="dxa"/>
                                </w:tcPr>
                                <w:p>
                                  <w:pPr>
                                    <w:pStyle w:val="44"/>
                                    <w:spacing w:before="108"/>
                                    <w:ind w:left="186" w:right="176"/>
                                    <w:jc w:val="center"/>
                                    <w:rPr>
                                      <w:color w:val="auto"/>
                                      <w:sz w:val="32"/>
                                    </w:rPr>
                                  </w:pPr>
                                  <w:r>
                                    <w:rPr>
                                      <w:color w:val="auto"/>
                                      <w:sz w:val="32"/>
                                    </w:rPr>
                                    <w:t>10</w:t>
                                  </w:r>
                                </w:p>
                              </w:tc>
                            </w:tr>
                          </w:tbl>
                          <w:p>
                            <w:pPr>
                              <w:pStyle w:val="6"/>
                            </w:pPr>
                          </w:p>
                        </w:txbxContent>
                      </wps:txbx>
                      <wps:bodyPr lIns="0" tIns="0" rIns="0" bIns="0" upright="1"/>
                    </wps:wsp>
                  </a:graphicData>
                </a:graphic>
              </wp:anchor>
            </w:drawing>
          </mc:Choice>
          <mc:Fallback>
            <w:pict>
              <v:shape id="_x0000_s1026" o:spid="_x0000_s1026" o:spt="202" type="#_x0000_t202" style="position:absolute;left:0pt;margin-left:71pt;margin-top:24.7pt;height:323.75pt;width:688.35pt;mso-position-horizontal-relative:page;z-index:251667456;mso-width-relative:page;mso-height-relative:page;" filled="f" stroked="f" coordsize="21600,21600" o:gfxdata="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7834LZAAAACwEAAA8AAAAAAAAAAQAgAAAAIgAAAGRycy9kb3ducmV2LnhtbFBL&#10;AQIUABQAAAAIAIdO4kCAxQy4vAEAAHMDAAAOAAAAAAAAAAEAIAAAACgBAABkcnMvZTJvRG9jLnht&#10;bFBLBQYAAAAABgAGAFkBAABWBQAAAAA=&#10;">
                <v:fill on="f" focussize="0,0"/>
                <v:stroke on="f"/>
                <v:imagedata o:title=""/>
                <o:lock v:ext="edit" aspectratio="f"/>
                <v:textbox inset="0mm,0mm,0mm,0mm">
                  <w:txbxContent>
                    <w:tbl>
                      <w:tblPr>
                        <w:tblStyle w:val="2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7"/>
                        <w:gridCol w:w="1785"/>
                        <w:gridCol w:w="1517"/>
                        <w:gridCol w:w="1213"/>
                        <w:gridCol w:w="1755"/>
                        <w:gridCol w:w="2040"/>
                        <w:gridCol w:w="1710"/>
                        <w:gridCol w:w="16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13752" w:type="dxa"/>
                            <w:gridSpan w:val="8"/>
                          </w:tcPr>
                          <w:p>
                            <w:pPr>
                              <w:pStyle w:val="44"/>
                              <w:spacing w:before="140"/>
                              <w:ind w:left="1093" w:right="1083"/>
                              <w:jc w:val="center"/>
                              <w:rPr>
                                <w:b/>
                                <w:color w:val="auto"/>
                                <w:sz w:val="28"/>
                              </w:rPr>
                            </w:pPr>
                            <w:r>
                              <w:rPr>
                                <w:b/>
                                <w:color w:val="auto"/>
                                <w:sz w:val="28"/>
                              </w:rPr>
                              <w:t>云南城市建设职业学院辅导员申报教师专业技术职称思想政治教育学科评审指标与分值参考表</w:t>
                            </w:r>
                          </w:p>
                          <w:p>
                            <w:pPr>
                              <w:pStyle w:val="44"/>
                              <w:spacing w:before="7"/>
                              <w:rPr>
                                <w:rFonts w:ascii="方正仿宋_GBK"/>
                                <w:color w:val="auto"/>
                                <w:sz w:val="16"/>
                              </w:rPr>
                            </w:pPr>
                          </w:p>
                          <w:p>
                            <w:pPr>
                              <w:pStyle w:val="44"/>
                              <w:ind w:left="1093" w:right="1083"/>
                              <w:jc w:val="center"/>
                              <w:rPr>
                                <w:b/>
                                <w:color w:val="auto"/>
                                <w:sz w:val="28"/>
                              </w:rPr>
                            </w:pPr>
                            <w:r>
                              <w:rPr>
                                <w:b/>
                                <w:color w:val="auto"/>
                                <w:sz w:val="28"/>
                              </w:rPr>
                              <w:t>（满分 100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2037" w:type="dxa"/>
                          </w:tcPr>
                          <w:p>
                            <w:pPr>
                              <w:pStyle w:val="44"/>
                              <w:rPr>
                                <w:rFonts w:ascii="Times New Roman"/>
                                <w:color w:val="auto"/>
                                <w:sz w:val="30"/>
                              </w:rPr>
                            </w:pPr>
                          </w:p>
                        </w:tc>
                        <w:tc>
                          <w:tcPr>
                            <w:tcW w:w="1785" w:type="dxa"/>
                          </w:tcPr>
                          <w:p>
                            <w:pPr>
                              <w:pStyle w:val="44"/>
                              <w:spacing w:before="2"/>
                              <w:rPr>
                                <w:rFonts w:ascii="方正仿宋_GBK"/>
                                <w:color w:val="auto"/>
                                <w:sz w:val="22"/>
                              </w:rPr>
                            </w:pPr>
                          </w:p>
                          <w:p>
                            <w:pPr>
                              <w:pStyle w:val="44"/>
                              <w:ind w:left="230" w:right="225"/>
                              <w:jc w:val="center"/>
                              <w:rPr>
                                <w:color w:val="auto"/>
                                <w:sz w:val="32"/>
                              </w:rPr>
                            </w:pPr>
                            <w:r>
                              <w:rPr>
                                <w:color w:val="auto"/>
                                <w:sz w:val="32"/>
                              </w:rPr>
                              <w:t>思政素养</w:t>
                            </w:r>
                          </w:p>
                        </w:tc>
                        <w:tc>
                          <w:tcPr>
                            <w:tcW w:w="1517" w:type="dxa"/>
                          </w:tcPr>
                          <w:p>
                            <w:pPr>
                              <w:pStyle w:val="44"/>
                              <w:spacing w:before="2"/>
                              <w:rPr>
                                <w:rFonts w:ascii="方正仿宋_GBK"/>
                                <w:color w:val="auto"/>
                                <w:sz w:val="22"/>
                              </w:rPr>
                            </w:pPr>
                          </w:p>
                          <w:p>
                            <w:pPr>
                              <w:pStyle w:val="44"/>
                              <w:ind w:left="96" w:right="91"/>
                              <w:jc w:val="center"/>
                              <w:rPr>
                                <w:color w:val="auto"/>
                                <w:sz w:val="32"/>
                              </w:rPr>
                            </w:pPr>
                            <w:r>
                              <w:rPr>
                                <w:color w:val="auto"/>
                                <w:sz w:val="32"/>
                              </w:rPr>
                              <w:t>职业能力</w:t>
                            </w:r>
                          </w:p>
                        </w:tc>
                        <w:tc>
                          <w:tcPr>
                            <w:tcW w:w="1213" w:type="dxa"/>
                          </w:tcPr>
                          <w:p>
                            <w:pPr>
                              <w:pStyle w:val="44"/>
                              <w:spacing w:before="2"/>
                              <w:rPr>
                                <w:rFonts w:ascii="方正仿宋_GBK"/>
                                <w:color w:val="auto"/>
                                <w:sz w:val="22"/>
                              </w:rPr>
                            </w:pPr>
                          </w:p>
                          <w:p>
                            <w:pPr>
                              <w:pStyle w:val="44"/>
                              <w:ind w:left="106" w:right="97"/>
                              <w:jc w:val="center"/>
                              <w:rPr>
                                <w:color w:val="auto"/>
                                <w:sz w:val="32"/>
                              </w:rPr>
                            </w:pPr>
                            <w:r>
                              <w:rPr>
                                <w:color w:val="auto"/>
                                <w:sz w:val="32"/>
                              </w:rPr>
                              <w:t>工作量</w:t>
                            </w:r>
                          </w:p>
                        </w:tc>
                        <w:tc>
                          <w:tcPr>
                            <w:tcW w:w="1755" w:type="dxa"/>
                          </w:tcPr>
                          <w:p>
                            <w:pPr>
                              <w:pStyle w:val="44"/>
                              <w:spacing w:before="2"/>
                              <w:rPr>
                                <w:rFonts w:ascii="方正仿宋_GBK"/>
                                <w:color w:val="auto"/>
                                <w:sz w:val="22"/>
                              </w:rPr>
                            </w:pPr>
                          </w:p>
                          <w:p>
                            <w:pPr>
                              <w:pStyle w:val="44"/>
                              <w:ind w:left="215" w:right="210"/>
                              <w:jc w:val="center"/>
                              <w:rPr>
                                <w:color w:val="auto"/>
                                <w:sz w:val="32"/>
                              </w:rPr>
                            </w:pPr>
                            <w:r>
                              <w:rPr>
                                <w:color w:val="auto"/>
                                <w:sz w:val="32"/>
                              </w:rPr>
                              <w:t>工作实际</w:t>
                            </w:r>
                          </w:p>
                        </w:tc>
                        <w:tc>
                          <w:tcPr>
                            <w:tcW w:w="2040" w:type="dxa"/>
                          </w:tcPr>
                          <w:p>
                            <w:pPr>
                              <w:pStyle w:val="44"/>
                              <w:spacing w:before="2"/>
                              <w:rPr>
                                <w:rFonts w:ascii="方正仿宋_GBK"/>
                                <w:color w:val="auto"/>
                                <w:sz w:val="22"/>
                              </w:rPr>
                            </w:pPr>
                          </w:p>
                          <w:p>
                            <w:pPr>
                              <w:pStyle w:val="44"/>
                              <w:ind w:left="358" w:right="352"/>
                              <w:jc w:val="center"/>
                              <w:rPr>
                                <w:color w:val="auto"/>
                                <w:sz w:val="32"/>
                              </w:rPr>
                            </w:pPr>
                            <w:r>
                              <w:rPr>
                                <w:color w:val="auto"/>
                                <w:sz w:val="32"/>
                              </w:rPr>
                              <w:t>教学情况</w:t>
                            </w:r>
                          </w:p>
                        </w:tc>
                        <w:tc>
                          <w:tcPr>
                            <w:tcW w:w="1710" w:type="dxa"/>
                          </w:tcPr>
                          <w:p>
                            <w:pPr>
                              <w:pStyle w:val="44"/>
                              <w:spacing w:before="2"/>
                              <w:rPr>
                                <w:rFonts w:ascii="方正仿宋_GBK"/>
                                <w:color w:val="auto"/>
                                <w:sz w:val="22"/>
                              </w:rPr>
                            </w:pPr>
                          </w:p>
                          <w:p>
                            <w:pPr>
                              <w:pStyle w:val="44"/>
                              <w:ind w:left="195" w:right="185"/>
                              <w:jc w:val="center"/>
                              <w:rPr>
                                <w:color w:val="auto"/>
                                <w:sz w:val="32"/>
                              </w:rPr>
                            </w:pPr>
                            <w:r>
                              <w:rPr>
                                <w:color w:val="auto"/>
                                <w:sz w:val="32"/>
                              </w:rPr>
                              <w:t>科研成果</w:t>
                            </w:r>
                          </w:p>
                        </w:tc>
                        <w:tc>
                          <w:tcPr>
                            <w:tcW w:w="1695" w:type="dxa"/>
                          </w:tcPr>
                          <w:p>
                            <w:pPr>
                              <w:pStyle w:val="44"/>
                              <w:spacing w:before="2"/>
                              <w:rPr>
                                <w:rFonts w:ascii="方正仿宋_GBK"/>
                                <w:color w:val="auto"/>
                                <w:sz w:val="22"/>
                              </w:rPr>
                            </w:pPr>
                          </w:p>
                          <w:p>
                            <w:pPr>
                              <w:pStyle w:val="44"/>
                              <w:ind w:left="186" w:right="178"/>
                              <w:jc w:val="center"/>
                              <w:rPr>
                                <w:color w:val="auto"/>
                                <w:sz w:val="32"/>
                              </w:rPr>
                            </w:pPr>
                            <w:r>
                              <w:rPr>
                                <w:color w:val="auto"/>
                                <w:sz w:val="32"/>
                              </w:rPr>
                              <w:t>综合评价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7"/>
                              <w:ind w:left="517" w:right="509"/>
                              <w:jc w:val="center"/>
                              <w:rPr>
                                <w:color w:val="auto"/>
                                <w:sz w:val="32"/>
                              </w:rPr>
                            </w:pPr>
                            <w:r>
                              <w:rPr>
                                <w:color w:val="auto"/>
                                <w:sz w:val="32"/>
                              </w:rPr>
                              <w:t>助教</w:t>
                            </w:r>
                          </w:p>
                        </w:tc>
                        <w:tc>
                          <w:tcPr>
                            <w:tcW w:w="1785" w:type="dxa"/>
                          </w:tcPr>
                          <w:p>
                            <w:pPr>
                              <w:pStyle w:val="44"/>
                              <w:spacing w:before="107"/>
                              <w:ind w:left="8"/>
                              <w:jc w:val="center"/>
                              <w:rPr>
                                <w:color w:val="auto"/>
                                <w:sz w:val="32"/>
                              </w:rPr>
                            </w:pPr>
                            <w:r>
                              <w:rPr>
                                <w:color w:val="auto"/>
                                <w:w w:val="99"/>
                                <w:sz w:val="32"/>
                              </w:rPr>
                              <w:t>5</w:t>
                            </w:r>
                          </w:p>
                        </w:tc>
                        <w:tc>
                          <w:tcPr>
                            <w:tcW w:w="1517" w:type="dxa"/>
                          </w:tcPr>
                          <w:p>
                            <w:pPr>
                              <w:pStyle w:val="44"/>
                              <w:spacing w:before="107"/>
                              <w:ind w:left="96" w:right="90"/>
                              <w:jc w:val="center"/>
                              <w:rPr>
                                <w:color w:val="auto"/>
                                <w:sz w:val="32"/>
                              </w:rPr>
                            </w:pPr>
                            <w:r>
                              <w:rPr>
                                <w:color w:val="auto"/>
                                <w:sz w:val="32"/>
                              </w:rPr>
                              <w:t>10</w:t>
                            </w:r>
                          </w:p>
                        </w:tc>
                        <w:tc>
                          <w:tcPr>
                            <w:tcW w:w="1213" w:type="dxa"/>
                          </w:tcPr>
                          <w:p>
                            <w:pPr>
                              <w:pStyle w:val="44"/>
                              <w:spacing w:before="107"/>
                              <w:ind w:left="105" w:right="97"/>
                              <w:jc w:val="center"/>
                              <w:rPr>
                                <w:color w:val="auto"/>
                                <w:sz w:val="32"/>
                              </w:rPr>
                            </w:pPr>
                            <w:r>
                              <w:rPr>
                                <w:color w:val="auto"/>
                                <w:sz w:val="32"/>
                              </w:rPr>
                              <w:t>50</w:t>
                            </w:r>
                          </w:p>
                        </w:tc>
                        <w:tc>
                          <w:tcPr>
                            <w:tcW w:w="1755" w:type="dxa"/>
                          </w:tcPr>
                          <w:p>
                            <w:pPr>
                              <w:pStyle w:val="44"/>
                              <w:spacing w:before="107"/>
                              <w:ind w:left="215" w:right="209"/>
                              <w:jc w:val="center"/>
                              <w:rPr>
                                <w:color w:val="auto"/>
                                <w:sz w:val="32"/>
                              </w:rPr>
                            </w:pPr>
                            <w:r>
                              <w:rPr>
                                <w:color w:val="auto"/>
                                <w:sz w:val="32"/>
                              </w:rPr>
                              <w:t>15</w:t>
                            </w:r>
                          </w:p>
                        </w:tc>
                        <w:tc>
                          <w:tcPr>
                            <w:tcW w:w="2040" w:type="dxa"/>
                          </w:tcPr>
                          <w:p>
                            <w:pPr>
                              <w:pStyle w:val="44"/>
                              <w:spacing w:before="107"/>
                              <w:ind w:left="10"/>
                              <w:jc w:val="center"/>
                              <w:rPr>
                                <w:color w:val="auto"/>
                                <w:sz w:val="32"/>
                              </w:rPr>
                            </w:pPr>
                            <w:r>
                              <w:rPr>
                                <w:color w:val="auto"/>
                                <w:w w:val="99"/>
                                <w:sz w:val="32"/>
                              </w:rPr>
                              <w:t>5</w:t>
                            </w:r>
                          </w:p>
                        </w:tc>
                        <w:tc>
                          <w:tcPr>
                            <w:tcW w:w="1710" w:type="dxa"/>
                          </w:tcPr>
                          <w:p>
                            <w:pPr>
                              <w:pStyle w:val="44"/>
                              <w:spacing w:before="107"/>
                              <w:ind w:left="9"/>
                              <w:jc w:val="center"/>
                              <w:rPr>
                                <w:color w:val="auto"/>
                                <w:sz w:val="32"/>
                              </w:rPr>
                            </w:pPr>
                            <w:r>
                              <w:rPr>
                                <w:color w:val="auto"/>
                                <w:w w:val="99"/>
                                <w:sz w:val="32"/>
                              </w:rPr>
                              <w:t>5</w:t>
                            </w:r>
                          </w:p>
                        </w:tc>
                        <w:tc>
                          <w:tcPr>
                            <w:tcW w:w="1695" w:type="dxa"/>
                          </w:tcPr>
                          <w:p>
                            <w:pPr>
                              <w:pStyle w:val="44"/>
                              <w:spacing w:before="107"/>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9"/>
                              <w:ind w:left="517" w:right="509"/>
                              <w:jc w:val="center"/>
                              <w:rPr>
                                <w:color w:val="auto"/>
                                <w:sz w:val="32"/>
                              </w:rPr>
                            </w:pPr>
                            <w:r>
                              <w:rPr>
                                <w:color w:val="auto"/>
                                <w:sz w:val="32"/>
                              </w:rPr>
                              <w:t>讲师</w:t>
                            </w:r>
                          </w:p>
                        </w:tc>
                        <w:tc>
                          <w:tcPr>
                            <w:tcW w:w="1785" w:type="dxa"/>
                          </w:tcPr>
                          <w:p>
                            <w:pPr>
                              <w:pStyle w:val="44"/>
                              <w:spacing w:before="109"/>
                              <w:ind w:left="8"/>
                              <w:jc w:val="center"/>
                              <w:rPr>
                                <w:color w:val="auto"/>
                                <w:sz w:val="32"/>
                              </w:rPr>
                            </w:pPr>
                            <w:r>
                              <w:rPr>
                                <w:color w:val="auto"/>
                                <w:w w:val="99"/>
                                <w:sz w:val="32"/>
                              </w:rPr>
                              <w:t>5</w:t>
                            </w:r>
                          </w:p>
                        </w:tc>
                        <w:tc>
                          <w:tcPr>
                            <w:tcW w:w="1517" w:type="dxa"/>
                          </w:tcPr>
                          <w:p>
                            <w:pPr>
                              <w:pStyle w:val="44"/>
                              <w:spacing w:before="109"/>
                              <w:ind w:left="96" w:right="90"/>
                              <w:jc w:val="center"/>
                              <w:rPr>
                                <w:color w:val="auto"/>
                                <w:sz w:val="32"/>
                              </w:rPr>
                            </w:pPr>
                            <w:r>
                              <w:rPr>
                                <w:color w:val="auto"/>
                                <w:sz w:val="32"/>
                              </w:rPr>
                              <w:t>15</w:t>
                            </w:r>
                          </w:p>
                        </w:tc>
                        <w:tc>
                          <w:tcPr>
                            <w:tcW w:w="1213" w:type="dxa"/>
                          </w:tcPr>
                          <w:p>
                            <w:pPr>
                              <w:pStyle w:val="44"/>
                              <w:spacing w:before="109"/>
                              <w:ind w:left="105" w:right="97"/>
                              <w:jc w:val="center"/>
                              <w:rPr>
                                <w:color w:val="auto"/>
                                <w:sz w:val="32"/>
                              </w:rPr>
                            </w:pPr>
                            <w:r>
                              <w:rPr>
                                <w:color w:val="auto"/>
                                <w:sz w:val="32"/>
                              </w:rPr>
                              <w:t>40</w:t>
                            </w:r>
                          </w:p>
                        </w:tc>
                        <w:tc>
                          <w:tcPr>
                            <w:tcW w:w="1755" w:type="dxa"/>
                          </w:tcPr>
                          <w:p>
                            <w:pPr>
                              <w:pStyle w:val="44"/>
                              <w:spacing w:before="109"/>
                              <w:ind w:left="215" w:right="209"/>
                              <w:jc w:val="center"/>
                              <w:rPr>
                                <w:color w:val="auto"/>
                                <w:sz w:val="32"/>
                              </w:rPr>
                            </w:pPr>
                            <w:r>
                              <w:rPr>
                                <w:color w:val="auto"/>
                                <w:sz w:val="32"/>
                              </w:rPr>
                              <w:t>15</w:t>
                            </w:r>
                          </w:p>
                        </w:tc>
                        <w:tc>
                          <w:tcPr>
                            <w:tcW w:w="2040" w:type="dxa"/>
                          </w:tcPr>
                          <w:p>
                            <w:pPr>
                              <w:pStyle w:val="44"/>
                              <w:spacing w:before="109"/>
                              <w:ind w:left="10"/>
                              <w:jc w:val="center"/>
                              <w:rPr>
                                <w:color w:val="auto"/>
                                <w:sz w:val="32"/>
                              </w:rPr>
                            </w:pPr>
                            <w:r>
                              <w:rPr>
                                <w:color w:val="auto"/>
                                <w:w w:val="99"/>
                                <w:sz w:val="32"/>
                              </w:rPr>
                              <w:t>5</w:t>
                            </w:r>
                          </w:p>
                        </w:tc>
                        <w:tc>
                          <w:tcPr>
                            <w:tcW w:w="1710" w:type="dxa"/>
                          </w:tcPr>
                          <w:p>
                            <w:pPr>
                              <w:pStyle w:val="44"/>
                              <w:spacing w:before="109"/>
                              <w:ind w:left="195" w:right="184"/>
                              <w:jc w:val="center"/>
                              <w:rPr>
                                <w:color w:val="auto"/>
                                <w:sz w:val="32"/>
                              </w:rPr>
                            </w:pPr>
                            <w:r>
                              <w:rPr>
                                <w:color w:val="auto"/>
                                <w:sz w:val="32"/>
                              </w:rPr>
                              <w:t>10</w:t>
                            </w:r>
                          </w:p>
                        </w:tc>
                        <w:tc>
                          <w:tcPr>
                            <w:tcW w:w="1695" w:type="dxa"/>
                          </w:tcPr>
                          <w:p>
                            <w:pPr>
                              <w:pStyle w:val="44"/>
                              <w:spacing w:before="109"/>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37" w:type="dxa"/>
                          </w:tcPr>
                          <w:p>
                            <w:pPr>
                              <w:pStyle w:val="44"/>
                              <w:spacing w:before="108"/>
                              <w:ind w:left="517" w:right="509"/>
                              <w:jc w:val="center"/>
                              <w:rPr>
                                <w:color w:val="auto"/>
                                <w:sz w:val="32"/>
                              </w:rPr>
                            </w:pPr>
                            <w:r>
                              <w:rPr>
                                <w:color w:val="auto"/>
                                <w:sz w:val="32"/>
                              </w:rPr>
                              <w:t>副教授</w:t>
                            </w:r>
                          </w:p>
                        </w:tc>
                        <w:tc>
                          <w:tcPr>
                            <w:tcW w:w="1785" w:type="dxa"/>
                          </w:tcPr>
                          <w:p>
                            <w:pPr>
                              <w:pStyle w:val="44"/>
                              <w:spacing w:before="108"/>
                              <w:ind w:left="8"/>
                              <w:jc w:val="center"/>
                              <w:rPr>
                                <w:color w:val="auto"/>
                                <w:sz w:val="32"/>
                              </w:rPr>
                            </w:pPr>
                            <w:r>
                              <w:rPr>
                                <w:color w:val="auto"/>
                                <w:w w:val="99"/>
                                <w:sz w:val="32"/>
                              </w:rPr>
                              <w:t>5</w:t>
                            </w:r>
                          </w:p>
                        </w:tc>
                        <w:tc>
                          <w:tcPr>
                            <w:tcW w:w="1517" w:type="dxa"/>
                          </w:tcPr>
                          <w:p>
                            <w:pPr>
                              <w:pStyle w:val="44"/>
                              <w:spacing w:before="108"/>
                              <w:ind w:left="96" w:right="90"/>
                              <w:jc w:val="center"/>
                              <w:rPr>
                                <w:color w:val="auto"/>
                                <w:sz w:val="32"/>
                              </w:rPr>
                            </w:pPr>
                            <w:r>
                              <w:rPr>
                                <w:color w:val="auto"/>
                                <w:sz w:val="32"/>
                              </w:rPr>
                              <w:t>20</w:t>
                            </w:r>
                          </w:p>
                        </w:tc>
                        <w:tc>
                          <w:tcPr>
                            <w:tcW w:w="1213" w:type="dxa"/>
                          </w:tcPr>
                          <w:p>
                            <w:pPr>
                              <w:pStyle w:val="44"/>
                              <w:spacing w:before="108"/>
                              <w:ind w:left="105" w:right="97"/>
                              <w:jc w:val="center"/>
                              <w:rPr>
                                <w:color w:val="auto"/>
                                <w:sz w:val="32"/>
                              </w:rPr>
                            </w:pPr>
                            <w:r>
                              <w:rPr>
                                <w:color w:val="auto"/>
                                <w:sz w:val="32"/>
                              </w:rPr>
                              <w:t>30</w:t>
                            </w:r>
                          </w:p>
                        </w:tc>
                        <w:tc>
                          <w:tcPr>
                            <w:tcW w:w="1755" w:type="dxa"/>
                          </w:tcPr>
                          <w:p>
                            <w:pPr>
                              <w:pStyle w:val="44"/>
                              <w:spacing w:before="108"/>
                              <w:ind w:left="215" w:right="209"/>
                              <w:jc w:val="center"/>
                              <w:rPr>
                                <w:color w:val="auto"/>
                                <w:sz w:val="32"/>
                              </w:rPr>
                            </w:pPr>
                            <w:r>
                              <w:rPr>
                                <w:color w:val="auto"/>
                                <w:sz w:val="32"/>
                              </w:rPr>
                              <w:t>15</w:t>
                            </w:r>
                          </w:p>
                        </w:tc>
                        <w:tc>
                          <w:tcPr>
                            <w:tcW w:w="2040" w:type="dxa"/>
                          </w:tcPr>
                          <w:p>
                            <w:pPr>
                              <w:pStyle w:val="44"/>
                              <w:spacing w:before="108"/>
                              <w:ind w:left="10"/>
                              <w:jc w:val="center"/>
                              <w:rPr>
                                <w:color w:val="auto"/>
                                <w:sz w:val="32"/>
                              </w:rPr>
                            </w:pPr>
                            <w:r>
                              <w:rPr>
                                <w:color w:val="auto"/>
                                <w:w w:val="99"/>
                                <w:sz w:val="32"/>
                              </w:rPr>
                              <w:t>5</w:t>
                            </w:r>
                          </w:p>
                        </w:tc>
                        <w:tc>
                          <w:tcPr>
                            <w:tcW w:w="1710" w:type="dxa"/>
                          </w:tcPr>
                          <w:p>
                            <w:pPr>
                              <w:pStyle w:val="44"/>
                              <w:spacing w:before="108"/>
                              <w:ind w:left="195" w:right="184"/>
                              <w:jc w:val="center"/>
                              <w:rPr>
                                <w:color w:val="auto"/>
                                <w:sz w:val="32"/>
                              </w:rPr>
                            </w:pPr>
                            <w:r>
                              <w:rPr>
                                <w:color w:val="auto"/>
                                <w:sz w:val="32"/>
                              </w:rPr>
                              <w:t>15</w:t>
                            </w:r>
                          </w:p>
                        </w:tc>
                        <w:tc>
                          <w:tcPr>
                            <w:tcW w:w="1695" w:type="dxa"/>
                          </w:tcPr>
                          <w:p>
                            <w:pPr>
                              <w:pStyle w:val="44"/>
                              <w:spacing w:before="108"/>
                              <w:ind w:left="186" w:right="176"/>
                              <w:jc w:val="center"/>
                              <w:rPr>
                                <w:color w:val="auto"/>
                                <w:sz w:val="32"/>
                              </w:rPr>
                            </w:pPr>
                            <w:r>
                              <w:rPr>
                                <w:color w:val="auto"/>
                                <w:sz w:val="32"/>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037" w:type="dxa"/>
                          </w:tcPr>
                          <w:p>
                            <w:pPr>
                              <w:pStyle w:val="44"/>
                              <w:spacing w:before="108"/>
                              <w:ind w:left="517" w:right="509"/>
                              <w:jc w:val="center"/>
                              <w:rPr>
                                <w:color w:val="auto"/>
                                <w:sz w:val="32"/>
                              </w:rPr>
                            </w:pPr>
                            <w:r>
                              <w:rPr>
                                <w:color w:val="auto"/>
                                <w:sz w:val="32"/>
                              </w:rPr>
                              <w:t>教授</w:t>
                            </w:r>
                          </w:p>
                        </w:tc>
                        <w:tc>
                          <w:tcPr>
                            <w:tcW w:w="1785" w:type="dxa"/>
                          </w:tcPr>
                          <w:p>
                            <w:pPr>
                              <w:pStyle w:val="44"/>
                              <w:spacing w:before="108"/>
                              <w:ind w:left="8"/>
                              <w:jc w:val="center"/>
                              <w:rPr>
                                <w:color w:val="auto"/>
                                <w:sz w:val="32"/>
                              </w:rPr>
                            </w:pPr>
                            <w:r>
                              <w:rPr>
                                <w:color w:val="auto"/>
                                <w:w w:val="99"/>
                                <w:sz w:val="32"/>
                              </w:rPr>
                              <w:t>5</w:t>
                            </w:r>
                          </w:p>
                        </w:tc>
                        <w:tc>
                          <w:tcPr>
                            <w:tcW w:w="1517" w:type="dxa"/>
                          </w:tcPr>
                          <w:p>
                            <w:pPr>
                              <w:pStyle w:val="44"/>
                              <w:spacing w:before="108"/>
                              <w:ind w:left="96" w:right="90"/>
                              <w:jc w:val="center"/>
                              <w:rPr>
                                <w:color w:val="auto"/>
                                <w:sz w:val="32"/>
                              </w:rPr>
                            </w:pPr>
                            <w:r>
                              <w:rPr>
                                <w:color w:val="auto"/>
                                <w:sz w:val="32"/>
                              </w:rPr>
                              <w:t>25</w:t>
                            </w:r>
                          </w:p>
                        </w:tc>
                        <w:tc>
                          <w:tcPr>
                            <w:tcW w:w="1213" w:type="dxa"/>
                          </w:tcPr>
                          <w:p>
                            <w:pPr>
                              <w:pStyle w:val="44"/>
                              <w:spacing w:before="108"/>
                              <w:ind w:left="105" w:right="97"/>
                              <w:jc w:val="center"/>
                              <w:rPr>
                                <w:color w:val="auto"/>
                                <w:sz w:val="32"/>
                              </w:rPr>
                            </w:pPr>
                            <w:r>
                              <w:rPr>
                                <w:color w:val="auto"/>
                                <w:sz w:val="32"/>
                              </w:rPr>
                              <w:t>15</w:t>
                            </w:r>
                          </w:p>
                        </w:tc>
                        <w:tc>
                          <w:tcPr>
                            <w:tcW w:w="1755" w:type="dxa"/>
                          </w:tcPr>
                          <w:p>
                            <w:pPr>
                              <w:pStyle w:val="44"/>
                              <w:spacing w:before="108"/>
                              <w:ind w:left="215" w:right="209"/>
                              <w:jc w:val="center"/>
                              <w:rPr>
                                <w:color w:val="auto"/>
                                <w:sz w:val="32"/>
                              </w:rPr>
                            </w:pPr>
                            <w:r>
                              <w:rPr>
                                <w:color w:val="auto"/>
                                <w:sz w:val="32"/>
                              </w:rPr>
                              <w:t>15</w:t>
                            </w:r>
                          </w:p>
                        </w:tc>
                        <w:tc>
                          <w:tcPr>
                            <w:tcW w:w="2040" w:type="dxa"/>
                          </w:tcPr>
                          <w:p>
                            <w:pPr>
                              <w:pStyle w:val="44"/>
                              <w:spacing w:before="108"/>
                              <w:ind w:left="10"/>
                              <w:jc w:val="center"/>
                              <w:rPr>
                                <w:color w:val="auto"/>
                                <w:sz w:val="32"/>
                              </w:rPr>
                            </w:pPr>
                            <w:r>
                              <w:rPr>
                                <w:color w:val="auto"/>
                                <w:w w:val="99"/>
                                <w:sz w:val="32"/>
                              </w:rPr>
                              <w:t>5</w:t>
                            </w:r>
                          </w:p>
                        </w:tc>
                        <w:tc>
                          <w:tcPr>
                            <w:tcW w:w="1710" w:type="dxa"/>
                          </w:tcPr>
                          <w:p>
                            <w:pPr>
                              <w:pStyle w:val="44"/>
                              <w:spacing w:before="108"/>
                              <w:ind w:left="195" w:right="184"/>
                              <w:jc w:val="center"/>
                              <w:rPr>
                                <w:color w:val="auto"/>
                                <w:sz w:val="32"/>
                              </w:rPr>
                            </w:pPr>
                            <w:r>
                              <w:rPr>
                                <w:color w:val="auto"/>
                                <w:sz w:val="32"/>
                              </w:rPr>
                              <w:t>25</w:t>
                            </w:r>
                          </w:p>
                        </w:tc>
                        <w:tc>
                          <w:tcPr>
                            <w:tcW w:w="1695" w:type="dxa"/>
                          </w:tcPr>
                          <w:p>
                            <w:pPr>
                              <w:pStyle w:val="44"/>
                              <w:spacing w:before="108"/>
                              <w:ind w:left="186" w:right="176"/>
                              <w:jc w:val="center"/>
                              <w:rPr>
                                <w:color w:val="auto"/>
                                <w:sz w:val="32"/>
                              </w:rPr>
                            </w:pPr>
                            <w:r>
                              <w:rPr>
                                <w:color w:val="auto"/>
                                <w:sz w:val="32"/>
                              </w:rPr>
                              <w:t>10</w:t>
                            </w:r>
                          </w:p>
                        </w:tc>
                      </w:tr>
                    </w:tbl>
                    <w:p>
                      <w:pPr>
                        <w:pStyle w:val="6"/>
                      </w:pPr>
                    </w:p>
                  </w:txbxContent>
                </v:textbox>
              </v:shape>
            </w:pict>
          </mc:Fallback>
        </mc:AlternateContent>
      </w:r>
      <w:r>
        <w:rPr>
          <w:color w:val="auto"/>
          <w:highlight w:val="none"/>
        </w:rPr>
        <w:t>附件 5</w:t>
      </w:r>
    </w:p>
    <w:p>
      <w:pPr>
        <w:pStyle w:val="6"/>
        <w:rPr>
          <w:color w:val="auto"/>
          <w:sz w:val="20"/>
          <w:highlight w:val="none"/>
        </w:rPr>
      </w:pPr>
    </w:p>
    <w:p>
      <w:pPr>
        <w:pStyle w:val="6"/>
        <w:rPr>
          <w:color w:val="auto"/>
          <w:sz w:val="20"/>
          <w:highlight w:val="none"/>
        </w:rPr>
      </w:pPr>
    </w:p>
    <w:p>
      <w:pPr>
        <w:pStyle w:val="6"/>
        <w:rPr>
          <w:color w:val="auto"/>
          <w:sz w:val="20"/>
          <w:highlight w:val="none"/>
        </w:rPr>
      </w:pPr>
    </w:p>
    <w:p>
      <w:pPr>
        <w:pStyle w:val="6"/>
        <w:spacing w:before="4"/>
        <w:rPr>
          <w:color w:val="auto"/>
          <w:sz w:val="15"/>
          <w:highlight w:val="none"/>
        </w:rPr>
      </w:pPr>
      <w:r>
        <w:rPr>
          <w:color w:val="auto"/>
          <w:highlight w:val="none"/>
        </w:rPr>
        <mc:AlternateContent>
          <mc:Choice Requires="wpg">
            <w:drawing>
              <wp:anchor distT="0" distB="0" distL="114300" distR="114300" simplePos="0" relativeHeight="251666432" behindDoc="1" locked="0" layoutInCell="1" allowOverlap="1">
                <wp:simplePos x="0" y="0"/>
                <wp:positionH relativeFrom="page">
                  <wp:posOffset>924560</wp:posOffset>
                </wp:positionH>
                <wp:positionV relativeFrom="paragraph">
                  <wp:posOffset>180975</wp:posOffset>
                </wp:positionV>
                <wp:extent cx="1286510" cy="718185"/>
                <wp:effectExtent l="635" t="0" r="8255" b="5715"/>
                <wp:wrapTopAndBottom/>
                <wp:docPr id="12" name="组合 12"/>
                <wp:cNvGraphicFramePr/>
                <a:graphic xmlns:a="http://schemas.openxmlformats.org/drawingml/2006/main">
                  <a:graphicData uri="http://schemas.microsoft.com/office/word/2010/wordprocessingGroup">
                    <wpg:wgp>
                      <wpg:cNvGrpSpPr/>
                      <wpg:grpSpPr>
                        <a:xfrm>
                          <a:off x="0" y="0"/>
                          <a:ext cx="1286510" cy="718185"/>
                          <a:chOff x="1457" y="285"/>
                          <a:chExt cx="2026" cy="1131"/>
                        </a:xfrm>
                      </wpg:grpSpPr>
                      <pic:pic xmlns:pic="http://schemas.openxmlformats.org/drawingml/2006/picture">
                        <pic:nvPicPr>
                          <pic:cNvPr id="7" name="图片 8"/>
                          <pic:cNvPicPr>
                            <a:picLocks noChangeAspect="1"/>
                          </pic:cNvPicPr>
                        </pic:nvPicPr>
                        <pic:blipFill>
                          <a:blip r:embed="rId10"/>
                          <a:stretch>
                            <a:fillRect/>
                          </a:stretch>
                        </pic:blipFill>
                        <pic:spPr>
                          <a:xfrm>
                            <a:off x="1473" y="285"/>
                            <a:ext cx="1935" cy="512"/>
                          </a:xfrm>
                          <a:prstGeom prst="rect">
                            <a:avLst/>
                          </a:prstGeom>
                          <a:noFill/>
                          <a:ln>
                            <a:noFill/>
                          </a:ln>
                        </pic:spPr>
                      </pic:pic>
                      <pic:pic xmlns:pic="http://schemas.openxmlformats.org/drawingml/2006/picture">
                        <pic:nvPicPr>
                          <pic:cNvPr id="8" name="图片 9"/>
                          <pic:cNvPicPr>
                            <a:picLocks noChangeAspect="1"/>
                          </pic:cNvPicPr>
                        </pic:nvPicPr>
                        <pic:blipFill>
                          <a:blip r:embed="rId11"/>
                          <a:stretch>
                            <a:fillRect/>
                          </a:stretch>
                        </pic:blipFill>
                        <pic:spPr>
                          <a:xfrm>
                            <a:off x="1456" y="304"/>
                            <a:ext cx="1352" cy="1112"/>
                          </a:xfrm>
                          <a:prstGeom prst="rect">
                            <a:avLst/>
                          </a:prstGeom>
                          <a:noFill/>
                          <a:ln>
                            <a:noFill/>
                          </a:ln>
                        </pic:spPr>
                      </pic:pic>
                      <pic:pic xmlns:pic="http://schemas.openxmlformats.org/drawingml/2006/picture">
                        <pic:nvPicPr>
                          <pic:cNvPr id="9" name="图片 10"/>
                          <pic:cNvPicPr>
                            <a:picLocks noChangeAspect="1"/>
                          </pic:cNvPicPr>
                        </pic:nvPicPr>
                        <pic:blipFill>
                          <a:blip r:embed="rId12"/>
                          <a:stretch>
                            <a:fillRect/>
                          </a:stretch>
                        </pic:blipFill>
                        <pic:spPr>
                          <a:xfrm>
                            <a:off x="2659" y="902"/>
                            <a:ext cx="752" cy="360"/>
                          </a:xfrm>
                          <a:prstGeom prst="rect">
                            <a:avLst/>
                          </a:prstGeom>
                          <a:noFill/>
                          <a:ln>
                            <a:noFill/>
                          </a:ln>
                        </pic:spPr>
                      </pic:pic>
                      <pic:pic xmlns:pic="http://schemas.openxmlformats.org/drawingml/2006/picture">
                        <pic:nvPicPr>
                          <pic:cNvPr id="10" name="图片 11"/>
                          <pic:cNvPicPr>
                            <a:picLocks noChangeAspect="1"/>
                          </pic:cNvPicPr>
                        </pic:nvPicPr>
                        <pic:blipFill>
                          <a:blip r:embed="rId13"/>
                          <a:stretch>
                            <a:fillRect/>
                          </a:stretch>
                        </pic:blipFill>
                        <pic:spPr>
                          <a:xfrm>
                            <a:off x="1459" y="976"/>
                            <a:ext cx="720" cy="360"/>
                          </a:xfrm>
                          <a:prstGeom prst="rect">
                            <a:avLst/>
                          </a:prstGeom>
                          <a:noFill/>
                          <a:ln>
                            <a:noFill/>
                          </a:ln>
                        </pic:spPr>
                      </pic:pic>
                      <pic:pic xmlns:pic="http://schemas.openxmlformats.org/drawingml/2006/picture">
                        <pic:nvPicPr>
                          <pic:cNvPr id="11" name="图片 12"/>
                          <pic:cNvPicPr>
                            <a:picLocks noChangeAspect="1"/>
                          </pic:cNvPicPr>
                        </pic:nvPicPr>
                        <pic:blipFill>
                          <a:blip r:embed="rId14"/>
                          <a:stretch>
                            <a:fillRect/>
                          </a:stretch>
                        </pic:blipFill>
                        <pic:spPr>
                          <a:xfrm>
                            <a:off x="2748" y="302"/>
                            <a:ext cx="735" cy="300"/>
                          </a:xfrm>
                          <a:prstGeom prst="rect">
                            <a:avLst/>
                          </a:prstGeom>
                          <a:noFill/>
                          <a:ln>
                            <a:noFill/>
                          </a:ln>
                        </pic:spPr>
                      </pic:pic>
                    </wpg:wgp>
                  </a:graphicData>
                </a:graphic>
              </wp:anchor>
            </w:drawing>
          </mc:Choice>
          <mc:Fallback>
            <w:pict>
              <v:group id="_x0000_s1026" o:spid="_x0000_s1026" o:spt="203" style="position:absolute;left:0pt;margin-left:72.8pt;margin-top:14.25pt;height:56.55pt;width:101.3pt;mso-position-horizontal-relative:page;mso-wrap-distance-bottom:0pt;mso-wrap-distance-top:0pt;z-index:-251650048;mso-width-relative:page;mso-height-relative:page;" coordorigin="1457,285" coordsize="2026,1131" o:gfxdata="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">
                <o:lock v:ext="edit" aspectratio="f"/>
                <v:shape id="图片 8" o:spid="_x0000_s1026" o:spt="75" type="#_x0000_t75" style="position:absolute;left:1473;top:285;height:512;width:1935;" filled="f" o:preferrelative="t" stroked="f" coordsize="21600,21600" o:gfxdata="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VArQL4A&#10;AADaAAAADwAAAAAAAAABACAAAAAiAAAAZHJzL2Rvd25yZXYueG1sUEsBAhQAFAAAAAgAh07iQDMv&#10;BZ47AAAAOQAAABAAAAAAAAAAAQAgAAAADQEAAGRycy9zaGFwZXhtbC54bWxQSwUGAAAAAAYABgBb&#10;AQAAtwMAAAAA&#10;">
                  <v:fill on="f" focussize="0,0"/>
                  <v:stroke on="f"/>
                  <v:imagedata r:id="rId10" o:title=""/>
                  <o:lock v:ext="edit" aspectratio="t"/>
                </v:shape>
                <v:shape id="图片 9" o:spid="_x0000_s1026" o:spt="75" type="#_x0000_t75" style="position:absolute;left:1456;top:304;height:1112;width:1352;" filled="f" o:preferrelative="t" stroked="f" coordsize="21600,21600" o:gfxdata="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cAe3LUAAADaAAAADwAA&#10;AAAAAAABACAAAAAiAAAAZHJzL2Rvd25yZXYueG1sUEsBAhQAFAAAAAgAh07iQDMvBZ47AAAAOQAA&#10;ABAAAAAAAAAAAQAgAAAABAEAAGRycy9zaGFwZXhtbC54bWxQSwUGAAAAAAYABgBbAQAArgMAAAAA&#10;">
                  <v:fill on="f" focussize="0,0"/>
                  <v:stroke on="f"/>
                  <v:imagedata r:id="rId11" o:title=""/>
                  <o:lock v:ext="edit" aspectratio="t"/>
                </v:shape>
                <v:shape id="图片 10" o:spid="_x0000_s1026" o:spt="75" type="#_x0000_t75" style="position:absolute;left:2659;top:902;height:360;width:752;" filled="f" o:preferrelative="t" stroked="f" coordsize="21600,21600" o:gfxdata="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j0iivQAA&#10;ANoAAAAPAAAAAAAAAAEAIAAAACIAAABkcnMvZG93bnJldi54bWxQSwECFAAUAAAACACHTuJAMy8F&#10;njsAAAA5AAAAEAAAAAAAAAABACAAAAAMAQAAZHJzL3NoYXBleG1sLnhtbFBLBQYAAAAABgAGAFsB&#10;AAC2AwAAAAA=&#10;">
                  <v:fill on="f" focussize="0,0"/>
                  <v:stroke on="f"/>
                  <v:imagedata r:id="rId12" o:title=""/>
                  <o:lock v:ext="edit" aspectratio="t"/>
                </v:shape>
                <v:shape id="图片 11" o:spid="_x0000_s1026" o:spt="75" type="#_x0000_t75" style="position:absolute;left:1459;top:976;height:360;width:720;" filled="f" o:preferrelative="t" stroked="f" coordsize="21600,21600" o:gfxdata="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Y078rsAAADb&#10;AAAADwAAAAAAAAABACAAAAAiAAAAZHJzL2Rvd25yZXYueG1sUEsBAhQAFAAAAAgAh07iQDMvBZ47&#10;AAAAOQAAABAAAAAAAAAAAQAgAAAACgEAAGRycy9zaGFwZXhtbC54bWxQSwUGAAAAAAYABgBbAQAA&#10;tAMAAAAA&#10;">
                  <v:fill on="f" focussize="0,0"/>
                  <v:stroke on="f"/>
                  <v:imagedata r:id="rId13" o:title=""/>
                  <o:lock v:ext="edit" aspectratio="t"/>
                </v:shape>
                <v:shape id="图片 12" o:spid="_x0000_s1026" o:spt="75" type="#_x0000_t75" style="position:absolute;left:2748;top:302;height:300;width:735;" filled="f" o:preferrelative="t" stroked="f" coordsize="21600,21600" o:gfxdata="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012e8AAAA&#10;2wAAAA8AAAAAAAAAAQAgAAAAIgAAAGRycy9kb3ducmV2LnhtbFBLAQIUABQAAAAIAIdO4kAzLwWe&#10;OwAAADkAAAAQAAAAAAAAAAEAIAAAAAsBAABkcnMvc2hhcGV4bWwueG1sUEsFBgAAAAAGAAYAWwEA&#10;ALUDAAAAAA==&#10;">
                  <v:fill on="f" focussize="0,0"/>
                  <v:stroke on="f"/>
                  <v:imagedata r:id="rId14" o:title=""/>
                  <o:lock v:ext="edit" aspectratio="t"/>
                </v:shape>
                <w10:wrap type="topAndBottom"/>
              </v:group>
            </w:pict>
          </mc:Fallback>
        </mc:AlternateContent>
      </w:r>
    </w:p>
    <w:p>
      <w:pPr>
        <w:spacing w:line="560" w:lineRule="exact"/>
        <w:rPr>
          <w:color w:val="auto"/>
          <w:highlight w:val="none"/>
        </w:rPr>
      </w:pPr>
    </w:p>
    <w:p>
      <w:pPr>
        <w:spacing w:line="560" w:lineRule="exact"/>
        <w:rPr>
          <w:color w:val="auto"/>
          <w:highlight w:val="none"/>
        </w:rPr>
      </w:pPr>
    </w:p>
    <w:p>
      <w:pPr>
        <w:spacing w:line="560" w:lineRule="exact"/>
        <w:rPr>
          <w:color w:val="auto"/>
          <w:highlight w:val="none"/>
        </w:rPr>
      </w:pPr>
    </w:p>
    <w:p>
      <w:pPr>
        <w:spacing w:line="560" w:lineRule="exact"/>
        <w:rPr>
          <w:color w:val="auto"/>
          <w:highlight w:val="none"/>
        </w:rPr>
      </w:pPr>
    </w:p>
    <w:p>
      <w:pPr>
        <w:spacing w:line="560" w:lineRule="exact"/>
        <w:rPr>
          <w:color w:val="auto"/>
          <w:highlight w:val="none"/>
        </w:rPr>
      </w:pPr>
    </w:p>
    <w:p>
      <w:pPr>
        <w:spacing w:line="560" w:lineRule="exact"/>
        <w:rPr>
          <w:color w:val="auto"/>
          <w:highlight w:val="none"/>
        </w:rPr>
      </w:pPr>
    </w:p>
    <w:p>
      <w:pPr>
        <w:spacing w:line="560" w:lineRule="exact"/>
        <w:rPr>
          <w:color w:val="auto"/>
          <w:highlight w:val="none"/>
        </w:rPr>
      </w:pPr>
    </w:p>
    <w:p>
      <w:pPr>
        <w:spacing w:line="240" w:lineRule="exact"/>
        <w:rPr>
          <w:color w:val="auto"/>
          <w:highlight w:val="none"/>
        </w:rPr>
        <w:sectPr>
          <w:footerReference r:id="rId5" w:type="default"/>
          <w:pgSz w:w="16838" w:h="11906" w:orient="landscape"/>
          <w:pgMar w:top="1400" w:right="1440" w:bottom="1984" w:left="1440" w:header="851" w:footer="992" w:gutter="0"/>
          <w:pgNumType w:fmt="decimal"/>
          <w:cols w:space="425" w:num="1"/>
          <w:rtlGutter w:val="0"/>
          <w:docGrid w:type="lines" w:linePitch="312" w:charSpace="0"/>
        </w:sectPr>
      </w:pPr>
    </w:p>
    <w:p>
      <w:pPr>
        <w:pStyle w:val="2"/>
        <w:spacing w:before="156"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156" w:line="560" w:lineRule="exact"/>
        <w:ind w:firstLine="0" w:firstLineChars="0"/>
        <w:rPr>
          <w:rFonts w:ascii="方正小标宋_GBK" w:hAnsi="方正小标宋_GBK" w:eastAsia="方正小标宋_GBK" w:cs="方正小标宋_GBK"/>
          <w:color w:val="auto"/>
          <w:highlight w:val="none"/>
        </w:rPr>
      </w:pPr>
      <w:bookmarkStart w:id="101" w:name="_Toc16780"/>
      <w:r>
        <w:rPr>
          <w:rFonts w:hint="eastAsia" w:ascii="方正小标宋_GBK" w:hAnsi="方正小标宋_GBK" w:eastAsia="方正小标宋_GBK" w:cs="方正小标宋_GBK"/>
          <w:color w:val="auto"/>
          <w:highlight w:val="none"/>
        </w:rPr>
        <w:t>云南城市建设职业学院辅导员（班主任）周末、节假日值班管理办法（修订）</w:t>
      </w:r>
      <w:bookmarkEnd w:id="101"/>
    </w:p>
    <w:p>
      <w:pPr>
        <w:spacing w:line="560" w:lineRule="exact"/>
        <w:ind w:firstLine="640" w:firstLineChars="200"/>
        <w:rPr>
          <w:rFonts w:ascii="方正仿宋_GBK" w:hAnsi="宋体" w:eastAsia="方正仿宋_GBK"/>
          <w:color w:val="auto"/>
          <w:sz w:val="32"/>
          <w:szCs w:val="32"/>
          <w:highlight w:val="none"/>
        </w:rPr>
      </w:pPr>
    </w:p>
    <w:p>
      <w:pPr>
        <w:spacing w:line="560" w:lineRule="exact"/>
        <w:ind w:firstLine="640" w:firstLineChars="200"/>
        <w:rPr>
          <w:rFonts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为强化对学生的教育和管理，保证正常的教育教学秩序，维护校园安全稳定，进一步规范辅导员（班主任）周末及节假日值班工作管理，结合学校实际，制定本办法。</w:t>
      </w:r>
    </w:p>
    <w:p>
      <w:pPr>
        <w:spacing w:line="560" w:lineRule="exact"/>
        <w:ind w:firstLine="640" w:firstLineChars="200"/>
        <w:rPr>
          <w:rFonts w:ascii="方正仿宋_GBK" w:hAnsi="宋体" w:eastAsia="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02" w:name="_Toc11152"/>
      <w:bookmarkStart w:id="103" w:name="_Toc17900"/>
      <w:bookmarkStart w:id="104" w:name="_Toc15398620"/>
      <w:r>
        <w:rPr>
          <w:rFonts w:hint="eastAsia" w:ascii="方正黑体_GBK" w:hAnsi="方正黑体_GBK" w:eastAsia="方正黑体_GBK" w:cs="方正黑体_GBK"/>
          <w:b/>
          <w:bCs w:val="0"/>
          <w:color w:val="auto"/>
          <w:highlight w:val="none"/>
        </w:rPr>
        <w:t>第一章  值班时间、地点</w:t>
      </w:r>
      <w:bookmarkEnd w:id="102"/>
      <w:bookmarkEnd w:id="103"/>
      <w:bookmarkEnd w:id="104"/>
    </w:p>
    <w:p>
      <w:pPr>
        <w:spacing w:line="560" w:lineRule="exact"/>
        <w:rPr>
          <w:rFonts w:ascii="方正黑体_GBK" w:hAnsi="方正黑体_GBK" w:eastAsia="方正黑体_GBK" w:cs="方正黑体_GBK"/>
          <w:color w:val="auto"/>
          <w:sz w:val="32"/>
          <w:szCs w:val="32"/>
          <w:highlight w:val="none"/>
        </w:rPr>
      </w:pPr>
    </w:p>
    <w:p>
      <w:pPr>
        <w:spacing w:line="560" w:lineRule="exact"/>
        <w:ind w:firstLine="643" w:firstLineChars="200"/>
        <w:rPr>
          <w:rFonts w:ascii="方正楷体_GBK" w:eastAsia="方正楷体_GBK"/>
          <w:color w:val="auto"/>
          <w:sz w:val="32"/>
          <w:szCs w:val="32"/>
          <w:highlight w:val="none"/>
        </w:rPr>
      </w:pPr>
      <w:r>
        <w:rPr>
          <w:rFonts w:hint="eastAsia" w:ascii="方正楷体_GBK" w:eastAsia="方正楷体_GBK"/>
          <w:b/>
          <w:color w:val="auto"/>
          <w:sz w:val="32"/>
          <w:szCs w:val="32"/>
          <w:highlight w:val="none"/>
        </w:rPr>
        <w:t>第一条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值班时间</w:t>
      </w:r>
    </w:p>
    <w:p>
      <w:pPr>
        <w:spacing w:line="560" w:lineRule="exact"/>
        <w:ind w:firstLine="640" w:firstLineChars="200"/>
        <w:rPr>
          <w:rFonts w:hint="eastAsia" w:ascii="方正仿宋_GBK" w:eastAsia="方正仿宋_GBK"/>
          <w:color w:val="auto"/>
          <w:sz w:val="32"/>
          <w:szCs w:val="32"/>
          <w:highlight w:val="none"/>
          <w:lang w:val="en-US" w:eastAsia="zh-CN"/>
        </w:rPr>
      </w:pPr>
      <w:r>
        <w:rPr>
          <w:rFonts w:hint="eastAsia" w:ascii="方正仿宋_GBK" w:eastAsia="方正仿宋_GBK"/>
          <w:color w:val="auto"/>
          <w:sz w:val="32"/>
          <w:szCs w:val="32"/>
          <w:highlight w:val="none"/>
        </w:rPr>
        <w:t>（一）周末值班时间为每周星期五下午17:30至星期天下午17:30</w:t>
      </w:r>
      <w:r>
        <w:rPr>
          <w:rFonts w:hint="eastAsia" w:ascii="方正仿宋_GBK" w:eastAsia="方正仿宋_GBK"/>
          <w:color w:val="auto"/>
          <w:sz w:val="32"/>
          <w:szCs w:val="32"/>
          <w:highlight w:val="none"/>
          <w:lang w:val="en-US" w:eastAsia="zh-CN"/>
        </w:rPr>
        <w:t>;</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（二）节假日值班时间为假期前一天17:30至收假当天17:30；</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（三）如假期较长需轮班，交接班时间为上一轮值班结束当天17:</w:t>
      </w:r>
      <w:r>
        <w:rPr>
          <w:rFonts w:hint="eastAsia" w:ascii="方正仿宋_GBK" w:eastAsia="方正仿宋_GBK"/>
          <w:color w:val="auto"/>
          <w:sz w:val="32"/>
          <w:szCs w:val="32"/>
          <w:highlight w:val="none"/>
          <w:lang w:val="en-US" w:eastAsia="zh-CN"/>
        </w:rPr>
        <w:t>3</w:t>
      </w:r>
      <w:r>
        <w:rPr>
          <w:rFonts w:hint="eastAsia" w:ascii="方正仿宋_GBK" w:eastAsia="方正仿宋_GBK"/>
          <w:color w:val="auto"/>
          <w:sz w:val="32"/>
          <w:szCs w:val="32"/>
          <w:highlight w:val="none"/>
        </w:rPr>
        <w:t>0。</w:t>
      </w:r>
    </w:p>
    <w:p>
      <w:pPr>
        <w:spacing w:line="560" w:lineRule="exact"/>
        <w:ind w:firstLine="643" w:firstLineChars="200"/>
        <w:rPr>
          <w:rFonts w:ascii="方正楷体_GBK" w:eastAsia="方正楷体_GBK"/>
          <w:color w:val="auto"/>
          <w:sz w:val="32"/>
          <w:szCs w:val="32"/>
          <w:highlight w:val="none"/>
        </w:rPr>
      </w:pPr>
      <w:r>
        <w:rPr>
          <w:rFonts w:hint="eastAsia" w:ascii="方正楷体_GBK" w:eastAsia="方正楷体_GBK"/>
          <w:b/>
          <w:color w:val="auto"/>
          <w:sz w:val="32"/>
          <w:szCs w:val="32"/>
          <w:highlight w:val="none"/>
        </w:rPr>
        <w:t>第二条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值班地点</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二级学院辅导员（班主任）办公室或学校指定场所，重点巡视、检查学生宿舍、教学区域、食堂、运动场等学生密集区域以及学校其他重点区域。</w:t>
      </w:r>
    </w:p>
    <w:p>
      <w:pPr>
        <w:spacing w:line="560" w:lineRule="exact"/>
        <w:ind w:firstLine="643" w:firstLineChars="200"/>
        <w:rPr>
          <w:rFonts w:ascii="方正仿宋_GBK" w:eastAsia="方正仿宋_GBK"/>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105" w:name="_Toc15398621"/>
      <w:bookmarkStart w:id="106" w:name="_Toc5477"/>
      <w:bookmarkStart w:id="107" w:name="_Toc22699"/>
      <w:r>
        <w:rPr>
          <w:rFonts w:hint="eastAsia" w:ascii="方正黑体_GBK" w:hAnsi="方正黑体_GBK" w:eastAsia="方正黑体_GBK" w:cs="方正黑体_GBK"/>
          <w:b/>
          <w:color w:val="auto"/>
          <w:highlight w:val="none"/>
        </w:rPr>
        <w:t>第二章  值班职责</w:t>
      </w:r>
      <w:bookmarkEnd w:id="105"/>
      <w:bookmarkEnd w:id="106"/>
      <w:bookmarkEnd w:id="107"/>
    </w:p>
    <w:p>
      <w:pPr>
        <w:spacing w:line="560" w:lineRule="exact"/>
        <w:ind w:left="420" w:leftChars="200"/>
        <w:rPr>
          <w:rFonts w:ascii="方正黑体_GBK" w:eastAsia="方正黑体_GBK"/>
          <w:b/>
          <w:color w:val="auto"/>
          <w:sz w:val="32"/>
          <w:szCs w:val="32"/>
          <w:highlight w:val="none"/>
        </w:rPr>
      </w:pPr>
    </w:p>
    <w:p>
      <w:pPr>
        <w:spacing w:line="560" w:lineRule="exact"/>
        <w:ind w:firstLine="643" w:firstLineChars="200"/>
        <w:jc w:val="left"/>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第三条</w:t>
      </w:r>
      <w:r>
        <w:rPr>
          <w:rFonts w:hint="eastAsia" w:ascii="方正仿宋_GBK" w:eastAsia="方正仿宋_GBK"/>
          <w:color w:val="auto"/>
          <w:sz w:val="32"/>
          <w:szCs w:val="32"/>
          <w:highlight w:val="none"/>
        </w:rPr>
        <w:t xml:space="preserve">  值班辅导员（班主任）须认真履行职责，严格执行学校规定的值班要求。</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第四条</w:t>
      </w:r>
      <w:r>
        <w:rPr>
          <w:rFonts w:hint="eastAsia" w:ascii="方正仿宋_GBK" w:eastAsia="方正仿宋_GBK"/>
          <w:color w:val="auto"/>
          <w:sz w:val="32"/>
          <w:szCs w:val="32"/>
          <w:highlight w:val="none"/>
        </w:rPr>
        <w:t xml:space="preserve">  辅导员（班主任）在值班期间要积极开展学生思想政治教育、安全教育及宣传工作，切实做好关键对象的教育管理工作。</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第五条</w:t>
      </w:r>
      <w:r>
        <w:rPr>
          <w:rFonts w:hint="eastAsia" w:ascii="方正仿宋_GBK" w:eastAsia="方正仿宋_GBK"/>
          <w:color w:val="auto"/>
          <w:sz w:val="32"/>
          <w:szCs w:val="32"/>
          <w:highlight w:val="none"/>
        </w:rPr>
        <w:t xml:space="preserve">  值班期间如遇突发事件，应当妥当处理并及时向二级学院及相关行政部门报告。</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值班期间接待来访学生及受理学生的求助，为学生提供切实有效的帮助和指导，解决学生在学习、生活、工作、心理等方面遇到的实际问题。</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第七条</w:t>
      </w:r>
      <w:r>
        <w:rPr>
          <w:rFonts w:hint="eastAsia" w:ascii="方正仿宋_GBK" w:eastAsia="方正仿宋_GBK"/>
          <w:color w:val="auto"/>
          <w:sz w:val="32"/>
          <w:szCs w:val="32"/>
          <w:highlight w:val="none"/>
        </w:rPr>
        <w:t xml:space="preserve">  值班期间协助相关部门做好违纪、违法学生的处理及教育管理工作。</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第八条</w:t>
      </w:r>
      <w:r>
        <w:rPr>
          <w:rFonts w:hint="eastAsia" w:ascii="方正仿宋_GBK" w:eastAsia="方正仿宋_GBK"/>
          <w:color w:val="auto"/>
          <w:sz w:val="32"/>
          <w:szCs w:val="32"/>
          <w:highlight w:val="none"/>
        </w:rPr>
        <w:t xml:space="preserve">  值班期间按要求填写值班记录，交接班时做好存在问题及问题处理情况的交接，保证工作的连续性。</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第九条</w:t>
      </w:r>
      <w:r>
        <w:rPr>
          <w:rFonts w:hint="eastAsia" w:ascii="方正仿宋_GBK" w:eastAsia="方正仿宋_GBK"/>
          <w:color w:val="auto"/>
          <w:sz w:val="32"/>
          <w:szCs w:val="32"/>
          <w:highlight w:val="none"/>
        </w:rPr>
        <w:t xml:space="preserve">  完成学校及领导交办的其他工作。</w:t>
      </w:r>
    </w:p>
    <w:p>
      <w:pPr>
        <w:spacing w:line="560" w:lineRule="exact"/>
        <w:ind w:firstLine="640" w:firstLineChars="200"/>
        <w:rPr>
          <w:rFonts w:ascii="方正仿宋_GBK" w:eastAsia="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08" w:name="_Toc6011"/>
      <w:bookmarkStart w:id="109" w:name="_Toc15398622"/>
      <w:bookmarkStart w:id="110" w:name="_Toc14625"/>
      <w:r>
        <w:rPr>
          <w:rFonts w:hint="eastAsia" w:ascii="方正黑体_GBK" w:hAnsi="方正黑体_GBK" w:eastAsia="方正黑体_GBK" w:cs="方正黑体_GBK"/>
          <w:b/>
          <w:bCs w:val="0"/>
          <w:color w:val="auto"/>
          <w:highlight w:val="none"/>
        </w:rPr>
        <w:t>第三章  值班工作要求</w:t>
      </w:r>
      <w:bookmarkEnd w:id="108"/>
      <w:bookmarkEnd w:id="109"/>
      <w:bookmarkEnd w:id="110"/>
    </w:p>
    <w:p>
      <w:pPr>
        <w:spacing w:line="560" w:lineRule="exact"/>
        <w:ind w:left="420" w:leftChars="200"/>
        <w:rPr>
          <w:rFonts w:ascii="方正黑体_GBK" w:eastAsia="方正黑体_GBK"/>
          <w:color w:val="auto"/>
          <w:sz w:val="32"/>
          <w:szCs w:val="32"/>
          <w:highlight w:val="none"/>
        </w:rPr>
      </w:pP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第十条</w:t>
      </w:r>
      <w:r>
        <w:rPr>
          <w:rFonts w:hint="eastAsia" w:ascii="方正仿宋_GBK" w:eastAsia="方正仿宋_GBK"/>
          <w:color w:val="auto"/>
          <w:sz w:val="32"/>
          <w:szCs w:val="32"/>
          <w:highlight w:val="none"/>
        </w:rPr>
        <w:t xml:space="preserve">  周末、节假日由二级学院安排每天不少于1名辅导员（班主任）</w:t>
      </w:r>
      <w:r>
        <w:rPr>
          <w:rFonts w:hint="eastAsia" w:ascii="方正仿宋_GBK" w:eastAsia="方正仿宋_GBK"/>
          <w:color w:val="auto"/>
          <w:sz w:val="32"/>
          <w:szCs w:val="32"/>
          <w:highlight w:val="none"/>
          <w:lang w:val="en-US" w:eastAsia="zh-CN"/>
        </w:rPr>
        <w:t>/校区</w:t>
      </w:r>
      <w:r>
        <w:rPr>
          <w:rFonts w:hint="eastAsia" w:ascii="方正仿宋_GBK" w:eastAsia="方正仿宋_GBK"/>
          <w:color w:val="auto"/>
          <w:sz w:val="32"/>
          <w:szCs w:val="32"/>
          <w:highlight w:val="none"/>
        </w:rPr>
        <w:t>负责值班工作，并向学生工作处报备。</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w:t>
      </w:r>
      <w:r>
        <w:rPr>
          <w:rFonts w:hint="eastAsia" w:ascii="方正仿宋_GBK" w:hAnsi="宋体" w:eastAsia="方正仿宋_GBK"/>
          <w:color w:val="auto"/>
          <w:sz w:val="32"/>
          <w:szCs w:val="32"/>
          <w:highlight w:val="none"/>
        </w:rPr>
        <w:t>严格执行“谁在岗，谁负责”的要求，因值班人员擅自离岗造成的工作延误或责任事故，由值班人员负责。</w:t>
      </w:r>
    </w:p>
    <w:p>
      <w:pPr>
        <w:autoSpaceDN w:val="0"/>
        <w:spacing w:line="560" w:lineRule="exact"/>
        <w:ind w:firstLine="643" w:firstLineChars="200"/>
        <w:rPr>
          <w:rFonts w:ascii="方正仿宋_GBK" w:hAnsi="宋体" w:eastAsia="方正仿宋_GBK"/>
          <w:color w:val="auto"/>
          <w:sz w:val="32"/>
          <w:szCs w:val="32"/>
          <w:highlight w:val="none"/>
        </w:rPr>
      </w:pPr>
      <w:r>
        <w:rPr>
          <w:rFonts w:hint="eastAsia" w:ascii="方正楷体_GBK" w:eastAsia="方正楷体_GBK"/>
          <w:b/>
          <w:color w:val="auto"/>
          <w:sz w:val="32"/>
          <w:szCs w:val="32"/>
          <w:highlight w:val="none"/>
        </w:rPr>
        <w:t>第十二条</w:t>
      </w:r>
      <w:r>
        <w:rPr>
          <w:rFonts w:hint="eastAsia" w:ascii="方正楷体_GBK" w:eastAsia="方正楷体_GBK"/>
          <w:b/>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辅导员（班主任）应按值班安排值班，特殊原因不能按规定值班，应提前1天按相关规定办理替（换）班手续，并向学校办公室和学生工作处报备。</w:t>
      </w:r>
    </w:p>
    <w:p>
      <w:pPr>
        <w:autoSpaceDN w:val="0"/>
        <w:spacing w:line="560" w:lineRule="exact"/>
        <w:ind w:firstLine="643" w:firstLineChars="200"/>
        <w:rPr>
          <w:rFonts w:ascii="方正仿宋_GBK" w:hAnsi="宋体" w:eastAsia="方正仿宋_GBK"/>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楷体_GBK" w:eastAsia="方正楷体_GBK"/>
          <w:b/>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辅导员（班主任）值班期间签到事宜由二级学院负责。学校另有要求的，按学校要求在规定时间内到指定地点签到。</w:t>
      </w:r>
    </w:p>
    <w:p>
      <w:pPr>
        <w:autoSpaceDN w:val="0"/>
        <w:spacing w:line="560" w:lineRule="exact"/>
        <w:ind w:firstLine="643" w:firstLineChars="200"/>
        <w:rPr>
          <w:rFonts w:ascii="方正仿宋_GBK" w:hAnsi="宋体" w:eastAsia="方正仿宋_GBK"/>
          <w:color w:val="auto"/>
          <w:sz w:val="32"/>
          <w:szCs w:val="32"/>
          <w:highlight w:val="none"/>
        </w:rPr>
      </w:pPr>
      <w:r>
        <w:rPr>
          <w:rFonts w:hint="eastAsia" w:ascii="方正楷体_GBK" w:eastAsia="方正楷体_GBK"/>
          <w:b/>
          <w:color w:val="auto"/>
          <w:sz w:val="32"/>
          <w:szCs w:val="32"/>
          <w:highlight w:val="none"/>
        </w:rPr>
        <w:t>第十四条</w:t>
      </w:r>
      <w:r>
        <w:rPr>
          <w:rFonts w:hint="eastAsia" w:ascii="方正楷体_GBK" w:eastAsia="方正楷体_GBK"/>
          <w:b/>
          <w:color w:val="auto"/>
          <w:sz w:val="32"/>
          <w:szCs w:val="32"/>
          <w:highlight w:val="none"/>
          <w:lang w:val="en-US" w:eastAsia="zh-CN"/>
        </w:rPr>
        <w:t xml:space="preserve">  </w:t>
      </w:r>
      <w:r>
        <w:rPr>
          <w:rFonts w:hint="eastAsia" w:ascii="方正仿宋_GBK" w:hAnsi="宋体" w:eastAsia="方正仿宋_GBK"/>
          <w:color w:val="auto"/>
          <w:sz w:val="32"/>
          <w:szCs w:val="32"/>
          <w:highlight w:val="none"/>
        </w:rPr>
        <w:t>值班期间需保持通讯畅通（手机24小时开机），发现问题及时处理并报告，</w:t>
      </w:r>
      <w:r>
        <w:rPr>
          <w:rFonts w:hint="eastAsia" w:ascii="方正仿宋_GBK" w:eastAsia="方正仿宋_GBK"/>
          <w:color w:val="auto"/>
          <w:sz w:val="32"/>
          <w:szCs w:val="32"/>
          <w:highlight w:val="none"/>
        </w:rPr>
        <w:t>学生突发疾病或意外受伤等情况，</w:t>
      </w:r>
      <w:r>
        <w:rPr>
          <w:rFonts w:hint="eastAsia" w:ascii="方正仿宋_GBK" w:hAnsi="宋体" w:eastAsia="方正仿宋_GBK"/>
          <w:color w:val="auto"/>
          <w:sz w:val="32"/>
          <w:szCs w:val="32"/>
          <w:highlight w:val="none"/>
        </w:rPr>
        <w:t>值班辅导员（班主任）须在接到通知后15分钟内赶到现场处置，不能独立处理的事件或情况，应及时向值班领导报告，并积极配合相关部门进行处理。2小时内提交书面情况报告。</w:t>
      </w:r>
    </w:p>
    <w:p>
      <w:pPr>
        <w:autoSpaceDN w:val="0"/>
        <w:spacing w:line="560" w:lineRule="exact"/>
        <w:ind w:firstLine="643" w:firstLineChars="200"/>
        <w:rPr>
          <w:rFonts w:ascii="方正仿宋_GBK" w:hAnsi="宋体" w:eastAsia="方正仿宋_GBK"/>
          <w:color w:val="auto"/>
          <w:sz w:val="32"/>
          <w:szCs w:val="32"/>
          <w:highlight w:val="none"/>
        </w:rPr>
      </w:pPr>
      <w:r>
        <w:rPr>
          <w:rFonts w:hint="eastAsia" w:ascii="方正楷体_GBK" w:eastAsia="方正楷体_GBK"/>
          <w:b/>
          <w:color w:val="auto"/>
          <w:sz w:val="32"/>
          <w:szCs w:val="32"/>
          <w:highlight w:val="none"/>
        </w:rPr>
        <w:t>第十五条</w:t>
      </w:r>
      <w:r>
        <w:rPr>
          <w:rFonts w:hint="eastAsia" w:ascii="方正仿宋_GBK" w:hAnsi="宋体" w:eastAsia="方正仿宋_GBK"/>
          <w:color w:val="auto"/>
          <w:sz w:val="32"/>
          <w:szCs w:val="32"/>
          <w:highlight w:val="none"/>
        </w:rPr>
        <w:t xml:space="preserve">  值班辅导员（班主任）要坚守岗位，严禁迟到、早退、擅自脱岗、无故不到岗。值班期间未经允许不得擅自离校。</w:t>
      </w:r>
    </w:p>
    <w:p>
      <w:pPr>
        <w:autoSpaceDN w:val="0"/>
        <w:spacing w:line="560" w:lineRule="exact"/>
        <w:ind w:firstLine="643" w:firstLineChars="200"/>
        <w:rPr>
          <w:rFonts w:ascii="方正仿宋_GBK" w:hAnsi="宋体" w:eastAsia="方正仿宋_GBK"/>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111" w:name="_Toc12767"/>
      <w:bookmarkStart w:id="112" w:name="_Toc29031"/>
      <w:bookmarkStart w:id="113" w:name="_Toc15398623"/>
      <w:r>
        <w:rPr>
          <w:rFonts w:hint="eastAsia" w:ascii="方正黑体_GBK" w:hAnsi="方正黑体_GBK" w:eastAsia="方正黑体_GBK" w:cs="方正黑体_GBK"/>
          <w:b/>
          <w:color w:val="auto"/>
          <w:highlight w:val="none"/>
        </w:rPr>
        <w:t>第四章  值班注意事项</w:t>
      </w:r>
      <w:bookmarkEnd w:id="111"/>
      <w:bookmarkEnd w:id="112"/>
      <w:bookmarkEnd w:id="113"/>
    </w:p>
    <w:p>
      <w:pPr>
        <w:spacing w:line="560" w:lineRule="exact"/>
        <w:ind w:left="420" w:leftChars="200"/>
        <w:rPr>
          <w:rFonts w:ascii="方正黑体_GBK" w:eastAsia="方正黑体_GBK"/>
          <w:color w:val="auto"/>
          <w:sz w:val="32"/>
          <w:szCs w:val="32"/>
          <w:highlight w:val="none"/>
        </w:rPr>
      </w:pPr>
    </w:p>
    <w:p>
      <w:pPr>
        <w:spacing w:line="560" w:lineRule="exact"/>
        <w:ind w:firstLine="643" w:firstLineChars="200"/>
        <w:jc w:val="left"/>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第十六条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辅导员（班主任）要按照本办法的要求，高度重视值班工作，切实履行辅导员（班主任）值班职责。</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第十七条</w:t>
      </w:r>
      <w:r>
        <w:rPr>
          <w:rFonts w:hint="eastAsia" w:ascii="方正仿宋_GBK" w:eastAsia="方正仿宋_GBK"/>
          <w:color w:val="auto"/>
          <w:sz w:val="32"/>
          <w:szCs w:val="32"/>
          <w:highlight w:val="none"/>
        </w:rPr>
        <w:t xml:space="preserve">  辅导员（班主任）值班情况纳入辅导员（班主任）考核，不认真履行值班职责或不按值班要求工作的，根据调查情况给予通报，扣除相应值班补贴，当月考核为“不合格”。</w:t>
      </w:r>
    </w:p>
    <w:p>
      <w:pPr>
        <w:spacing w:line="560" w:lineRule="exact"/>
        <w:ind w:firstLine="643" w:firstLineChars="200"/>
        <w:rPr>
          <w:rFonts w:hint="eastAsia" w:ascii="方正仿宋_GBK" w:eastAsia="方正仿宋_GBK"/>
          <w:color w:val="auto"/>
          <w:sz w:val="32"/>
          <w:szCs w:val="32"/>
          <w:highlight w:val="none"/>
          <w:lang w:val="en-US" w:eastAsia="zh-CN"/>
        </w:rPr>
      </w:pPr>
      <w:r>
        <w:rPr>
          <w:rFonts w:hint="eastAsia" w:ascii="方正楷体_GBK" w:eastAsia="方正楷体_GBK"/>
          <w:b/>
          <w:color w:val="auto"/>
          <w:sz w:val="32"/>
          <w:szCs w:val="32"/>
          <w:highlight w:val="none"/>
          <w:lang w:val="en-US" w:eastAsia="zh-CN"/>
        </w:rPr>
        <w:t>第十八条  值班人员的奖惩</w:t>
      </w:r>
    </w:p>
    <w:p>
      <w:pPr>
        <w:spacing w:line="560" w:lineRule="exact"/>
        <w:ind w:firstLine="640" w:firstLineChars="200"/>
        <w:rPr>
          <w:rFonts w:hint="eastAsia" w:ascii="方正仿宋_GBK" w:eastAsia="方正仿宋_GBK"/>
          <w:color w:val="auto"/>
          <w:sz w:val="32"/>
          <w:szCs w:val="32"/>
          <w:highlight w:val="none"/>
          <w:lang w:val="en-US" w:eastAsia="zh-CN"/>
        </w:rPr>
      </w:pPr>
      <w:r>
        <w:rPr>
          <w:rFonts w:hint="eastAsia" w:ascii="方正仿宋_GBK" w:eastAsia="方正仿宋_GBK"/>
          <w:color w:val="auto"/>
          <w:sz w:val="32"/>
          <w:szCs w:val="32"/>
          <w:highlight w:val="none"/>
          <w:lang w:val="en-US" w:eastAsia="zh-CN"/>
        </w:rPr>
        <w:t>（一）对在值班中认真履行工作职责,及时发现和消除安全事件，保护学校财产不受损失等突出表现者，学校将给予表扬和奖励；</w:t>
      </w:r>
    </w:p>
    <w:p>
      <w:pPr>
        <w:spacing w:line="560" w:lineRule="exact"/>
        <w:ind w:firstLine="640" w:firstLineChars="200"/>
        <w:rPr>
          <w:rFonts w:hint="eastAsia" w:ascii="方正仿宋_GBK" w:eastAsia="方正仿宋_GBK"/>
          <w:color w:val="auto"/>
          <w:sz w:val="32"/>
          <w:szCs w:val="32"/>
          <w:highlight w:val="none"/>
          <w:lang w:val="en-US" w:eastAsia="zh-CN"/>
        </w:rPr>
      </w:pPr>
      <w:r>
        <w:rPr>
          <w:rFonts w:hint="eastAsia" w:ascii="方正仿宋_GBK" w:eastAsia="方正仿宋_GBK"/>
          <w:color w:val="auto"/>
          <w:sz w:val="32"/>
          <w:szCs w:val="32"/>
          <w:highlight w:val="none"/>
          <w:lang w:val="en-US" w:eastAsia="zh-CN"/>
        </w:rPr>
        <w:t>（二）对违反值班制度、工作失职、误班漏值、擅离值班岗位，给工作造成影响、损失及安全后果者,视情节轻重，</w:t>
      </w:r>
      <w:r>
        <w:rPr>
          <w:rFonts w:hint="eastAsia" w:ascii="方正仿宋_GBK" w:eastAsia="方正仿宋_GBK"/>
          <w:color w:val="auto"/>
          <w:sz w:val="32"/>
          <w:szCs w:val="32"/>
          <w:highlight w:val="none"/>
        </w:rPr>
        <w:t>严肃追究其责任</w:t>
      </w:r>
      <w:r>
        <w:rPr>
          <w:rFonts w:hint="eastAsia" w:ascii="方正仿宋_GBK" w:eastAsia="方正仿宋_GBK"/>
          <w:color w:val="auto"/>
          <w:sz w:val="32"/>
          <w:szCs w:val="32"/>
          <w:highlight w:val="none"/>
          <w:lang w:val="en-US" w:eastAsia="zh-CN"/>
        </w:rPr>
        <w:t>。</w:t>
      </w:r>
    </w:p>
    <w:p>
      <w:pPr>
        <w:spacing w:line="560" w:lineRule="exact"/>
        <w:ind w:firstLine="643" w:firstLineChars="200"/>
        <w:rPr>
          <w:rFonts w:ascii="方正仿宋_GBK" w:eastAsia="方正仿宋_GBK"/>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114" w:name="_Toc17656"/>
      <w:bookmarkStart w:id="115" w:name="_Toc28168"/>
      <w:bookmarkStart w:id="116" w:name="_Toc15398624"/>
      <w:r>
        <w:rPr>
          <w:rFonts w:hint="eastAsia" w:ascii="方正黑体_GBK" w:hAnsi="方正黑体_GBK" w:eastAsia="方正黑体_GBK" w:cs="方正黑体_GBK"/>
          <w:b/>
          <w:color w:val="auto"/>
          <w:highlight w:val="none"/>
        </w:rPr>
        <w:t>第五章  附则</w:t>
      </w:r>
      <w:bookmarkEnd w:id="114"/>
      <w:bookmarkEnd w:id="115"/>
      <w:bookmarkEnd w:id="116"/>
    </w:p>
    <w:p>
      <w:pPr>
        <w:spacing w:line="560" w:lineRule="exact"/>
        <w:ind w:left="420" w:leftChars="200"/>
        <w:rPr>
          <w:rFonts w:ascii="方正黑体_GBK" w:eastAsia="方正黑体_GBK"/>
          <w:color w:val="auto"/>
          <w:sz w:val="32"/>
          <w:szCs w:val="32"/>
          <w:highlight w:val="none"/>
        </w:rPr>
      </w:pP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w:t>
      </w:r>
      <w:r>
        <w:rPr>
          <w:rFonts w:hint="eastAsia" w:ascii="方正楷体_GBK" w:eastAsia="方正楷体_GBK"/>
          <w:b/>
          <w:color w:val="auto"/>
          <w:sz w:val="32"/>
          <w:szCs w:val="32"/>
          <w:highlight w:val="none"/>
          <w:lang w:val="en-US" w:eastAsia="zh-CN"/>
        </w:rPr>
        <w:t>十九</w:t>
      </w:r>
      <w:r>
        <w:rPr>
          <w:rFonts w:hint="eastAsia" w:ascii="方正楷体_GBK" w:eastAsia="方正楷体_GBK"/>
          <w:b/>
          <w:color w:val="auto"/>
          <w:sz w:val="32"/>
          <w:szCs w:val="32"/>
          <w:highlight w:val="none"/>
        </w:rPr>
        <w:t>条</w:t>
      </w:r>
      <w:r>
        <w:rPr>
          <w:rFonts w:hint="eastAsia" w:ascii="方正仿宋_GBK" w:eastAsia="方正仿宋_GBK"/>
          <w:color w:val="auto"/>
          <w:sz w:val="32"/>
          <w:szCs w:val="32"/>
          <w:highlight w:val="none"/>
        </w:rPr>
        <w:t xml:space="preserve">  本办法由学生工作处负责解释。</w:t>
      </w:r>
    </w:p>
    <w:p>
      <w:pPr>
        <w:spacing w:line="560" w:lineRule="exact"/>
        <w:ind w:firstLine="643" w:firstLineChars="200"/>
        <w:rPr>
          <w:color w:val="auto"/>
          <w:highlight w:val="none"/>
        </w:rPr>
      </w:pPr>
      <w:r>
        <w:rPr>
          <w:rFonts w:hint="eastAsia" w:ascii="方正楷体_GBK" w:eastAsia="方正楷体_GBK"/>
          <w:b/>
          <w:color w:val="auto"/>
          <w:sz w:val="32"/>
          <w:szCs w:val="32"/>
          <w:highlight w:val="none"/>
        </w:rPr>
        <w:t>第二十条</w:t>
      </w:r>
      <w:r>
        <w:rPr>
          <w:rFonts w:hint="eastAsia" w:ascii="方正仿宋_GBK" w:eastAsia="方正仿宋_GBK"/>
          <w:color w:val="auto"/>
          <w:sz w:val="32"/>
          <w:szCs w:val="32"/>
          <w:highlight w:val="none"/>
        </w:rPr>
        <w:t xml:space="preserve">  本办法自202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年9月1日起实施</w:t>
      </w:r>
      <w:r>
        <w:rPr>
          <w:rFonts w:hint="eastAsia" w:ascii="方正仿宋_GBK" w:eastAsia="方正仿宋_GBK"/>
          <w:color w:val="auto"/>
          <w:sz w:val="32"/>
          <w:szCs w:val="32"/>
          <w:highlight w:val="none"/>
          <w:lang w:eastAsia="zh-CN"/>
        </w:rPr>
        <w:t>。</w:t>
      </w:r>
    </w:p>
    <w:p>
      <w:pPr>
        <w:pStyle w:val="2"/>
        <w:pageBreakBefore w:val="0"/>
        <w:kinsoku/>
        <w:wordWrap/>
        <w:overflowPunct/>
        <w:topLinePunct w:val="0"/>
        <w:autoSpaceDE/>
        <w:autoSpaceDN/>
        <w:bidi w:val="0"/>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highlight w:val="none"/>
        </w:rPr>
      </w:pPr>
    </w:p>
    <w:p>
      <w:pPr>
        <w:pStyle w:val="2"/>
        <w:pageBreakBefore w:val="0"/>
        <w:kinsoku/>
        <w:wordWrap/>
        <w:overflowPunct/>
        <w:topLinePunct w:val="0"/>
        <w:autoSpaceDE/>
        <w:autoSpaceDN/>
        <w:bidi w:val="0"/>
        <w:spacing w:before="0" w:beforeLines="0" w:line="560" w:lineRule="exact"/>
        <w:ind w:firstLine="0" w:firstLineChars="0"/>
        <w:textAlignment w:val="auto"/>
        <w:rPr>
          <w:color w:val="auto"/>
          <w:highlight w:val="none"/>
        </w:rPr>
      </w:pPr>
      <w:bookmarkStart w:id="117" w:name="_Toc31938"/>
      <w:r>
        <w:rPr>
          <w:rFonts w:hint="eastAsia" w:ascii="方正小标宋_GBK" w:hAnsi="方正小标宋_GBK" w:eastAsia="方正小标宋_GBK" w:cs="方正小标宋_GBK"/>
          <w:color w:val="auto"/>
          <w:highlight w:val="none"/>
        </w:rPr>
        <w:t>云南城市建设职业学院主题班会管理办法（试行）</w:t>
      </w:r>
      <w:bookmarkEnd w:id="117"/>
    </w:p>
    <w:p>
      <w:pPr>
        <w:pageBreakBefore w:val="0"/>
        <w:kinsoku/>
        <w:wordWrap/>
        <w:overflowPunct/>
        <w:topLinePunct w:val="0"/>
        <w:autoSpaceDE/>
        <w:autoSpaceDN/>
        <w:bidi w:val="0"/>
        <w:spacing w:line="560" w:lineRule="exact"/>
        <w:ind w:firstLine="640" w:firstLineChars="200"/>
        <w:jc w:val="left"/>
        <w:textAlignment w:val="auto"/>
        <w:rPr>
          <w:rFonts w:ascii="方正黑体_GBK" w:hAnsi="方正黑体_GBK" w:eastAsia="方正黑体_GBK" w:cs="方正黑体_GBK"/>
          <w:color w:val="auto"/>
          <w:sz w:val="32"/>
          <w:szCs w:val="32"/>
          <w:highlight w:val="none"/>
        </w:rPr>
      </w:pPr>
    </w:p>
    <w:p>
      <w:pPr>
        <w:pageBreakBefore w:val="0"/>
        <w:kinsoku/>
        <w:wordWrap/>
        <w:overflowPunct/>
        <w:topLinePunct w:val="0"/>
        <w:autoSpaceDE/>
        <w:autoSpaceDN/>
        <w:bidi w:val="0"/>
        <w:spacing w:line="560" w:lineRule="exact"/>
        <w:ind w:firstLine="640" w:firstLineChars="200"/>
        <w:jc w:val="left"/>
        <w:textAlignment w:val="auto"/>
        <w:rPr>
          <w:rFonts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rPr>
        <w:t>为进一步强化学生管理，增强学生安全意识和纪律观念，</w:t>
      </w:r>
      <w:r>
        <w:rPr>
          <w:rFonts w:hint="eastAsia" w:ascii="方正仿宋_GBK" w:hAnsi="华文仿宋" w:eastAsia="方正仿宋_GBK" w:cs="Times New Roman"/>
          <w:color w:val="auto"/>
          <w:sz w:val="32"/>
          <w:szCs w:val="32"/>
          <w:highlight w:val="none"/>
        </w:rPr>
        <w:t>培养学生良好的生活</w:t>
      </w:r>
      <w:r>
        <w:rPr>
          <w:rFonts w:hint="eastAsia" w:ascii="方正仿宋_GBK" w:hAnsi="华文仿宋" w:eastAsia="方正仿宋_GBK" w:cs="宋体"/>
          <w:color w:val="auto"/>
          <w:sz w:val="32"/>
          <w:szCs w:val="32"/>
          <w:highlight w:val="none"/>
        </w:rPr>
        <w:t>﹑</w:t>
      </w:r>
      <w:r>
        <w:rPr>
          <w:rFonts w:hint="eastAsia" w:ascii="方正仿宋_GBK" w:hAnsi="华文仿宋" w:eastAsia="方正仿宋_GBK" w:cs="Times New Roman"/>
          <w:color w:val="auto"/>
          <w:sz w:val="32"/>
          <w:szCs w:val="32"/>
          <w:highlight w:val="none"/>
        </w:rPr>
        <w:t>学习习惯，</w:t>
      </w:r>
      <w:r>
        <w:rPr>
          <w:rFonts w:hint="eastAsia" w:ascii="方正仿宋_GBK" w:hAnsi="宋体" w:eastAsia="方正仿宋_GBK" w:cs="Times New Roman"/>
          <w:color w:val="auto"/>
          <w:sz w:val="32"/>
          <w:szCs w:val="32"/>
          <w:highlight w:val="none"/>
        </w:rPr>
        <w:t>促进辅导员（班主任）深入了解学生状况，掌握学生动向，严防事故发生，结合学校实际，制订本办法。</w:t>
      </w:r>
    </w:p>
    <w:p>
      <w:pPr>
        <w:pageBreakBefore w:val="0"/>
        <w:kinsoku/>
        <w:wordWrap/>
        <w:overflowPunct/>
        <w:topLinePunct w:val="0"/>
        <w:autoSpaceDE/>
        <w:autoSpaceDN/>
        <w:bidi w:val="0"/>
        <w:spacing w:line="560" w:lineRule="exact"/>
        <w:ind w:firstLine="643" w:firstLineChars="200"/>
        <w:textAlignment w:val="auto"/>
        <w:rPr>
          <w:rFonts w:ascii="方正楷体_GBK" w:hAnsi="宋体" w:eastAsia="方正楷体_GBK" w:cs="Times New Roman"/>
          <w:color w:val="auto"/>
          <w:sz w:val="32"/>
          <w:szCs w:val="32"/>
          <w:highlight w:val="none"/>
        </w:rPr>
      </w:pPr>
      <w:r>
        <w:rPr>
          <w:rFonts w:hint="eastAsia" w:ascii="方正楷体_GBK" w:hAnsi="宋体" w:eastAsia="方正楷体_GBK" w:cs="Times New Roman"/>
          <w:b/>
          <w:color w:val="auto"/>
          <w:sz w:val="32"/>
          <w:szCs w:val="32"/>
          <w:highlight w:val="none"/>
        </w:rPr>
        <w:t>第一条</w:t>
      </w:r>
      <w:r>
        <w:rPr>
          <w:rFonts w:hint="eastAsia" w:ascii="方正楷体_GBK" w:hAnsi="宋体" w:eastAsia="方正楷体_GBK" w:cs="Times New Roman"/>
          <w:color w:val="auto"/>
          <w:sz w:val="32"/>
          <w:szCs w:val="32"/>
          <w:highlight w:val="none"/>
        </w:rPr>
        <w:t xml:space="preserve">  </w:t>
      </w:r>
      <w:r>
        <w:rPr>
          <w:rFonts w:hint="eastAsia" w:ascii="方正仿宋_GBK" w:hAnsi="宋体" w:eastAsia="方正仿宋_GBK" w:cs="Times New Roman"/>
          <w:color w:val="auto"/>
          <w:sz w:val="32"/>
          <w:szCs w:val="32"/>
          <w:highlight w:val="none"/>
        </w:rPr>
        <w:t>主题班会时间</w:t>
      </w:r>
    </w:p>
    <w:p>
      <w:pPr>
        <w:pageBreakBefore w:val="0"/>
        <w:kinsoku/>
        <w:wordWrap/>
        <w:overflowPunct/>
        <w:topLinePunct w:val="0"/>
        <w:autoSpaceDE/>
        <w:autoSpaceDN/>
        <w:bidi w:val="0"/>
        <w:spacing w:line="560" w:lineRule="exact"/>
        <w:ind w:firstLine="640" w:firstLineChars="200"/>
        <w:textAlignment w:val="auto"/>
        <w:rPr>
          <w:rFonts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rPr>
        <w:t>（一）周末：每个星期天17：00-20：00；</w:t>
      </w:r>
    </w:p>
    <w:p>
      <w:pPr>
        <w:pageBreakBefore w:val="0"/>
        <w:kinsoku/>
        <w:wordWrap/>
        <w:overflowPunct/>
        <w:topLinePunct w:val="0"/>
        <w:autoSpaceDE/>
        <w:autoSpaceDN/>
        <w:bidi w:val="0"/>
        <w:spacing w:line="560" w:lineRule="exact"/>
        <w:ind w:firstLine="640" w:firstLineChars="200"/>
        <w:textAlignment w:val="auto"/>
        <w:rPr>
          <w:rFonts w:ascii="方正仿宋_GBK" w:hAnsi="宋体" w:eastAsia="方正仿宋_GBK" w:cs="Times New Roman"/>
          <w:color w:val="auto"/>
          <w:sz w:val="32"/>
          <w:szCs w:val="32"/>
          <w:highlight w:val="none"/>
        </w:rPr>
      </w:pPr>
      <w:r>
        <w:rPr>
          <w:rFonts w:hint="eastAsia" w:ascii="方正仿宋_GBK" w:hAnsi="宋体" w:eastAsia="方正仿宋_GBK" w:cs="Times New Roman"/>
          <w:color w:val="auto"/>
          <w:sz w:val="32"/>
          <w:szCs w:val="32"/>
          <w:highlight w:val="none"/>
        </w:rPr>
        <w:t>（二）节假日：节假日收假当天的17：00-20：00；</w:t>
      </w:r>
    </w:p>
    <w:p>
      <w:pPr>
        <w:spacing w:line="560" w:lineRule="exact"/>
        <w:ind w:firstLine="643"/>
        <w:rPr>
          <w:rFonts w:ascii="Times New Roman" w:hAnsi="Times New Roman" w:eastAsia="方正仿宋_GBK" w:cs="Times New Roman"/>
          <w:color w:val="auto"/>
          <w:sz w:val="32"/>
          <w:szCs w:val="32"/>
          <w:highlight w:val="none"/>
        </w:rPr>
      </w:pPr>
      <w:r>
        <w:rPr>
          <w:rFonts w:hint="eastAsia" w:ascii="方正楷体_GBK" w:hAnsi="Times New Roman" w:eastAsia="方正楷体_GBK" w:cs="Times New Roman"/>
          <w:b/>
          <w:color w:val="auto"/>
          <w:sz w:val="32"/>
          <w:szCs w:val="32"/>
          <w:highlight w:val="none"/>
        </w:rPr>
        <w:t>第二条</w:t>
      </w:r>
      <w:r>
        <w:rPr>
          <w:rFonts w:hint="eastAsia" w:ascii="方正楷体_GBK" w:hAnsi="Times New Roman" w:eastAsia="方正楷体_GBK" w:cs="Times New Roman"/>
          <w:b/>
          <w:color w:val="auto"/>
          <w:sz w:val="32"/>
          <w:szCs w:val="32"/>
          <w:highlight w:val="none"/>
          <w:lang w:val="en-US" w:eastAsia="zh-CN"/>
        </w:rPr>
        <w:t xml:space="preserve">  </w:t>
      </w:r>
      <w:r>
        <w:rPr>
          <w:rFonts w:hint="eastAsia" w:ascii="方正仿宋_GBK" w:hAnsi="Times New Roman" w:eastAsia="方正仿宋_GBK" w:cs="Times New Roman"/>
          <w:color w:val="auto"/>
          <w:sz w:val="32"/>
          <w:szCs w:val="32"/>
          <w:highlight w:val="none"/>
        </w:rPr>
        <w:t>主题班会期间实行晚点名制度，晚点名对象为</w:t>
      </w:r>
      <w:r>
        <w:rPr>
          <w:rFonts w:hint="eastAsia" w:ascii="方正仿宋_GBK" w:hAnsi="方正仿宋_GBK" w:eastAsia="方正仿宋_GBK" w:cs="方正仿宋_GBK"/>
          <w:color w:val="auto"/>
          <w:kern w:val="0"/>
          <w:sz w:val="32"/>
          <w:szCs w:val="32"/>
          <w:highlight w:val="none"/>
        </w:rPr>
        <w:t>学校依据国家有关政策招收的具有全日制学籍的在校学生，</w:t>
      </w:r>
      <w:r>
        <w:rPr>
          <w:rFonts w:hint="eastAsia" w:ascii="Times New Roman" w:hAnsi="Times New Roman" w:eastAsia="方正仿宋_GBK" w:cs="Times New Roman"/>
          <w:color w:val="auto"/>
          <w:sz w:val="32"/>
          <w:szCs w:val="32"/>
          <w:highlight w:val="none"/>
        </w:rPr>
        <w:t>包括三年制中专、五年制大专、三年制大专学生以及高职扩招学生（以下简称学生）。</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kern w:val="0"/>
          <w:sz w:val="32"/>
          <w:szCs w:val="32"/>
          <w:highlight w:val="none"/>
        </w:rPr>
      </w:pP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宋体"/>
          <w:color w:val="auto"/>
          <w:kern w:val="0"/>
          <w:sz w:val="32"/>
          <w:szCs w:val="32"/>
          <w:highlight w:val="none"/>
        </w:rPr>
      </w:pPr>
      <w:r>
        <w:rPr>
          <w:rFonts w:hint="eastAsia" w:ascii="方正楷体_GBK" w:hAnsi="宋体" w:eastAsia="方正楷体_GBK" w:cs="Times New Roman"/>
          <w:b/>
          <w:color w:val="auto"/>
          <w:sz w:val="32"/>
          <w:szCs w:val="32"/>
          <w:highlight w:val="none"/>
        </w:rPr>
        <w:t>第三条</w:t>
      </w:r>
      <w:r>
        <w:rPr>
          <w:rFonts w:hint="eastAsia" w:ascii="方正仿宋_GBK" w:hAnsi="宋体" w:eastAsia="方正仿宋_GBK" w:cs="宋体"/>
          <w:color w:val="auto"/>
          <w:kern w:val="0"/>
          <w:sz w:val="32"/>
          <w:szCs w:val="32"/>
          <w:highlight w:val="none"/>
        </w:rPr>
        <w:t xml:space="preserve">  辅导员（班主任）作为主题班会工作的第一责任人，应当按学校要求返校，负责所带班级学生的返校督促工作。</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第四条</w:t>
      </w:r>
      <w:r>
        <w:rPr>
          <w:rFonts w:hint="eastAsia" w:ascii="方正仿宋_GBK" w:hAnsi="宋体" w:eastAsia="方正仿宋_GBK" w:cs="Times New Roman"/>
          <w:color w:val="auto"/>
          <w:sz w:val="32"/>
          <w:szCs w:val="32"/>
          <w:highlight w:val="none"/>
        </w:rPr>
        <w:t xml:space="preserve">  学生本人应当按要求到达辅导员（班主任）指定的地点进行签到（打卡）及参加主题班会；特殊情况不能按要求到达指定地点的，须学生本人或监护人按规定履行请假手续。</w:t>
      </w:r>
    </w:p>
    <w:p>
      <w:pPr>
        <w:pageBreakBefore w:val="0"/>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第五条</w:t>
      </w:r>
      <w:r>
        <w:rPr>
          <w:rFonts w:hint="eastAsia" w:ascii="方正仿宋_GBK" w:hAnsi="宋体" w:eastAsia="方正仿宋_GBK" w:cs="Times New Roman"/>
          <w:color w:val="auto"/>
          <w:sz w:val="32"/>
          <w:szCs w:val="32"/>
          <w:highlight w:val="none"/>
        </w:rPr>
        <w:t xml:space="preserve">  辅导员（班主任）应认真核实学生请假事由。特殊情况无法按要求履行请假手续的，学生本人或监护人应当以短信形式向辅导员（班主任）请假，并在返校后1个工作日内补齐相关手续。</w:t>
      </w:r>
    </w:p>
    <w:p>
      <w:pPr>
        <w:pageBreakBefore w:val="0"/>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 xml:space="preserve">第六条  </w:t>
      </w:r>
      <w:r>
        <w:rPr>
          <w:rFonts w:hint="eastAsia" w:ascii="方正仿宋_GBK" w:hAnsi="宋体" w:eastAsia="方正仿宋_GBK" w:cs="Times New Roman"/>
          <w:color w:val="auto"/>
          <w:sz w:val="32"/>
          <w:szCs w:val="32"/>
          <w:highlight w:val="none"/>
        </w:rPr>
        <w:t xml:space="preserve">辅导员（班主任）负责按要求对未按时返校参加主题班会及未履行请假手续的学生进行跟踪，做好家校联系记录，落实具体情况，避免出现安全隐患。 </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宋体"/>
          <w:color w:val="auto"/>
          <w:kern w:val="0"/>
          <w:sz w:val="32"/>
          <w:szCs w:val="32"/>
          <w:highlight w:val="none"/>
        </w:rPr>
      </w:pPr>
      <w:r>
        <w:rPr>
          <w:rFonts w:hint="eastAsia" w:ascii="方正楷体_GBK" w:hAnsi="宋体" w:eastAsia="方正楷体_GBK" w:cs="Times New Roman"/>
          <w:b/>
          <w:color w:val="auto"/>
          <w:sz w:val="32"/>
          <w:szCs w:val="32"/>
          <w:highlight w:val="none"/>
        </w:rPr>
        <w:t xml:space="preserve">第七条  </w:t>
      </w:r>
      <w:r>
        <w:rPr>
          <w:rFonts w:hint="eastAsia" w:ascii="方正仿宋_GBK" w:hAnsi="宋体" w:eastAsia="方正仿宋_GBK" w:cs="宋体"/>
          <w:color w:val="auto"/>
          <w:kern w:val="0"/>
          <w:sz w:val="32"/>
          <w:szCs w:val="32"/>
          <w:highlight w:val="none"/>
        </w:rPr>
        <w:t>辅导员（班主任）按照学校（学院）指定的班会内容，结合学生特点和专业特色，通过集中宣讲、视频观看、主题报告、主题演讲、案例学习、经验交流、素质拓展等方式组织开展班会。</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第八条</w:t>
      </w:r>
      <w:r>
        <w:rPr>
          <w:rFonts w:hint="eastAsia" w:ascii="方正仿宋_GBK" w:hAnsi="宋体" w:eastAsia="方正仿宋_GBK" w:cs="Times New Roman"/>
          <w:color w:val="auto"/>
          <w:sz w:val="32"/>
          <w:szCs w:val="32"/>
          <w:highlight w:val="none"/>
        </w:rPr>
        <w:t xml:space="preserve">  辅导员（班主任）组织班会活动时，应传达上级部门和学校的有关指示精神，开展安全教育等工作，认真做好班会记录。</w:t>
      </w:r>
      <w:r>
        <w:rPr>
          <w:rFonts w:hint="eastAsia" w:ascii="方正仿宋_GBK" w:hAnsi="Times New Roman" w:eastAsia="方正仿宋_GBK" w:cs="Times New Roman"/>
          <w:color w:val="auto"/>
          <w:sz w:val="32"/>
          <w:szCs w:val="32"/>
          <w:highlight w:val="none"/>
        </w:rPr>
        <w:t xml:space="preserve"> </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第九条</w:t>
      </w:r>
      <w:r>
        <w:rPr>
          <w:rFonts w:hint="eastAsia" w:ascii="方正仿宋_GBK" w:hAnsi="宋体" w:eastAsia="方正仿宋_GBK" w:cs="Times New Roman"/>
          <w:b/>
          <w:color w:val="auto"/>
          <w:sz w:val="32"/>
          <w:szCs w:val="32"/>
          <w:highlight w:val="none"/>
        </w:rPr>
        <w:t xml:space="preserve"> </w:t>
      </w:r>
      <w:r>
        <w:rPr>
          <w:rFonts w:hint="eastAsia" w:ascii="方正仿宋_GBK" w:hAnsi="宋体" w:eastAsia="方正仿宋_GBK" w:cs="Times New Roman"/>
          <w:color w:val="auto"/>
          <w:sz w:val="32"/>
          <w:szCs w:val="32"/>
          <w:highlight w:val="none"/>
        </w:rPr>
        <w:t xml:space="preserve"> 辅导员（班主任）将所带班级学生的返校情况向二级学院汇报，保证数据的准确性、及时性。</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第十条</w:t>
      </w:r>
      <w:r>
        <w:rPr>
          <w:rFonts w:hint="eastAsia" w:ascii="方正仿宋_GBK" w:hAnsi="宋体" w:eastAsia="方正仿宋_GBK" w:cs="Times New Roman"/>
          <w:b/>
          <w:color w:val="auto"/>
          <w:sz w:val="32"/>
          <w:szCs w:val="32"/>
          <w:highlight w:val="none"/>
        </w:rPr>
        <w:t xml:space="preserve"> </w:t>
      </w:r>
      <w:r>
        <w:rPr>
          <w:rFonts w:hint="eastAsia" w:ascii="方正仿宋_GBK" w:hAnsi="宋体" w:eastAsia="方正仿宋_GBK" w:cs="Times New Roman"/>
          <w:color w:val="auto"/>
          <w:sz w:val="32"/>
          <w:szCs w:val="32"/>
          <w:highlight w:val="none"/>
        </w:rPr>
        <w:t xml:space="preserve"> 二级学院应做好辅导员（班主任）返校管理和督促工作，组织</w:t>
      </w:r>
      <w:r>
        <w:rPr>
          <w:rFonts w:hint="eastAsia" w:ascii="方正仿宋_GBK" w:hAnsi="方正仿宋_GBK" w:eastAsia="方正仿宋_GBK" w:cs="方正仿宋_GBK"/>
          <w:color w:val="auto"/>
          <w:kern w:val="0"/>
          <w:sz w:val="32"/>
          <w:szCs w:val="32"/>
          <w:highlight w:val="none"/>
        </w:rPr>
        <w:t>高职扩招及毕业班开展线上班会，</w:t>
      </w:r>
      <w:r>
        <w:rPr>
          <w:rFonts w:hint="eastAsia" w:ascii="方正仿宋_GBK" w:hAnsi="宋体" w:eastAsia="方正仿宋_GBK" w:cs="Times New Roman"/>
          <w:color w:val="auto"/>
          <w:sz w:val="32"/>
          <w:szCs w:val="32"/>
          <w:highlight w:val="none"/>
        </w:rPr>
        <w:t>并做好班会巡查工作；在学校规定时间内，向学生工作处报送学生返校情况。</w:t>
      </w:r>
    </w:p>
    <w:p>
      <w:pPr>
        <w:pageBreakBefore w:val="0"/>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第十一条</w:t>
      </w:r>
      <w:r>
        <w:rPr>
          <w:rFonts w:hint="eastAsia" w:ascii="方正仿宋_GBK" w:hAnsi="宋体" w:eastAsia="方正仿宋_GBK" w:cs="Times New Roman"/>
          <w:color w:val="auto"/>
          <w:sz w:val="32"/>
          <w:szCs w:val="32"/>
          <w:highlight w:val="none"/>
        </w:rPr>
        <w:t xml:space="preserve">  学生工作处汇总全校的返校情况，向学校分管领导汇报，并对辅导员（班主任）到岗情况、晚点名工作情况、主题班会开展等情况进行督导。</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第十二条</w:t>
      </w:r>
      <w:r>
        <w:rPr>
          <w:rFonts w:hint="eastAsia" w:ascii="方正仿宋_GBK" w:hAnsi="Times New Roman" w:eastAsia="方正仿宋_GBK" w:cs="Times New Roman"/>
          <w:b/>
          <w:color w:val="auto"/>
          <w:sz w:val="32"/>
          <w:szCs w:val="32"/>
          <w:highlight w:val="none"/>
        </w:rPr>
        <w:t xml:space="preserve">  </w:t>
      </w:r>
      <w:r>
        <w:rPr>
          <w:rFonts w:hint="eastAsia" w:ascii="方正仿宋_GBK" w:hAnsi="Times New Roman" w:eastAsia="方正仿宋_GBK" w:cs="Times New Roman"/>
          <w:bCs/>
          <w:color w:val="auto"/>
          <w:sz w:val="32"/>
          <w:szCs w:val="32"/>
          <w:highlight w:val="none"/>
        </w:rPr>
        <w:t>主题班会结束后</w:t>
      </w:r>
      <w:r>
        <w:rPr>
          <w:rFonts w:hint="eastAsia" w:ascii="方正仿宋_GBK" w:hAnsi="Times New Roman" w:eastAsia="方正仿宋_GBK" w:cs="Times New Roman"/>
          <w:bCs/>
          <w:color w:val="auto"/>
          <w:sz w:val="32"/>
          <w:szCs w:val="32"/>
          <w:highlight w:val="none"/>
          <w:lang w:eastAsia="zh-CN"/>
        </w:rPr>
        <w:t>，</w:t>
      </w:r>
      <w:r>
        <w:rPr>
          <w:rFonts w:hint="eastAsia" w:ascii="方正仿宋_GBK" w:hAnsi="Times New Roman" w:eastAsia="方正仿宋_GBK" w:cs="Times New Roman"/>
          <w:bCs/>
          <w:color w:val="auto"/>
          <w:sz w:val="32"/>
          <w:szCs w:val="32"/>
          <w:highlight w:val="none"/>
          <w:lang w:val="en-US" w:eastAsia="zh-CN"/>
        </w:rPr>
        <w:t>辅导员（班主任）</w:t>
      </w:r>
      <w:r>
        <w:rPr>
          <w:rFonts w:hint="eastAsia" w:ascii="方正仿宋_GBK" w:hAnsi="Times New Roman" w:eastAsia="方正仿宋_GBK" w:cs="Times New Roman"/>
          <w:bCs/>
          <w:color w:val="auto"/>
          <w:sz w:val="32"/>
          <w:szCs w:val="32"/>
          <w:highlight w:val="none"/>
        </w:rPr>
        <w:t>于</w:t>
      </w:r>
      <w:r>
        <w:rPr>
          <w:rFonts w:hint="eastAsia" w:ascii="方正仿宋_GBK" w:hAnsi="Times New Roman" w:eastAsia="方正仿宋_GBK" w:cs="Times New Roman"/>
          <w:bCs/>
          <w:color w:val="auto"/>
          <w:sz w:val="32"/>
          <w:szCs w:val="32"/>
          <w:highlight w:val="none"/>
          <w:lang w:val="en-US" w:eastAsia="zh-CN"/>
        </w:rPr>
        <w:t>当晚21点前将班会开展情况报学生工作群；各二级学院</w:t>
      </w:r>
      <w:r>
        <w:rPr>
          <w:rFonts w:hint="eastAsia" w:ascii="方正仿宋_GBK" w:hAnsi="Times New Roman" w:eastAsia="方正仿宋_GBK" w:cs="Times New Roman"/>
          <w:bCs/>
          <w:color w:val="auto"/>
          <w:sz w:val="32"/>
          <w:szCs w:val="32"/>
          <w:highlight w:val="none"/>
        </w:rPr>
        <w:t>次日下午17：00前将本学院班会开展情况电子版及纸质版材料（图文并茂）、班会组织及巡查情况报送学生工作处。</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第十三条</w:t>
      </w:r>
      <w:r>
        <w:rPr>
          <w:rFonts w:hint="eastAsia" w:ascii="方正仿宋_GBK" w:hAnsi="Times New Roman" w:eastAsia="方正仿宋_GBK" w:cs="Times New Roman"/>
          <w:color w:val="auto"/>
          <w:sz w:val="32"/>
          <w:szCs w:val="32"/>
          <w:highlight w:val="none"/>
        </w:rPr>
        <w:t xml:space="preserve">  </w:t>
      </w:r>
      <w:r>
        <w:rPr>
          <w:rFonts w:hint="eastAsia" w:ascii="方正仿宋_GBK" w:hAnsi="宋体" w:eastAsia="方正仿宋_GBK" w:cs="Times New Roman"/>
          <w:color w:val="auto"/>
          <w:sz w:val="32"/>
          <w:szCs w:val="32"/>
          <w:highlight w:val="none"/>
        </w:rPr>
        <w:t>特殊情况不能按要求到岗履职的</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rPr>
        <w:t>须本人按规定提前1天履行请假手续</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s="Times New Roman"/>
          <w:color w:val="auto"/>
          <w:sz w:val="32"/>
          <w:szCs w:val="32"/>
          <w:highlight w:val="none"/>
        </w:rPr>
        <w:t>征得二级学院同意后向学生工作处报备。</w:t>
      </w:r>
    </w:p>
    <w:p>
      <w:pPr>
        <w:pageBreakBefore w:val="0"/>
        <w:numPr>
          <w:ilvl w:val="6"/>
          <w:numId w:val="0"/>
        </w:numPr>
        <w:kinsoku/>
        <w:wordWrap/>
        <w:overflowPunct/>
        <w:topLinePunct w:val="0"/>
        <w:autoSpaceDE/>
        <w:autoSpaceDN/>
        <w:bidi w:val="0"/>
        <w:spacing w:line="560" w:lineRule="exact"/>
        <w:ind w:firstLine="643" w:firstLineChars="200"/>
        <w:textAlignment w:val="auto"/>
        <w:rPr>
          <w:rFonts w:ascii="方正仿宋_GBK" w:hAnsi="宋体" w:eastAsia="方正仿宋_GBK" w:cs="宋体"/>
          <w:color w:val="auto"/>
          <w:kern w:val="0"/>
          <w:sz w:val="32"/>
          <w:szCs w:val="32"/>
          <w:highlight w:val="none"/>
        </w:rPr>
      </w:pPr>
      <w:r>
        <w:rPr>
          <w:rFonts w:hint="eastAsia" w:ascii="方正楷体_GBK" w:hAnsi="宋体" w:eastAsia="方正楷体_GBK" w:cs="Times New Roman"/>
          <w:b/>
          <w:color w:val="auto"/>
          <w:sz w:val="32"/>
          <w:szCs w:val="32"/>
          <w:highlight w:val="none"/>
        </w:rPr>
        <w:t xml:space="preserve">第十四条  </w:t>
      </w:r>
      <w:r>
        <w:rPr>
          <w:rFonts w:hint="eastAsia" w:ascii="方正仿宋_GBK" w:hAnsi="宋体" w:eastAsia="方正仿宋_GBK" w:cs="Times New Roman"/>
          <w:color w:val="auto"/>
          <w:sz w:val="32"/>
          <w:szCs w:val="32"/>
          <w:highlight w:val="none"/>
        </w:rPr>
        <w:t>请假获准的辅导员（班主任）所带班级的主题班会由二级学院指定专人或委托他人负责召开；</w:t>
      </w:r>
      <w:r>
        <w:rPr>
          <w:rFonts w:hint="eastAsia" w:ascii="方正仿宋_GBK" w:hAnsi="宋体" w:eastAsia="方正仿宋_GBK" w:cs="宋体"/>
          <w:color w:val="auto"/>
          <w:kern w:val="0"/>
          <w:sz w:val="32"/>
          <w:szCs w:val="32"/>
          <w:highlight w:val="none"/>
        </w:rPr>
        <w:t>严禁指派或委托学生等其他无关人员代替辅导员（班主任）履行班会工作职责。</w:t>
      </w:r>
    </w:p>
    <w:p>
      <w:pPr>
        <w:pageBreakBefore w:val="0"/>
        <w:kinsoku/>
        <w:wordWrap/>
        <w:overflowPunct/>
        <w:topLinePunct w:val="0"/>
        <w:autoSpaceDE/>
        <w:autoSpaceDN/>
        <w:bidi w:val="0"/>
        <w:spacing w:line="560" w:lineRule="exact"/>
        <w:ind w:firstLine="643" w:firstLineChars="200"/>
        <w:textAlignment w:val="auto"/>
        <w:rPr>
          <w:rFonts w:ascii="方正仿宋_GBK" w:hAnsi="Times New Roman"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第十五条</w:t>
      </w:r>
      <w:r>
        <w:rPr>
          <w:rFonts w:hint="eastAsia" w:ascii="方正楷体_GBK" w:hAnsi="宋体" w:eastAsia="方正楷体_GBK" w:cs="Times New Roman"/>
          <w:b/>
          <w:color w:val="auto"/>
          <w:sz w:val="32"/>
          <w:szCs w:val="32"/>
          <w:highlight w:val="none"/>
          <w:lang w:val="en-US" w:eastAsia="zh-CN"/>
        </w:rPr>
        <w:t xml:space="preserve">  </w:t>
      </w:r>
      <w:r>
        <w:rPr>
          <w:rFonts w:hint="eastAsia" w:ascii="方正仿宋_GBK" w:hAnsi="Times New Roman" w:eastAsia="方正仿宋_GBK" w:cs="Times New Roman"/>
          <w:color w:val="auto"/>
          <w:sz w:val="32"/>
          <w:szCs w:val="32"/>
          <w:highlight w:val="none"/>
        </w:rPr>
        <w:t>辅导员（班主任）未按学校要求提交主题班会开展计划或未到岗开展主题班会、晚点名等工作的，给予通报。</w:t>
      </w:r>
    </w:p>
    <w:p>
      <w:pPr>
        <w:pageBreakBefore w:val="0"/>
        <w:kinsoku/>
        <w:wordWrap/>
        <w:overflowPunct/>
        <w:topLinePunct w:val="0"/>
        <w:autoSpaceDE/>
        <w:autoSpaceDN/>
        <w:bidi w:val="0"/>
        <w:spacing w:line="560" w:lineRule="exact"/>
        <w:ind w:firstLine="643" w:firstLineChars="200"/>
        <w:textAlignment w:val="auto"/>
        <w:rPr>
          <w:rFonts w:ascii="方正仿宋_GBK" w:hAnsi="Times New Roman"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第十六条</w:t>
      </w:r>
      <w:r>
        <w:rPr>
          <w:rFonts w:hint="eastAsia" w:ascii="方正仿宋_GBK" w:hAnsi="Times New Roman" w:eastAsia="方正仿宋_GBK" w:cs="Times New Roman"/>
          <w:b/>
          <w:color w:val="auto"/>
          <w:sz w:val="32"/>
          <w:szCs w:val="32"/>
          <w:highlight w:val="none"/>
        </w:rPr>
        <w:t xml:space="preserve">  </w:t>
      </w:r>
      <w:r>
        <w:rPr>
          <w:rFonts w:hint="eastAsia" w:ascii="方正仿宋_GBK" w:hAnsi="Times New Roman" w:eastAsia="方正仿宋_GBK" w:cs="Times New Roman"/>
          <w:color w:val="auto"/>
          <w:sz w:val="32"/>
          <w:szCs w:val="32"/>
          <w:highlight w:val="none"/>
        </w:rPr>
        <w:t>本办法由学生工作处负责解释。</w:t>
      </w:r>
    </w:p>
    <w:p>
      <w:pPr>
        <w:pageBreakBefore w:val="0"/>
        <w:kinsoku/>
        <w:wordWrap/>
        <w:overflowPunct/>
        <w:topLinePunct w:val="0"/>
        <w:autoSpaceDE/>
        <w:autoSpaceDN/>
        <w:bidi w:val="0"/>
        <w:spacing w:line="560" w:lineRule="exact"/>
        <w:ind w:firstLine="643" w:firstLineChars="200"/>
        <w:jc w:val="left"/>
        <w:textAlignment w:val="auto"/>
        <w:rPr>
          <w:rFonts w:ascii="方正仿宋_GBK" w:hAnsi="Times New Roman"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第十七条</w:t>
      </w:r>
      <w:r>
        <w:rPr>
          <w:rFonts w:hint="eastAsia" w:ascii="方正仿宋_GBK" w:hAnsi="Times New Roman" w:eastAsia="方正仿宋_GBK" w:cs="Times New Roman"/>
          <w:color w:val="auto"/>
          <w:sz w:val="32"/>
          <w:szCs w:val="32"/>
          <w:highlight w:val="none"/>
        </w:rPr>
        <w:t xml:space="preserve">  本办法从20</w:t>
      </w:r>
      <w:r>
        <w:rPr>
          <w:rFonts w:hint="eastAsia" w:ascii="方正仿宋_GBK" w:hAnsi="Times New Roman" w:eastAsia="方正仿宋_GBK" w:cs="Times New Roman"/>
          <w:color w:val="auto"/>
          <w:sz w:val="32"/>
          <w:szCs w:val="32"/>
          <w:highlight w:val="none"/>
          <w:lang w:val="en-US" w:eastAsia="zh-CN"/>
        </w:rPr>
        <w:t>22</w:t>
      </w:r>
      <w:r>
        <w:rPr>
          <w:rFonts w:hint="eastAsia" w:ascii="方正仿宋_GBK" w:hAnsi="Times New Roman" w:eastAsia="方正仿宋_GBK" w:cs="Times New Roman"/>
          <w:color w:val="auto"/>
          <w:sz w:val="32"/>
          <w:szCs w:val="32"/>
          <w:highlight w:val="none"/>
        </w:rPr>
        <w:t>年9月1日起实施。</w:t>
      </w:r>
    </w:p>
    <w:p>
      <w:pPr>
        <w:pStyle w:val="2"/>
        <w:spacing w:before="156"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156" w:line="560" w:lineRule="exact"/>
        <w:ind w:firstLine="0" w:firstLineChars="0"/>
        <w:rPr>
          <w:rFonts w:ascii="方正小标宋_GBK" w:hAnsi="方正小标宋_GBK" w:eastAsia="方正小标宋_GBK" w:cs="方正小标宋_GBK"/>
          <w:color w:val="auto"/>
          <w:highlight w:val="none"/>
        </w:rPr>
      </w:pPr>
      <w:bookmarkStart w:id="118" w:name="_Toc8398"/>
      <w:r>
        <w:rPr>
          <w:rFonts w:hint="eastAsia" w:ascii="方正小标宋_GBK" w:hAnsi="方正小标宋_GBK" w:eastAsia="方正小标宋_GBK" w:cs="方正小标宋_GBK"/>
          <w:color w:val="auto"/>
          <w:highlight w:val="none"/>
        </w:rPr>
        <w:t>云南城市建设职业学院学生工作人员外出活动及联络管理办法（修订）</w:t>
      </w:r>
      <w:bookmarkEnd w:id="118"/>
    </w:p>
    <w:p>
      <w:pPr>
        <w:spacing w:line="560" w:lineRule="exact"/>
        <w:jc w:val="center"/>
        <w:rPr>
          <w:rFonts w:ascii="方正黑体_GBK" w:hAnsi="黑体" w:eastAsia="方正黑体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19" w:name="_Toc15398614"/>
      <w:bookmarkStart w:id="120" w:name="_Toc27461"/>
      <w:bookmarkStart w:id="121" w:name="_Toc27787"/>
      <w:r>
        <w:rPr>
          <w:rFonts w:hint="eastAsia" w:ascii="方正黑体_GBK" w:hAnsi="方正黑体_GBK" w:eastAsia="方正黑体_GBK" w:cs="方正黑体_GBK"/>
          <w:b/>
          <w:bCs w:val="0"/>
          <w:color w:val="auto"/>
          <w:highlight w:val="none"/>
        </w:rPr>
        <w:t>第一章  总则</w:t>
      </w:r>
      <w:bookmarkEnd w:id="119"/>
      <w:bookmarkEnd w:id="120"/>
      <w:bookmarkEnd w:id="121"/>
    </w:p>
    <w:p>
      <w:pPr>
        <w:spacing w:line="560" w:lineRule="exact"/>
        <w:jc w:val="center"/>
        <w:rPr>
          <w:rFonts w:ascii="方正黑体_GBK" w:hAnsi="方正黑体_GBK" w:eastAsia="方正黑体_GBK" w:cs="方正黑体_GBK"/>
          <w:b/>
          <w:color w:val="auto"/>
          <w:sz w:val="32"/>
          <w:szCs w:val="32"/>
          <w:highlight w:val="none"/>
        </w:rPr>
      </w:pP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第一条</w:t>
      </w:r>
      <w:r>
        <w:rPr>
          <w:rFonts w:hint="eastAsia" w:ascii="方正小标宋_GBK" w:hAnsi="宋体" w:eastAsia="方正小标宋_GBK"/>
          <w:color w:val="auto"/>
          <w:sz w:val="44"/>
          <w:szCs w:val="44"/>
          <w:highlight w:val="none"/>
        </w:rPr>
        <w:t xml:space="preserve">  </w:t>
      </w:r>
      <w:r>
        <w:rPr>
          <w:rFonts w:hint="eastAsia" w:ascii="方正仿宋_GBK" w:hAnsi="仿宋" w:eastAsia="方正仿宋_GBK"/>
          <w:color w:val="auto"/>
          <w:sz w:val="32"/>
          <w:szCs w:val="32"/>
          <w:highlight w:val="none"/>
        </w:rPr>
        <w:t>为加强学校学生工作队伍作风建设，严明工作纪律，规范学生工作人员外出学习、会议、培训、考察及联络管理。结合学校实际，制定本办法。</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 xml:space="preserve">第二条 </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本办法所称的学生工作人员包括：</w:t>
      </w:r>
    </w:p>
    <w:p>
      <w:pPr>
        <w:numPr>
          <w:ilvl w:val="0"/>
          <w:numId w:val="13"/>
        </w:numPr>
        <w:spacing w:line="560" w:lineRule="exact"/>
        <w:ind w:firstLine="640" w:firstLineChars="200"/>
        <w:rPr>
          <w:rFonts w:ascii="方正仿宋_GBK" w:hAnsi="仿宋" w:eastAsia="方正仿宋_GBK"/>
          <w:color w:val="auto"/>
          <w:sz w:val="32"/>
          <w:szCs w:val="32"/>
          <w:highlight w:val="none"/>
        </w:rPr>
      </w:pPr>
      <w:r>
        <w:rPr>
          <w:rFonts w:hint="eastAsia" w:ascii="方正仿宋_GBK" w:hAnsi="仿宋" w:eastAsia="方正仿宋_GBK"/>
          <w:color w:val="auto"/>
          <w:sz w:val="32"/>
          <w:szCs w:val="32"/>
          <w:highlight w:val="none"/>
        </w:rPr>
        <w:t>学生工作处、校团委、二级学院学生工作负责人；</w:t>
      </w:r>
    </w:p>
    <w:p>
      <w:pPr>
        <w:numPr>
          <w:ilvl w:val="0"/>
          <w:numId w:val="13"/>
        </w:numPr>
        <w:spacing w:line="560" w:lineRule="exact"/>
        <w:ind w:firstLine="640" w:firstLineChars="200"/>
        <w:rPr>
          <w:rFonts w:ascii="仿宋" w:hAnsi="仿宋" w:eastAsia="仿宋"/>
          <w:color w:val="auto"/>
          <w:sz w:val="32"/>
          <w:szCs w:val="32"/>
          <w:highlight w:val="none"/>
        </w:rPr>
      </w:pPr>
      <w:r>
        <w:rPr>
          <w:rFonts w:hint="eastAsia" w:ascii="方正仿宋_GBK" w:hAnsi="仿宋" w:eastAsia="方正仿宋_GBK"/>
          <w:color w:val="auto"/>
          <w:sz w:val="32"/>
          <w:szCs w:val="32"/>
          <w:highlight w:val="none"/>
        </w:rPr>
        <w:t>学生工作处、二级学院学生工作主管；</w:t>
      </w:r>
    </w:p>
    <w:p>
      <w:pPr>
        <w:numPr>
          <w:ilvl w:val="0"/>
          <w:numId w:val="13"/>
        </w:numPr>
        <w:spacing w:line="560" w:lineRule="exact"/>
        <w:ind w:firstLine="640" w:firstLineChars="200"/>
        <w:rPr>
          <w:rFonts w:ascii="方正仿宋_GBK" w:hAnsi="仿宋" w:eastAsia="方正仿宋_GBK"/>
          <w:color w:val="auto"/>
          <w:sz w:val="32"/>
          <w:szCs w:val="32"/>
          <w:highlight w:val="none"/>
        </w:rPr>
      </w:pPr>
      <w:r>
        <w:rPr>
          <w:rFonts w:hint="eastAsia" w:ascii="方正仿宋_GBK" w:hAnsi="仿宋" w:eastAsia="方正仿宋_GBK"/>
          <w:color w:val="auto"/>
          <w:sz w:val="32"/>
          <w:szCs w:val="32"/>
          <w:highlight w:val="none"/>
        </w:rPr>
        <w:t>学生工作处工作人员、二级学院专（兼）职辅导员（班主任）。</w:t>
      </w:r>
    </w:p>
    <w:p>
      <w:pPr>
        <w:spacing w:line="560" w:lineRule="exact"/>
        <w:rPr>
          <w:rFonts w:ascii="方正仿宋_GBK" w:hAnsi="仿宋" w:eastAsia="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22" w:name="_Toc11292"/>
      <w:bookmarkStart w:id="123" w:name="_Toc15398615"/>
      <w:bookmarkStart w:id="124" w:name="_Toc22383"/>
      <w:r>
        <w:rPr>
          <w:rFonts w:hint="eastAsia" w:ascii="方正黑体_GBK" w:hAnsi="方正黑体_GBK" w:eastAsia="方正黑体_GBK" w:cs="方正黑体_GBK"/>
          <w:b/>
          <w:bCs w:val="0"/>
          <w:color w:val="auto"/>
          <w:highlight w:val="none"/>
        </w:rPr>
        <w:t>第二章  外出活动报备</w:t>
      </w:r>
      <w:bookmarkEnd w:id="122"/>
      <w:bookmarkEnd w:id="123"/>
      <w:bookmarkEnd w:id="124"/>
    </w:p>
    <w:p>
      <w:pPr>
        <w:spacing w:line="560" w:lineRule="exact"/>
        <w:ind w:left="200"/>
        <w:rPr>
          <w:rFonts w:ascii="方正黑体_GBK" w:hAnsi="黑体" w:eastAsia="方正黑体_GBK"/>
          <w:color w:val="auto"/>
          <w:sz w:val="32"/>
          <w:szCs w:val="32"/>
          <w:highlight w:val="none"/>
        </w:rPr>
      </w:pPr>
    </w:p>
    <w:p>
      <w:pPr>
        <w:spacing w:line="560" w:lineRule="exact"/>
        <w:ind w:firstLine="643" w:firstLineChars="200"/>
        <w:jc w:val="left"/>
        <w:rPr>
          <w:rFonts w:ascii="仿宋" w:hAnsi="仿宋" w:eastAsia="仿宋"/>
          <w:b/>
          <w:color w:val="auto"/>
          <w:sz w:val="32"/>
          <w:szCs w:val="32"/>
          <w:highlight w:val="none"/>
        </w:rPr>
      </w:pPr>
      <w:r>
        <w:rPr>
          <w:rFonts w:hint="eastAsia" w:ascii="方正楷体_GBK" w:hAnsi="宋体" w:eastAsia="方正楷体_GBK"/>
          <w:b/>
          <w:color w:val="auto"/>
          <w:sz w:val="32"/>
          <w:szCs w:val="32"/>
          <w:highlight w:val="none"/>
        </w:rPr>
        <w:t>第三条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工作期间因私离校，须按《员工请假申请单(学生工作系统)》规定流程提前1天申请获批后方可离校，同时向学生工作处和</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部门备案。</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第四条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因个人临时性事务或其他紧急情况需离校，无法事先书面申请及报备的，须以电话或短信形式向</w:t>
      </w:r>
      <w:r>
        <w:rPr>
          <w:rFonts w:hint="eastAsia" w:ascii="方正仿宋_GBK" w:hAnsi="仿宋" w:eastAsia="方正仿宋_GBK"/>
          <w:color w:val="auto"/>
          <w:sz w:val="32"/>
          <w:szCs w:val="32"/>
          <w:highlight w:val="none"/>
          <w:lang w:val="en-US" w:eastAsia="zh-CN"/>
        </w:rPr>
        <w:t>所在二级学院（部门）学生工作负责人</w:t>
      </w:r>
      <w:r>
        <w:rPr>
          <w:rFonts w:hint="eastAsia" w:ascii="方正仿宋_GBK" w:hAnsi="仿宋" w:eastAsia="方正仿宋_GBK"/>
          <w:color w:val="auto"/>
          <w:sz w:val="32"/>
          <w:szCs w:val="32"/>
          <w:highlight w:val="none"/>
        </w:rPr>
        <w:t>请示，获批后方可离校，同时向学生工作处和</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部门备案。事毕返校后1个工作日内按要求完善相关手续。</w:t>
      </w:r>
    </w:p>
    <w:p>
      <w:pPr>
        <w:spacing w:line="560" w:lineRule="exact"/>
        <w:ind w:firstLine="643" w:firstLineChars="200"/>
        <w:rPr>
          <w:rFonts w:ascii="仿宋" w:hAnsi="仿宋" w:eastAsia="仿宋"/>
          <w:color w:val="auto"/>
          <w:sz w:val="32"/>
          <w:szCs w:val="32"/>
          <w:highlight w:val="none"/>
        </w:rPr>
      </w:pPr>
      <w:r>
        <w:rPr>
          <w:rFonts w:hint="eastAsia" w:ascii="方正楷体_GBK" w:hAnsi="宋体" w:eastAsia="方正楷体_GBK"/>
          <w:b/>
          <w:color w:val="auto"/>
          <w:sz w:val="32"/>
          <w:szCs w:val="32"/>
          <w:highlight w:val="none"/>
        </w:rPr>
        <w:t xml:space="preserve">第五条 </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请假人在假期结束后1个工作日内到部门（二级学院）销假，凡未按上述规定进行请假、报备、销假程序的，按学校</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部门相关规定处理。</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 xml:space="preserve">第六条  </w:t>
      </w:r>
      <w:r>
        <w:rPr>
          <w:rFonts w:hint="eastAsia" w:ascii="方正仿宋_GBK" w:hAnsi="仿宋" w:eastAsia="方正仿宋_GBK"/>
          <w:color w:val="auto"/>
          <w:sz w:val="32"/>
          <w:szCs w:val="32"/>
          <w:highlight w:val="none"/>
        </w:rPr>
        <w:t>因公外出需提前1天持参会、培训相关文件向向</w:t>
      </w:r>
      <w:r>
        <w:rPr>
          <w:rFonts w:hint="eastAsia" w:ascii="方正仿宋_GBK" w:hAnsi="仿宋" w:eastAsia="方正仿宋_GBK"/>
          <w:color w:val="auto"/>
          <w:sz w:val="32"/>
          <w:szCs w:val="32"/>
          <w:highlight w:val="none"/>
          <w:lang w:val="en-US" w:eastAsia="zh-CN"/>
        </w:rPr>
        <w:t>所在二级学院（部门）学生工作负责人</w:t>
      </w:r>
      <w:r>
        <w:rPr>
          <w:rFonts w:hint="eastAsia" w:ascii="方正仿宋_GBK" w:hAnsi="仿宋" w:eastAsia="方正仿宋_GBK"/>
          <w:color w:val="auto"/>
          <w:sz w:val="32"/>
          <w:szCs w:val="32"/>
          <w:highlight w:val="none"/>
        </w:rPr>
        <w:t>报告，同时向学生工作处和</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部门备案。无法提供文件的以工作照片佐证。</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第七条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因临时性公务需离校，离校前需向学生工作处和</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部门备案。因公离校，在结束公务返校后1个工作日内向</w:t>
      </w:r>
      <w:r>
        <w:rPr>
          <w:rFonts w:hint="eastAsia" w:ascii="方正仿宋_GBK" w:hAnsi="仿宋" w:eastAsia="方正仿宋_GBK"/>
          <w:color w:val="auto"/>
          <w:sz w:val="32"/>
          <w:szCs w:val="32"/>
          <w:highlight w:val="none"/>
          <w:lang w:val="en-US" w:eastAsia="zh-CN"/>
        </w:rPr>
        <w:t>所在二级学院（部门）学生工作负责人</w:t>
      </w:r>
      <w:r>
        <w:rPr>
          <w:rFonts w:hint="eastAsia" w:ascii="方正仿宋_GBK" w:hAnsi="仿宋" w:eastAsia="方正仿宋_GBK"/>
          <w:color w:val="auto"/>
          <w:sz w:val="32"/>
          <w:szCs w:val="32"/>
          <w:highlight w:val="none"/>
        </w:rPr>
        <w:t>汇报。</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第八条</w:t>
      </w:r>
      <w:r>
        <w:rPr>
          <w:rFonts w:hint="eastAsia" w:ascii="方正仿宋_GBK" w:hAnsi="仿宋" w:eastAsia="方正仿宋_GBK"/>
          <w:color w:val="auto"/>
          <w:sz w:val="32"/>
          <w:szCs w:val="32"/>
          <w:highlight w:val="none"/>
        </w:rPr>
        <w:t xml:space="preserve">  因工作需要，往返校本部与昆明城市学院校区的，可不按以上规定履行报备手续。但需征得向</w:t>
      </w:r>
      <w:r>
        <w:rPr>
          <w:rFonts w:hint="eastAsia" w:ascii="方正仿宋_GBK" w:hAnsi="仿宋" w:eastAsia="方正仿宋_GBK"/>
          <w:color w:val="auto"/>
          <w:sz w:val="32"/>
          <w:szCs w:val="32"/>
          <w:highlight w:val="none"/>
          <w:lang w:val="en-US" w:eastAsia="zh-CN"/>
        </w:rPr>
        <w:t>所在二级学院（部门）学生工作负责人</w:t>
      </w:r>
      <w:r>
        <w:rPr>
          <w:rFonts w:hint="eastAsia" w:ascii="方正仿宋_GBK" w:hAnsi="仿宋" w:eastAsia="方正仿宋_GBK"/>
          <w:color w:val="auto"/>
          <w:sz w:val="32"/>
          <w:szCs w:val="32"/>
          <w:highlight w:val="none"/>
        </w:rPr>
        <w:t>同意。</w:t>
      </w:r>
    </w:p>
    <w:p>
      <w:pPr>
        <w:spacing w:line="560" w:lineRule="exact"/>
        <w:ind w:firstLine="640" w:firstLineChars="200"/>
        <w:rPr>
          <w:rFonts w:ascii="仿宋" w:hAnsi="仿宋" w:eastAsia="仿宋"/>
          <w:color w:val="auto"/>
          <w:sz w:val="32"/>
          <w:szCs w:val="32"/>
          <w:highlight w:val="none"/>
        </w:rPr>
      </w:pPr>
      <w:r>
        <w:rPr>
          <w:rFonts w:hint="eastAsia" w:ascii="方正楷体_GBK" w:hAnsi="仿宋" w:eastAsia="方正楷体_GBK"/>
          <w:color w:val="auto"/>
          <w:sz w:val="32"/>
          <w:szCs w:val="32"/>
          <w:highlight w:val="none"/>
        </w:rPr>
        <w:t xml:space="preserve">  </w:t>
      </w:r>
    </w:p>
    <w:p>
      <w:pPr>
        <w:pStyle w:val="3"/>
        <w:spacing w:line="560" w:lineRule="exact"/>
        <w:rPr>
          <w:rFonts w:ascii="方正黑体_GBK" w:hAnsi="方正黑体_GBK" w:eastAsia="方正黑体_GBK" w:cs="方正黑体_GBK"/>
          <w:b/>
          <w:bCs w:val="0"/>
          <w:color w:val="auto"/>
          <w:highlight w:val="none"/>
        </w:rPr>
      </w:pPr>
      <w:bookmarkStart w:id="125" w:name="_Toc1626"/>
      <w:bookmarkStart w:id="126" w:name="_Toc14137"/>
      <w:bookmarkStart w:id="127" w:name="_Toc15398616"/>
      <w:r>
        <w:rPr>
          <w:rFonts w:hint="eastAsia" w:ascii="方正黑体_GBK" w:hAnsi="方正黑体_GBK" w:eastAsia="方正黑体_GBK" w:cs="方正黑体_GBK"/>
          <w:b/>
          <w:bCs w:val="0"/>
          <w:color w:val="auto"/>
          <w:highlight w:val="none"/>
        </w:rPr>
        <w:t>第三章  会议、培训与活动管理</w:t>
      </w:r>
      <w:bookmarkEnd w:id="125"/>
      <w:bookmarkEnd w:id="126"/>
      <w:bookmarkEnd w:id="127"/>
    </w:p>
    <w:p>
      <w:pPr>
        <w:spacing w:line="560" w:lineRule="exact"/>
        <w:ind w:left="200"/>
        <w:rPr>
          <w:rFonts w:ascii="方正黑体_GBK" w:hAnsi="黑体" w:eastAsia="方正黑体_GBK"/>
          <w:color w:val="auto"/>
          <w:sz w:val="32"/>
          <w:szCs w:val="32"/>
          <w:highlight w:val="none"/>
        </w:rPr>
      </w:pPr>
    </w:p>
    <w:p>
      <w:pPr>
        <w:spacing w:line="560" w:lineRule="exact"/>
        <w:rPr>
          <w:rFonts w:ascii="方正仿宋_GBK" w:hAnsi="仿宋" w:eastAsia="方正仿宋_GBK"/>
          <w:color w:val="auto"/>
          <w:sz w:val="32"/>
          <w:szCs w:val="32"/>
          <w:highlight w:val="none"/>
        </w:rPr>
      </w:pPr>
      <w:r>
        <w:rPr>
          <w:rFonts w:hint="eastAsia" w:ascii="方正楷体_GBK" w:hAnsi="仿宋" w:eastAsia="方正楷体_GBK"/>
          <w:color w:val="auto"/>
          <w:sz w:val="32"/>
          <w:szCs w:val="32"/>
          <w:highlight w:val="none"/>
        </w:rPr>
        <w:t xml:space="preserve">    </w:t>
      </w:r>
      <w:r>
        <w:rPr>
          <w:rFonts w:hint="eastAsia" w:ascii="方正楷体_GBK" w:hAnsi="宋体" w:eastAsia="方正楷体_GBK"/>
          <w:b/>
          <w:color w:val="auto"/>
          <w:sz w:val="32"/>
          <w:szCs w:val="32"/>
          <w:highlight w:val="none"/>
        </w:rPr>
        <w:t>第九条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外出参加校级以上会议、培训与活动，凡涉及参加人员，按要求参加，离校前，填写员工外出学习培训审批表，审批结束后，向学校生工作处和</w:t>
      </w:r>
      <w:r>
        <w:rPr>
          <w:rFonts w:hint="eastAsia" w:ascii="方正仿宋_GBK" w:hAnsi="仿宋" w:eastAsia="方正仿宋_GBK"/>
          <w:color w:val="auto"/>
          <w:sz w:val="32"/>
          <w:szCs w:val="32"/>
          <w:highlight w:val="none"/>
          <w:lang w:val="en-US" w:eastAsia="zh-CN"/>
        </w:rPr>
        <w:t>人力资源</w:t>
      </w:r>
      <w:r>
        <w:rPr>
          <w:rFonts w:hint="eastAsia" w:ascii="方正仿宋_GBK" w:hAnsi="仿宋" w:eastAsia="方正仿宋_GBK"/>
          <w:color w:val="auto"/>
          <w:sz w:val="32"/>
          <w:szCs w:val="32"/>
          <w:highlight w:val="none"/>
        </w:rPr>
        <w:t>部门备案。</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第十条</w:t>
      </w:r>
      <w:r>
        <w:rPr>
          <w:rFonts w:hint="eastAsia" w:ascii="方正仿宋_GBK" w:hAnsi="仿宋" w:eastAsia="方正仿宋_GBK"/>
          <w:color w:val="auto"/>
          <w:sz w:val="32"/>
          <w:szCs w:val="32"/>
          <w:highlight w:val="none"/>
        </w:rPr>
        <w:t xml:space="preserve">  学校或二级学院组织的会议、培训与活动，凡涉及参加人员，应按要求参加；因特殊情况不能参加的，须提前</w:t>
      </w:r>
      <w:r>
        <w:rPr>
          <w:rFonts w:hint="eastAsia" w:ascii="方正仿宋_GBK" w:hAnsi="仿宋" w:eastAsia="方正仿宋_GBK"/>
          <w:color w:val="auto"/>
          <w:sz w:val="32"/>
          <w:szCs w:val="32"/>
          <w:highlight w:val="none"/>
          <w:lang w:val="en-US" w:eastAsia="zh-CN"/>
        </w:rPr>
        <w:t>所在二级学院（部门）学生工作负责人</w:t>
      </w:r>
      <w:r>
        <w:rPr>
          <w:rFonts w:hint="eastAsia" w:ascii="方正仿宋_GBK" w:hAnsi="仿宋" w:eastAsia="方正仿宋_GBK"/>
          <w:color w:val="auto"/>
          <w:sz w:val="32"/>
          <w:szCs w:val="32"/>
          <w:highlight w:val="none"/>
        </w:rPr>
        <w:t>书面请假或递交情况说明，经批准后向组织方报备。</w:t>
      </w:r>
    </w:p>
    <w:p>
      <w:pPr>
        <w:spacing w:line="560" w:lineRule="exact"/>
        <w:ind w:firstLine="643" w:firstLineChars="200"/>
        <w:rPr>
          <w:rFonts w:ascii="仿宋" w:hAnsi="仿宋" w:eastAsia="仿宋"/>
          <w:color w:val="auto"/>
          <w:sz w:val="32"/>
          <w:szCs w:val="32"/>
          <w:highlight w:val="none"/>
        </w:rPr>
      </w:pPr>
      <w:r>
        <w:rPr>
          <w:rFonts w:hint="eastAsia" w:ascii="方正楷体_GBK" w:hAnsi="宋体" w:eastAsia="方正楷体_GBK"/>
          <w:b/>
          <w:color w:val="auto"/>
          <w:sz w:val="32"/>
          <w:szCs w:val="32"/>
          <w:highlight w:val="none"/>
        </w:rPr>
        <w:t>第十一条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参加人员不得无故迟到、早退或长时间离开会场。如果遇到特殊情况确需提前离场的，须经组织方负责人批准；未经批准提前离场或长时间离开的，按缺席处理。</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第十二条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参加有保密要求的会议，参会人员不得将会议资料、影像材料、会议内容外传。未执行会议保密规定造成后果的报学校研究处理。</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第十三条</w:t>
      </w:r>
      <w:r>
        <w:rPr>
          <w:rFonts w:hint="eastAsia" w:ascii="方正仿宋_GBK" w:hAnsi="仿宋" w:eastAsia="方正仿宋_GBK"/>
          <w:color w:val="auto"/>
          <w:sz w:val="32"/>
          <w:szCs w:val="32"/>
          <w:highlight w:val="none"/>
        </w:rPr>
        <w:t xml:space="preserve">  会议、培训等活动中不按活动要求规范言行，经提示后再次出现，造成不良影响的，给予通报批评。</w:t>
      </w:r>
    </w:p>
    <w:p>
      <w:pPr>
        <w:spacing w:line="560" w:lineRule="exact"/>
        <w:ind w:firstLine="640" w:firstLineChars="200"/>
        <w:rPr>
          <w:rFonts w:ascii="方正仿宋_GBK" w:hAnsi="仿宋" w:eastAsia="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28" w:name="_Toc32297"/>
      <w:bookmarkStart w:id="129" w:name="_Toc16831"/>
      <w:bookmarkStart w:id="130" w:name="_Toc15398617"/>
      <w:r>
        <w:rPr>
          <w:rFonts w:hint="eastAsia" w:ascii="方正黑体_GBK" w:hAnsi="方正黑体_GBK" w:eastAsia="方正黑体_GBK" w:cs="方正黑体_GBK"/>
          <w:b/>
          <w:bCs w:val="0"/>
          <w:color w:val="auto"/>
          <w:highlight w:val="none"/>
        </w:rPr>
        <w:t>第四章  联络管理</w:t>
      </w:r>
      <w:bookmarkEnd w:id="128"/>
      <w:bookmarkEnd w:id="129"/>
      <w:bookmarkEnd w:id="130"/>
    </w:p>
    <w:p>
      <w:pPr>
        <w:spacing w:line="560" w:lineRule="exact"/>
        <w:ind w:left="200"/>
        <w:rPr>
          <w:rFonts w:ascii="方正黑体_GBK" w:hAnsi="黑体" w:eastAsia="方正黑体_GBK"/>
          <w:color w:val="auto"/>
          <w:sz w:val="32"/>
          <w:szCs w:val="32"/>
          <w:highlight w:val="none"/>
        </w:rPr>
      </w:pP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第十四条</w:t>
      </w:r>
      <w:r>
        <w:rPr>
          <w:rFonts w:hint="eastAsia" w:ascii="方正楷体_GBK" w:hAnsi="宋体" w:eastAsia="方正楷体_GBK"/>
          <w:b/>
          <w:color w:val="auto"/>
          <w:sz w:val="32"/>
          <w:szCs w:val="32"/>
          <w:highlight w:val="none"/>
          <w:lang w:val="en-US" w:eastAsia="zh-CN"/>
        </w:rPr>
        <w:t xml:space="preserve">  </w:t>
      </w:r>
      <w:r>
        <w:rPr>
          <w:rFonts w:hint="eastAsia" w:ascii="方正仿宋_GBK" w:hAnsi="仿宋" w:eastAsia="方正仿宋_GBK"/>
          <w:color w:val="auto"/>
          <w:sz w:val="32"/>
          <w:szCs w:val="32"/>
          <w:highlight w:val="none"/>
        </w:rPr>
        <w:t>学生工作人员应保持通讯24小时畅通（含节假日），如联络不上（含未接听电话）且在15分钟内未回复的，给予通报并扣除当月话费补贴。因不可抗力导致通讯不畅或学校另有规定的情况除外。</w:t>
      </w:r>
    </w:p>
    <w:p>
      <w:pPr>
        <w:spacing w:line="560" w:lineRule="exact"/>
        <w:ind w:firstLine="643" w:firstLineChars="200"/>
        <w:rPr>
          <w:rFonts w:ascii="仿宋" w:hAnsi="仿宋" w:eastAsia="仿宋"/>
          <w:color w:val="auto"/>
          <w:sz w:val="32"/>
          <w:szCs w:val="32"/>
          <w:highlight w:val="none"/>
        </w:rPr>
      </w:pPr>
      <w:r>
        <w:rPr>
          <w:rFonts w:hint="eastAsia" w:ascii="方正楷体_GBK" w:hAnsi="宋体" w:eastAsia="方正楷体_GBK"/>
          <w:b/>
          <w:color w:val="auto"/>
          <w:sz w:val="32"/>
          <w:szCs w:val="32"/>
          <w:highlight w:val="none"/>
        </w:rPr>
        <w:t>第十五条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凡因工作需要建立的工作群（QQ群、微信群、集团OA）内发布的工作通知，涉及到本人相关工作的，应当及时回复或者反馈，未回复或反馈的视为已收悉。</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 xml:space="preserve">第十六条 </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凡更换联系方式的，应当向相关部门进行变更报备。凡更换联系方式不报备，造成联络不畅通的，一律按照联络不上情况处理。</w:t>
      </w:r>
    </w:p>
    <w:p>
      <w:pPr>
        <w:spacing w:line="560" w:lineRule="exact"/>
        <w:ind w:firstLine="640" w:firstLineChars="200"/>
        <w:rPr>
          <w:rFonts w:ascii="方正仿宋_GBK" w:hAnsi="仿宋" w:eastAsia="方正仿宋_GBK"/>
          <w:color w:val="auto"/>
          <w:sz w:val="32"/>
          <w:szCs w:val="32"/>
          <w:highlight w:val="none"/>
        </w:rPr>
      </w:pPr>
    </w:p>
    <w:p>
      <w:pPr>
        <w:pStyle w:val="3"/>
        <w:spacing w:line="560" w:lineRule="exact"/>
        <w:rPr>
          <w:rFonts w:hint="eastAsia" w:ascii="方正黑体_GBK" w:hAnsi="方正黑体_GBK" w:eastAsia="方正黑体_GBK" w:cs="方正黑体_GBK"/>
          <w:b/>
          <w:bCs w:val="0"/>
          <w:color w:val="auto"/>
          <w:highlight w:val="none"/>
        </w:rPr>
      </w:pPr>
      <w:bookmarkStart w:id="131" w:name="_Toc15599"/>
      <w:bookmarkStart w:id="132" w:name="_Toc15398618"/>
      <w:bookmarkStart w:id="133" w:name="_Toc12882"/>
    </w:p>
    <w:p>
      <w:pPr>
        <w:pStyle w:val="3"/>
        <w:spacing w:line="560" w:lineRule="exact"/>
        <w:rPr>
          <w:rFonts w:ascii="方正黑体_GBK" w:hAnsi="方正黑体_GBK" w:eastAsia="方正黑体_GBK" w:cs="方正黑体_GBK"/>
          <w:b/>
          <w:bCs w:val="0"/>
          <w:color w:val="auto"/>
          <w:highlight w:val="none"/>
        </w:rPr>
      </w:pPr>
      <w:r>
        <w:rPr>
          <w:rFonts w:hint="eastAsia" w:ascii="方正黑体_GBK" w:hAnsi="方正黑体_GBK" w:eastAsia="方正黑体_GBK" w:cs="方正黑体_GBK"/>
          <w:b/>
          <w:bCs w:val="0"/>
          <w:color w:val="auto"/>
          <w:highlight w:val="none"/>
        </w:rPr>
        <w:t>第五章  附则</w:t>
      </w:r>
      <w:bookmarkEnd w:id="131"/>
      <w:bookmarkEnd w:id="132"/>
      <w:bookmarkEnd w:id="133"/>
    </w:p>
    <w:p>
      <w:pPr>
        <w:spacing w:line="560" w:lineRule="exact"/>
        <w:ind w:left="200"/>
        <w:rPr>
          <w:rFonts w:ascii="方正黑体_GBK" w:hAnsi="黑体" w:eastAsia="方正黑体_GBK"/>
          <w:color w:val="auto"/>
          <w:sz w:val="32"/>
          <w:szCs w:val="32"/>
          <w:highlight w:val="none"/>
        </w:rPr>
      </w:pP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第十七条</w:t>
      </w:r>
      <w:r>
        <w:rPr>
          <w:rFonts w:hint="eastAsia" w:ascii="方正仿宋_GBK" w:hAnsi="仿宋" w:eastAsia="方正仿宋_GBK"/>
          <w:color w:val="auto"/>
          <w:sz w:val="32"/>
          <w:szCs w:val="32"/>
          <w:highlight w:val="none"/>
        </w:rPr>
        <w:t xml:space="preserve">  本办法由学生工作处负责解释。</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宋体" w:eastAsia="方正楷体_GBK"/>
          <w:b/>
          <w:color w:val="auto"/>
          <w:sz w:val="32"/>
          <w:szCs w:val="32"/>
          <w:highlight w:val="none"/>
        </w:rPr>
        <w:t>第十八条</w:t>
      </w:r>
      <w:r>
        <w:rPr>
          <w:rFonts w:hint="eastAsia" w:ascii="方正仿宋_GBK" w:hAnsi="仿宋" w:eastAsia="方正仿宋_GBK"/>
          <w:color w:val="auto"/>
          <w:sz w:val="32"/>
          <w:szCs w:val="32"/>
          <w:highlight w:val="none"/>
        </w:rPr>
        <w:t xml:space="preserve">  本办法于202</w:t>
      </w:r>
      <w:r>
        <w:rPr>
          <w:rFonts w:hint="eastAsia" w:ascii="方正仿宋_GBK" w:hAnsi="仿宋" w:eastAsia="方正仿宋_GBK"/>
          <w:color w:val="auto"/>
          <w:sz w:val="32"/>
          <w:szCs w:val="32"/>
          <w:highlight w:val="none"/>
          <w:lang w:val="en-US" w:eastAsia="zh-CN"/>
        </w:rPr>
        <w:t>2</w:t>
      </w:r>
      <w:r>
        <w:rPr>
          <w:rFonts w:hint="eastAsia" w:ascii="方正仿宋_GBK" w:hAnsi="仿宋" w:eastAsia="方正仿宋_GBK"/>
          <w:color w:val="auto"/>
          <w:sz w:val="32"/>
          <w:szCs w:val="32"/>
          <w:highlight w:val="none"/>
        </w:rPr>
        <w:t>年9月1日起正式实施。</w:t>
      </w:r>
    </w:p>
    <w:p>
      <w:pPr>
        <w:pageBreakBefore w:val="0"/>
        <w:kinsoku/>
        <w:wordWrap/>
        <w:overflowPunct/>
        <w:topLinePunct w:val="0"/>
        <w:autoSpaceDE/>
        <w:autoSpaceDN/>
        <w:bidi w:val="0"/>
        <w:spacing w:line="560" w:lineRule="exact"/>
        <w:jc w:val="center"/>
        <w:textAlignment w:val="auto"/>
        <w:rPr>
          <w:rFonts w:hint="eastAsia" w:ascii="方正小标宋_GBK" w:hAnsi="Arial" w:eastAsia="方正小标宋_GBK" w:cs="Arial"/>
          <w:b/>
          <w:color w:val="auto"/>
          <w:sz w:val="36"/>
          <w:szCs w:val="36"/>
          <w:highlight w:val="none"/>
          <w:shd w:val="clear" w:color="auto" w:fill="FFFFFF"/>
        </w:rPr>
      </w:pPr>
    </w:p>
    <w:p>
      <w:pPr>
        <w:pageBreakBefore w:val="0"/>
        <w:kinsoku/>
        <w:wordWrap/>
        <w:overflowPunct/>
        <w:topLinePunct w:val="0"/>
        <w:autoSpaceDE/>
        <w:autoSpaceDN/>
        <w:bidi w:val="0"/>
        <w:spacing w:line="560" w:lineRule="exact"/>
        <w:jc w:val="center"/>
        <w:textAlignment w:val="auto"/>
        <w:rPr>
          <w:rFonts w:hint="eastAsia" w:ascii="方正小标宋_GBK" w:hAnsi="Arial" w:eastAsia="方正小标宋_GBK" w:cs="Arial"/>
          <w:b/>
          <w:color w:val="auto"/>
          <w:sz w:val="36"/>
          <w:szCs w:val="36"/>
          <w:highlight w:val="none"/>
          <w:shd w:val="clear" w:color="auto" w:fill="FFFFFF"/>
        </w:rPr>
      </w:pPr>
      <w:r>
        <w:rPr>
          <w:rFonts w:hint="eastAsia" w:ascii="方正小标宋_GBK" w:hAnsi="Arial" w:eastAsia="方正小标宋_GBK" w:cs="Arial"/>
          <w:b/>
          <w:color w:val="auto"/>
          <w:sz w:val="36"/>
          <w:szCs w:val="36"/>
          <w:highlight w:val="none"/>
          <w:shd w:val="clear" w:color="auto" w:fill="FFFFFF"/>
        </w:rPr>
        <w:t>云南城市建设职业学院学生工作微信群管理办法</w:t>
      </w:r>
    </w:p>
    <w:p>
      <w:pPr>
        <w:pageBreakBefore w:val="0"/>
        <w:kinsoku/>
        <w:wordWrap/>
        <w:overflowPunct/>
        <w:topLinePunct w:val="0"/>
        <w:autoSpaceDE/>
        <w:autoSpaceDN/>
        <w:bidi w:val="0"/>
        <w:spacing w:line="560" w:lineRule="exact"/>
        <w:jc w:val="center"/>
        <w:textAlignment w:val="auto"/>
        <w:rPr>
          <w:rFonts w:ascii="方正小标宋_GBK" w:hAnsi="Arial" w:eastAsia="方正小标宋_GBK" w:cs="Arial"/>
          <w:b/>
          <w:color w:val="auto"/>
          <w:sz w:val="36"/>
          <w:szCs w:val="36"/>
          <w:highlight w:val="none"/>
          <w:shd w:val="clear" w:color="auto" w:fill="FFFFFF"/>
        </w:rPr>
      </w:pPr>
      <w:r>
        <w:rPr>
          <w:rFonts w:hint="eastAsia" w:ascii="方正小标宋_GBK" w:hAnsi="Arial" w:eastAsia="方正小标宋_GBK" w:cs="Arial"/>
          <w:b/>
          <w:color w:val="auto"/>
          <w:sz w:val="36"/>
          <w:szCs w:val="36"/>
          <w:highlight w:val="none"/>
          <w:shd w:val="clear" w:color="auto" w:fill="FFFFFF"/>
        </w:rPr>
        <w:t>（试行）</w:t>
      </w:r>
    </w:p>
    <w:p>
      <w:pPr>
        <w:pageBreakBefore w:val="0"/>
        <w:kinsoku/>
        <w:wordWrap/>
        <w:overflowPunct/>
        <w:topLinePunct w:val="0"/>
        <w:autoSpaceDE/>
        <w:autoSpaceDN/>
        <w:bidi w:val="0"/>
        <w:spacing w:line="560" w:lineRule="exact"/>
        <w:jc w:val="center"/>
        <w:textAlignment w:val="auto"/>
        <w:rPr>
          <w:rFonts w:ascii="方正小标宋_GBK" w:hAnsi="微软雅黑" w:eastAsia="方正小标宋_GBK"/>
          <w:b/>
          <w:color w:val="auto"/>
          <w:sz w:val="44"/>
          <w:szCs w:val="44"/>
          <w:highlight w:val="none"/>
        </w:rPr>
      </w:pPr>
    </w:p>
    <w:p>
      <w:pPr>
        <w:pageBreakBefore w:val="0"/>
        <w:kinsoku/>
        <w:wordWrap/>
        <w:overflowPunct/>
        <w:topLinePunct w:val="0"/>
        <w:autoSpaceDE/>
        <w:autoSpaceDN/>
        <w:bidi w:val="0"/>
        <w:spacing w:line="560" w:lineRule="exact"/>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仿宋_GBK" w:hAnsi="Arial" w:eastAsia="方正仿宋_GBK" w:cs="Arial"/>
          <w:color w:val="auto"/>
          <w:sz w:val="32"/>
          <w:szCs w:val="32"/>
          <w:highlight w:val="none"/>
          <w:shd w:val="clear" w:color="auto" w:fill="FFFFFF"/>
        </w:rPr>
        <w:t xml:space="preserve">    为了更好的利用互联网信息技术，加强工作沟通联络，提高工作效率，进一步促进和规范学校学生工作微信群的应用，保障微信工作群运行高效、内容规范、信息畅通、互动良好，预防、制止不良和有害信息的传播。根据《中华人民共和国互联网信息服务管理办法》、北京北方投资集团《关于学生工作微信群保密管理的有关规定》，结合我校实际，特制定本办法。</w:t>
      </w:r>
    </w:p>
    <w:p>
      <w:pPr>
        <w:pageBreakBefore w:val="0"/>
        <w:kinsoku/>
        <w:wordWrap/>
        <w:overflowPunct/>
        <w:topLinePunct w:val="0"/>
        <w:autoSpaceDE/>
        <w:autoSpaceDN/>
        <w:bidi w:val="0"/>
        <w:spacing w:line="560" w:lineRule="exact"/>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仿宋_GBK" w:hAnsi="Arial" w:eastAsia="方正仿宋_GBK" w:cs="Arial"/>
          <w:color w:val="auto"/>
          <w:sz w:val="32"/>
          <w:szCs w:val="32"/>
          <w:highlight w:val="none"/>
          <w:shd w:val="clear" w:color="auto" w:fill="FFFFFF"/>
        </w:rPr>
        <w:t>　　</w:t>
      </w:r>
      <w:r>
        <w:rPr>
          <w:rFonts w:hint="eastAsia" w:ascii="方正楷体_GBK" w:hAnsi="楷体" w:eastAsia="方正楷体_GBK" w:cs="Arial"/>
          <w:b/>
          <w:color w:val="auto"/>
          <w:sz w:val="32"/>
          <w:szCs w:val="32"/>
          <w:highlight w:val="none"/>
          <w:shd w:val="clear" w:color="auto" w:fill="FFFFFF"/>
        </w:rPr>
        <w:t>第一条</w:t>
      </w:r>
      <w:r>
        <w:rPr>
          <w:rFonts w:hint="eastAsia" w:ascii="方正仿宋_GBK" w:hAnsi="Arial" w:eastAsia="方正仿宋_GBK" w:cs="Arial"/>
          <w:color w:val="auto"/>
          <w:sz w:val="32"/>
          <w:szCs w:val="32"/>
          <w:highlight w:val="none"/>
          <w:shd w:val="clear" w:color="auto" w:fill="FFFFFF"/>
        </w:rPr>
        <w:t xml:space="preserve">  学生工作微信群的定义。由学校学生工作管理部门（含二级学院）组建用于学生工作交流和任务部署的各类微信群，为群成员交流工作、通报情况、介绍经验、传递信息、共商决策等提供方便</w:t>
      </w:r>
      <w:r>
        <w:rPr>
          <w:rFonts w:hint="eastAsia" w:ascii="方正仿宋_GBK" w:hAnsi="Arial" w:eastAsia="方正仿宋_GBK" w:cs="Arial"/>
          <w:color w:val="auto"/>
          <w:sz w:val="32"/>
          <w:szCs w:val="32"/>
          <w:highlight w:val="none"/>
          <w:shd w:val="clear" w:color="auto" w:fill="FFFFFF"/>
          <w:lang w:eastAsia="zh-CN"/>
        </w:rPr>
        <w:t>。</w:t>
      </w:r>
      <w:r>
        <w:rPr>
          <w:rFonts w:hint="eastAsia" w:ascii="方正仿宋_GBK" w:hAnsi="Arial" w:eastAsia="方正仿宋_GBK" w:cs="Arial"/>
          <w:color w:val="auto"/>
          <w:sz w:val="32"/>
          <w:szCs w:val="32"/>
          <w:highlight w:val="none"/>
          <w:shd w:val="clear" w:color="auto" w:fill="FFFFFF"/>
        </w:rPr>
        <w:t>努力打造成为移动中的“课堂”、不见面的“会场”、互看互学、互比互促的平台。</w:t>
      </w:r>
    </w:p>
    <w:p>
      <w:pPr>
        <w:pageBreakBefore w:val="0"/>
        <w:kinsoku/>
        <w:wordWrap/>
        <w:overflowPunct/>
        <w:topLinePunct w:val="0"/>
        <w:autoSpaceDE/>
        <w:autoSpaceDN/>
        <w:bidi w:val="0"/>
        <w:spacing w:line="560" w:lineRule="exact"/>
        <w:textAlignment w:val="auto"/>
        <w:rPr>
          <w:rFonts w:ascii="方正仿宋_GBK" w:hAnsi="Arial" w:eastAsia="方正仿宋_GBK" w:cs="Arial"/>
          <w:color w:val="auto"/>
          <w:sz w:val="32"/>
          <w:szCs w:val="32"/>
          <w:highlight w:val="none"/>
          <w:shd w:val="clear" w:color="auto" w:fill="FFFFFF"/>
        </w:rPr>
      </w:pPr>
      <w:r>
        <w:rPr>
          <w:rFonts w:hint="eastAsia" w:ascii="方正仿宋_GBK" w:hAnsi="Arial" w:eastAsia="方正仿宋_GBK" w:cs="Arial"/>
          <w:color w:val="auto"/>
          <w:sz w:val="32"/>
          <w:szCs w:val="32"/>
          <w:highlight w:val="none"/>
          <w:shd w:val="clear" w:color="auto" w:fill="FFFFFF"/>
        </w:rPr>
        <w:t>　　</w:t>
      </w:r>
      <w:r>
        <w:rPr>
          <w:rFonts w:hint="eastAsia" w:ascii="方正楷体_GBK" w:hAnsi="楷体" w:eastAsia="方正楷体_GBK" w:cs="Arial"/>
          <w:b/>
          <w:color w:val="auto"/>
          <w:sz w:val="32"/>
          <w:szCs w:val="32"/>
          <w:highlight w:val="none"/>
          <w:shd w:val="clear" w:color="auto" w:fill="FFFFFF"/>
        </w:rPr>
        <w:t>第二条</w:t>
      </w:r>
      <w:r>
        <w:rPr>
          <w:rFonts w:hint="eastAsia" w:ascii="方正仿宋_GBK" w:hAnsi="楷体" w:eastAsia="方正仿宋_GBK" w:cs="Arial"/>
          <w:b/>
          <w:color w:val="auto"/>
          <w:sz w:val="32"/>
          <w:szCs w:val="32"/>
          <w:highlight w:val="none"/>
          <w:shd w:val="clear" w:color="auto" w:fill="FFFFFF"/>
        </w:rPr>
        <w:t xml:space="preserve">  </w:t>
      </w:r>
      <w:r>
        <w:rPr>
          <w:rFonts w:hint="eastAsia" w:ascii="方正仿宋_GBK" w:hAnsi="Arial" w:eastAsia="方正仿宋_GBK" w:cs="Arial"/>
          <w:color w:val="auto"/>
          <w:sz w:val="32"/>
          <w:szCs w:val="32"/>
          <w:highlight w:val="none"/>
          <w:shd w:val="clear" w:color="auto" w:fill="FFFFFF"/>
        </w:rPr>
        <w:t>微信工作群的建立。学生工作微信群建立实行“谁建群谁负责、谁管理谁负责、谁发布谁负责”的原则，群主为该群管理的第一责任人，</w:t>
      </w:r>
      <w:r>
        <w:rPr>
          <w:rFonts w:hint="eastAsia" w:ascii="方正仿宋_GBK" w:eastAsia="方正仿宋_GBK"/>
          <w:color w:val="auto"/>
          <w:sz w:val="32"/>
          <w:szCs w:val="32"/>
          <w:highlight w:val="none"/>
        </w:rPr>
        <w:t>进各类学生工作微信群需经群主同意，</w:t>
      </w:r>
      <w:r>
        <w:rPr>
          <w:rFonts w:hint="eastAsia" w:ascii="方正仿宋_GBK" w:hAnsi="Arial" w:eastAsia="方正仿宋_GBK" w:cs="Arial"/>
          <w:color w:val="auto"/>
          <w:sz w:val="32"/>
          <w:szCs w:val="32"/>
          <w:highlight w:val="none"/>
          <w:shd w:val="clear" w:color="auto" w:fill="FFFFFF"/>
        </w:rPr>
        <w:t>群成员一律实行实名制。</w:t>
      </w:r>
    </w:p>
    <w:p>
      <w:pPr>
        <w:pageBreakBefore w:val="0"/>
        <w:kinsoku/>
        <w:wordWrap/>
        <w:overflowPunct/>
        <w:topLinePunct w:val="0"/>
        <w:autoSpaceDE/>
        <w:autoSpaceDN/>
        <w:bidi w:val="0"/>
        <w:spacing w:line="560" w:lineRule="exact"/>
        <w:textAlignment w:val="auto"/>
        <w:rPr>
          <w:rFonts w:ascii="方正仿宋_GBK" w:hAnsi="Arial" w:eastAsia="方正仿宋_GBK" w:cs="Arial"/>
          <w:color w:val="auto"/>
          <w:sz w:val="32"/>
          <w:szCs w:val="32"/>
          <w:highlight w:val="none"/>
          <w:shd w:val="clear" w:color="auto" w:fill="FFFFFF"/>
        </w:rPr>
      </w:pPr>
      <w:r>
        <w:rPr>
          <w:rFonts w:hint="eastAsia" w:ascii="方正仿宋_GBK" w:hAnsi="Arial" w:eastAsia="方正仿宋_GBK" w:cs="Arial"/>
          <w:color w:val="auto"/>
          <w:sz w:val="32"/>
          <w:szCs w:val="32"/>
          <w:highlight w:val="none"/>
          <w:shd w:val="clear" w:color="auto" w:fill="FFFFFF"/>
        </w:rPr>
        <w:t xml:space="preserve">    各二级学院也可以参照本办法建立各自的微信工作群，建立的各类工作群应按照本办法要求加强管理，并报学生工作处备案。</w:t>
      </w:r>
    </w:p>
    <w:p>
      <w:pPr>
        <w:pageBreakBefore w:val="0"/>
        <w:kinsoku/>
        <w:wordWrap/>
        <w:overflowPunct/>
        <w:topLinePunct w:val="0"/>
        <w:autoSpaceDE/>
        <w:autoSpaceDN/>
        <w:bidi w:val="0"/>
        <w:spacing w:line="560" w:lineRule="exact"/>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仿宋_GBK" w:hAnsi="Arial" w:eastAsia="方正仿宋_GBK" w:cs="Arial"/>
          <w:color w:val="auto"/>
          <w:sz w:val="32"/>
          <w:szCs w:val="32"/>
          <w:highlight w:val="none"/>
          <w:shd w:val="clear" w:color="auto" w:fill="FFFFFF"/>
        </w:rPr>
        <w:t xml:space="preserve">    </w:t>
      </w:r>
      <w:r>
        <w:rPr>
          <w:rFonts w:hint="eastAsia" w:ascii="方正楷体_GBK" w:hAnsi="楷体" w:eastAsia="方正楷体_GBK" w:cs="Arial"/>
          <w:b/>
          <w:color w:val="auto"/>
          <w:sz w:val="32"/>
          <w:szCs w:val="32"/>
          <w:highlight w:val="none"/>
          <w:shd w:val="clear" w:color="auto" w:fill="FFFFFF"/>
        </w:rPr>
        <w:t xml:space="preserve">第三条  </w:t>
      </w:r>
      <w:r>
        <w:rPr>
          <w:rFonts w:hint="eastAsia" w:ascii="方正仿宋_GBK" w:hAnsi="Arial" w:eastAsia="方正仿宋_GBK" w:cs="Arial"/>
          <w:color w:val="auto"/>
          <w:sz w:val="32"/>
          <w:szCs w:val="32"/>
          <w:highlight w:val="none"/>
          <w:shd w:val="clear" w:color="auto" w:fill="FFFFFF"/>
        </w:rPr>
        <w:t>微信工作群的管理。微信工作群由群主负责日常管理，负责对微信群内成员聊天内容的监督、违规处理等；对群成员发布非工作性质等相关内容有权予以制止，及时终止不合时宜的话题和言语；对群成员发布的有利于全局性工作的信息、意见建议，要及时做好记录并向有关领导汇报。</w:t>
      </w:r>
    </w:p>
    <w:p>
      <w:pPr>
        <w:pageBreakBefore w:val="0"/>
        <w:kinsoku/>
        <w:wordWrap/>
        <w:overflowPunct/>
        <w:topLinePunct w:val="0"/>
        <w:autoSpaceDE/>
        <w:autoSpaceDN/>
        <w:bidi w:val="0"/>
        <w:spacing w:line="560" w:lineRule="exact"/>
        <w:textAlignment w:val="auto"/>
        <w:rPr>
          <w:rFonts w:ascii="方正仿宋_GBK" w:hAnsi="Arial" w:eastAsia="方正仿宋_GBK" w:cs="Arial"/>
          <w:color w:val="auto"/>
          <w:sz w:val="32"/>
          <w:szCs w:val="32"/>
          <w:highlight w:val="none"/>
          <w:shd w:val="clear" w:color="auto" w:fill="FFFFFF"/>
        </w:rPr>
      </w:pPr>
      <w:r>
        <w:rPr>
          <w:rFonts w:hint="eastAsia" w:ascii="方正仿宋_GBK" w:hAnsi="Arial" w:eastAsia="方正仿宋_GBK" w:cs="Arial"/>
          <w:color w:val="auto"/>
          <w:sz w:val="32"/>
          <w:szCs w:val="32"/>
          <w:highlight w:val="none"/>
          <w:shd w:val="clear" w:color="auto" w:fill="FFFFFF"/>
        </w:rPr>
        <w:t>　</w:t>
      </w:r>
      <w:r>
        <w:rPr>
          <w:rFonts w:hint="eastAsia" w:ascii="方正楷体_GBK" w:hAnsi="Arial" w:eastAsia="方正楷体_GBK" w:cs="Arial"/>
          <w:color w:val="auto"/>
          <w:sz w:val="32"/>
          <w:szCs w:val="32"/>
          <w:highlight w:val="none"/>
          <w:shd w:val="clear" w:color="auto" w:fill="FFFFFF"/>
        </w:rPr>
        <w:t>　</w:t>
      </w:r>
      <w:r>
        <w:rPr>
          <w:rFonts w:hint="eastAsia" w:ascii="方正楷体_GBK" w:hAnsi="楷体" w:eastAsia="方正楷体_GBK" w:cs="Arial"/>
          <w:b/>
          <w:color w:val="auto"/>
          <w:sz w:val="32"/>
          <w:szCs w:val="32"/>
          <w:highlight w:val="none"/>
          <w:shd w:val="clear" w:color="auto" w:fill="FFFFFF"/>
        </w:rPr>
        <w:t xml:space="preserve">第四条 </w:t>
      </w:r>
      <w:r>
        <w:rPr>
          <w:rFonts w:hint="eastAsia" w:ascii="方正仿宋_GBK" w:hAnsi="楷体" w:eastAsia="方正仿宋_GBK" w:cs="Arial"/>
          <w:b/>
          <w:color w:val="auto"/>
          <w:sz w:val="32"/>
          <w:szCs w:val="32"/>
          <w:highlight w:val="none"/>
          <w:shd w:val="clear" w:color="auto" w:fill="FFFFFF"/>
        </w:rPr>
        <w:t xml:space="preserve"> </w:t>
      </w:r>
      <w:r>
        <w:rPr>
          <w:rFonts w:hint="eastAsia" w:ascii="方正仿宋_GBK" w:hAnsi="Arial" w:eastAsia="方正仿宋_GBK" w:cs="Arial"/>
          <w:color w:val="auto"/>
          <w:sz w:val="32"/>
          <w:szCs w:val="32"/>
          <w:highlight w:val="none"/>
          <w:shd w:val="clear" w:color="auto" w:fill="FFFFFF"/>
        </w:rPr>
        <w:t>微信工作群的使用。微信工作群发布的信息主要包括文字、语音、图片、视频等。文字应精炼准确，语音应洪亮清楚，图片、视频应真实清晰。</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ascii="方正仿宋_GBK" w:hAnsi="Arial" w:eastAsia="方正仿宋_GBK" w:cs="Arial"/>
          <w:color w:val="auto"/>
          <w:kern w:val="2"/>
          <w:sz w:val="32"/>
          <w:szCs w:val="32"/>
          <w:highlight w:val="none"/>
          <w:shd w:val="clear" w:color="auto" w:fill="FFFFFF"/>
        </w:rPr>
      </w:pPr>
      <w:r>
        <w:rPr>
          <w:rFonts w:hint="eastAsia" w:ascii="方正楷体_GBK" w:hAnsi="楷体" w:eastAsia="方正楷体_GBK" w:cs="Arial"/>
          <w:b/>
          <w:color w:val="auto"/>
          <w:kern w:val="2"/>
          <w:sz w:val="32"/>
          <w:szCs w:val="32"/>
          <w:highlight w:val="none"/>
          <w:shd w:val="clear" w:color="auto" w:fill="FFFFFF"/>
        </w:rPr>
        <w:t>第五条</w:t>
      </w:r>
      <w:r>
        <w:rPr>
          <w:rFonts w:hint="eastAsia" w:ascii="Arial" w:hAnsi="Arial" w:eastAsia="方正楷体_GBK" w:cs="Arial"/>
          <w:b/>
          <w:color w:val="auto"/>
          <w:kern w:val="2"/>
          <w:sz w:val="32"/>
          <w:szCs w:val="32"/>
          <w:highlight w:val="none"/>
          <w:shd w:val="clear" w:color="auto" w:fill="FFFFFF"/>
        </w:rPr>
        <w:t> </w:t>
      </w:r>
      <w:r>
        <w:rPr>
          <w:rFonts w:hint="eastAsia" w:ascii="方正楷体_GBK" w:hAnsi="楷体" w:eastAsia="方正楷体_GBK" w:cs="Arial"/>
          <w:b/>
          <w:color w:val="auto"/>
          <w:kern w:val="2"/>
          <w:sz w:val="32"/>
          <w:szCs w:val="32"/>
          <w:highlight w:val="none"/>
          <w:shd w:val="clear" w:color="auto" w:fill="FFFFFF"/>
        </w:rPr>
        <w:t xml:space="preserve"> </w:t>
      </w:r>
      <w:r>
        <w:rPr>
          <w:rFonts w:hint="eastAsia" w:ascii="方正仿宋_GBK" w:hAnsi="楷体" w:eastAsia="方正仿宋_GBK" w:cs="Arial"/>
          <w:b/>
          <w:color w:val="auto"/>
          <w:kern w:val="2"/>
          <w:sz w:val="32"/>
          <w:szCs w:val="32"/>
          <w:highlight w:val="none"/>
          <w:shd w:val="clear" w:color="auto" w:fill="FFFFFF"/>
        </w:rPr>
        <w:t xml:space="preserve"> </w:t>
      </w:r>
      <w:r>
        <w:rPr>
          <w:rFonts w:hint="eastAsia" w:ascii="方正仿宋_GBK" w:hAnsi="Arial" w:eastAsia="方正仿宋_GBK" w:cs="Arial"/>
          <w:color w:val="auto"/>
          <w:kern w:val="2"/>
          <w:sz w:val="32"/>
          <w:szCs w:val="32"/>
          <w:highlight w:val="none"/>
          <w:shd w:val="clear" w:color="auto" w:fill="FFFFFF"/>
        </w:rPr>
        <w:t>微信工作群的纪律。微信工作群信息发布要遵守国家和学校有关要求，把政治纪律挺在前面，自觉抵制各种错误言论和网络谣言，做到“十个不”。</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（一）不散布传播违背党的理论和路线方针政策的意见和丑化党和国家形象的言论。</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（二）不泄露党和国家以及学校的秘密。</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（三）不制造和传播各类谣言，</w:t>
      </w:r>
      <w:r>
        <w:rPr>
          <w:rFonts w:hint="eastAsia" w:ascii="方正仿宋_GBK" w:eastAsia="方正仿宋_GBK"/>
          <w:color w:val="auto"/>
          <w:sz w:val="32"/>
          <w:szCs w:val="32"/>
          <w:highlight w:val="none"/>
        </w:rPr>
        <w:t>不得发布未经公开报道和证实的小道消息</w:t>
      </w:r>
      <w:r>
        <w:rPr>
          <w:rFonts w:hint="eastAsia" w:ascii="方正仿宋_GBK" w:hAnsi="Arial" w:eastAsia="方正仿宋_GBK" w:cs="Arial"/>
          <w:color w:val="auto"/>
          <w:kern w:val="2"/>
          <w:sz w:val="32"/>
          <w:szCs w:val="32"/>
          <w:highlight w:val="none"/>
          <w:shd w:val="clear" w:color="auto" w:fill="FFFFFF"/>
        </w:rPr>
        <w:t>。</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（四）不转发有违社会公德、危害他人身心健康的低俗文字和图片、视频。</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（五）不违规从事以营利为目的以及与自身身份不相符的推销、推广活动。</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（六）</w:t>
      </w:r>
      <w:r>
        <w:rPr>
          <w:rFonts w:hint="eastAsia" w:ascii="方正仿宋_GBK" w:eastAsia="方正仿宋_GBK"/>
          <w:color w:val="auto"/>
          <w:sz w:val="32"/>
          <w:szCs w:val="32"/>
          <w:highlight w:val="none"/>
        </w:rPr>
        <w:t>不得对外泄露集团、学校和师生信息</w:t>
      </w:r>
      <w:r>
        <w:rPr>
          <w:rFonts w:hint="eastAsia" w:ascii="方正仿宋_GBK" w:hAnsi="Arial" w:eastAsia="方正仿宋_GBK" w:cs="Arial"/>
          <w:color w:val="auto"/>
          <w:kern w:val="2"/>
          <w:sz w:val="32"/>
          <w:szCs w:val="32"/>
          <w:highlight w:val="none"/>
          <w:shd w:val="clear" w:color="auto" w:fill="FFFFFF"/>
        </w:rPr>
        <w:t>。</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（七）不传播迷信信息和从事迷信活动。</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（八）</w:t>
      </w:r>
      <w:r>
        <w:rPr>
          <w:rFonts w:hint="eastAsia" w:ascii="方正仿宋_GBK" w:eastAsia="方正仿宋_GBK"/>
          <w:color w:val="auto"/>
          <w:sz w:val="32"/>
          <w:szCs w:val="32"/>
          <w:highlight w:val="none"/>
        </w:rPr>
        <w:t>不得将群内信息转发给无关人员</w:t>
      </w:r>
      <w:r>
        <w:rPr>
          <w:rFonts w:hint="eastAsia" w:ascii="方正仿宋_GBK" w:hAnsi="Arial" w:eastAsia="方正仿宋_GBK" w:cs="Arial"/>
          <w:color w:val="auto"/>
          <w:kern w:val="2"/>
          <w:sz w:val="32"/>
          <w:szCs w:val="32"/>
          <w:highlight w:val="none"/>
          <w:shd w:val="clear" w:color="auto" w:fill="FFFFFF"/>
        </w:rPr>
        <w:t>。</w:t>
      </w:r>
      <w:r>
        <w:rPr>
          <w:rFonts w:hint="eastAsia" w:ascii="方正仿宋_GBK" w:eastAsia="方正仿宋_GBK"/>
          <w:color w:val="auto"/>
          <w:sz w:val="32"/>
          <w:szCs w:val="32"/>
          <w:highlight w:val="none"/>
        </w:rPr>
        <w:t>群内交流不得掺负面情绪，应正面交流、文明用语。</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kern w:val="2"/>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（九）不公开谈论和透露他人隐私。</w:t>
      </w:r>
    </w:p>
    <w:p>
      <w:pPr>
        <w:pStyle w:val="21"/>
        <w:pageBreakBefore w:val="0"/>
        <w:kinsoku/>
        <w:wordWrap/>
        <w:overflowPunct/>
        <w:topLinePunct w:val="0"/>
        <w:autoSpaceDE/>
        <w:autoSpaceDN/>
        <w:bidi w:val="0"/>
        <w:spacing w:beforeAutospacing="0" w:afterAutospacing="0" w:line="560" w:lineRule="exact"/>
        <w:ind w:firstLine="640"/>
        <w:textAlignment w:val="auto"/>
        <w:rPr>
          <w:rFonts w:ascii="方正仿宋_GBK" w:hAnsi="Arial" w:eastAsia="方正仿宋_GBK" w:cs="Arial"/>
          <w:color w:val="auto"/>
          <w:sz w:val="32"/>
          <w:szCs w:val="32"/>
          <w:highlight w:val="none"/>
          <w:shd w:val="clear" w:color="auto" w:fill="FFFFFF"/>
        </w:rPr>
      </w:pPr>
      <w:r>
        <w:rPr>
          <w:rFonts w:hint="eastAsia" w:ascii="方正仿宋_GBK" w:hAnsi="Arial" w:eastAsia="方正仿宋_GBK" w:cs="Arial"/>
          <w:color w:val="auto"/>
          <w:kern w:val="2"/>
          <w:sz w:val="32"/>
          <w:szCs w:val="32"/>
          <w:highlight w:val="none"/>
          <w:shd w:val="clear" w:color="auto" w:fill="FFFFFF"/>
        </w:rPr>
        <w:t>（十）不发布其他不当言论。</w:t>
      </w:r>
    </w:p>
    <w:p>
      <w:pPr>
        <w:pStyle w:val="21"/>
        <w:pageBreakBefore w:val="0"/>
        <w:kinsoku/>
        <w:wordWrap/>
        <w:overflowPunct/>
        <w:topLinePunct w:val="0"/>
        <w:autoSpaceDE/>
        <w:autoSpaceDN/>
        <w:bidi w:val="0"/>
        <w:spacing w:beforeAutospacing="0" w:afterAutospacing="0" w:line="560" w:lineRule="exact"/>
        <w:ind w:firstLine="640"/>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楷体_GBK" w:hAnsi="Arial" w:eastAsia="方正楷体_GBK" w:cs="Arial"/>
          <w:b/>
          <w:color w:val="auto"/>
          <w:sz w:val="32"/>
          <w:szCs w:val="32"/>
          <w:highlight w:val="none"/>
          <w:shd w:val="clear" w:color="auto" w:fill="FFFFFF"/>
        </w:rPr>
        <w:t>第六条</w:t>
      </w:r>
      <w:r>
        <w:rPr>
          <w:rFonts w:hint="eastAsia" w:ascii="方正仿宋_GBK" w:hAnsi="Arial" w:eastAsia="方正仿宋_GBK" w:cs="Arial"/>
          <w:b/>
          <w:color w:val="auto"/>
          <w:sz w:val="32"/>
          <w:szCs w:val="32"/>
          <w:highlight w:val="none"/>
          <w:shd w:val="clear" w:color="auto" w:fill="FFFFFF"/>
        </w:rPr>
        <w:t xml:space="preserve">   </w:t>
      </w:r>
      <w:r>
        <w:rPr>
          <w:rFonts w:hint="eastAsia" w:ascii="方正仿宋_GBK" w:hAnsi="Arial" w:eastAsia="方正仿宋_GBK" w:cs="Arial"/>
          <w:color w:val="auto"/>
          <w:sz w:val="32"/>
          <w:szCs w:val="32"/>
          <w:highlight w:val="none"/>
          <w:shd w:val="clear" w:color="auto" w:fill="FFFFFF"/>
        </w:rPr>
        <w:t>微信工作群信息发布应坚持“上网不涉密、涉密不上网”的原则，不谈论涉密和敏感话题，不转载与本职工作无关的文章，不把群内动态扩散至群外或互联网。</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楷体_GBK" w:hAnsi="Arial" w:eastAsia="方正楷体_GBK" w:cs="Arial"/>
          <w:b/>
          <w:color w:val="auto"/>
          <w:sz w:val="32"/>
          <w:szCs w:val="32"/>
          <w:highlight w:val="none"/>
          <w:shd w:val="clear" w:color="auto" w:fill="FFFFFF"/>
        </w:rPr>
        <w:t>第七条</w:t>
      </w:r>
      <w:r>
        <w:rPr>
          <w:rFonts w:hint="eastAsia" w:ascii="方正楷体_GBK" w:hAnsi="Arial" w:eastAsia="方正楷体_GBK" w:cs="Arial"/>
          <w:b/>
          <w:color w:val="auto"/>
          <w:sz w:val="32"/>
          <w:szCs w:val="32"/>
          <w:highlight w:val="none"/>
          <w:shd w:val="clear" w:color="auto" w:fill="FFFFFF"/>
          <w:lang w:val="en-US" w:eastAsia="zh-CN"/>
        </w:rPr>
        <w:t xml:space="preserve">  </w:t>
      </w:r>
      <w:r>
        <w:rPr>
          <w:rFonts w:hint="eastAsia" w:ascii="方正仿宋_GBK" w:hAnsi="Arial" w:eastAsia="方正仿宋_GBK" w:cs="Arial"/>
          <w:color w:val="auto"/>
          <w:sz w:val="32"/>
          <w:szCs w:val="32"/>
          <w:highlight w:val="none"/>
          <w:shd w:val="clear" w:color="auto" w:fill="FFFFFF"/>
        </w:rPr>
        <w:t>群成员要坚持登录微信，定时查阅群成员动态，对群成员的任务布置、工作问询，要第一时间给予回应，做到联络畅通、信息对称</w:t>
      </w:r>
      <w:r>
        <w:rPr>
          <w:rFonts w:hint="eastAsia" w:ascii="方正仿宋_GBK" w:hAnsi="Arial" w:eastAsia="方正仿宋_GBK" w:cs="Arial"/>
          <w:color w:val="auto"/>
          <w:sz w:val="32"/>
          <w:szCs w:val="32"/>
          <w:highlight w:val="none"/>
          <w:shd w:val="clear" w:color="auto" w:fill="FFFFFF"/>
          <w:lang w:eastAsia="zh-CN"/>
        </w:rPr>
        <w:t>。</w:t>
      </w:r>
      <w:r>
        <w:rPr>
          <w:rFonts w:hint="eastAsia" w:ascii="方正仿宋_GBK" w:hAnsi="Arial" w:eastAsia="方正仿宋_GBK" w:cs="Arial"/>
          <w:color w:val="auto"/>
          <w:sz w:val="32"/>
          <w:szCs w:val="32"/>
          <w:highlight w:val="none"/>
          <w:shd w:val="clear" w:color="auto" w:fill="FFFFFF"/>
        </w:rPr>
        <w:t>群内提倡正能量内容的原创和转发，每位群成员都有义务发布改进工作、促进团结、鼓舞士气的内容。</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楷体_GBK" w:hAnsi="Arial" w:eastAsia="方正楷体_GBK" w:cs="Arial"/>
          <w:b/>
          <w:color w:val="auto"/>
          <w:sz w:val="32"/>
          <w:szCs w:val="32"/>
          <w:highlight w:val="none"/>
          <w:shd w:val="clear" w:color="auto" w:fill="FFFFFF"/>
        </w:rPr>
        <w:t>第八条</w:t>
      </w:r>
      <w:r>
        <w:rPr>
          <w:rFonts w:hint="eastAsia" w:ascii="方正楷体_GBK" w:hAnsi="Arial" w:eastAsia="方正楷体_GBK" w:cs="Arial"/>
          <w:b/>
          <w:color w:val="auto"/>
          <w:sz w:val="32"/>
          <w:szCs w:val="32"/>
          <w:highlight w:val="none"/>
          <w:shd w:val="clear" w:color="auto" w:fill="FFFFFF"/>
          <w:lang w:val="en-US" w:eastAsia="zh-CN"/>
        </w:rPr>
        <w:t xml:space="preserve">  </w:t>
      </w:r>
      <w:r>
        <w:rPr>
          <w:rFonts w:hint="eastAsia" w:ascii="方正仿宋_GBK" w:hAnsi="Arial" w:eastAsia="方正仿宋_GBK" w:cs="Arial"/>
          <w:color w:val="auto"/>
          <w:sz w:val="32"/>
          <w:szCs w:val="32"/>
          <w:highlight w:val="none"/>
          <w:shd w:val="clear" w:color="auto" w:fill="FFFFFF"/>
        </w:rPr>
        <w:t>群成员因工作需要，可互相加为微信好友，在探讨商榷有关工作时，可转为好友联系模式进行一对一沟通交流、安排工作。</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楷体_GBK" w:hAnsi="Arial" w:eastAsia="方正楷体_GBK" w:cs="Arial"/>
          <w:b/>
          <w:color w:val="auto"/>
          <w:sz w:val="32"/>
          <w:szCs w:val="32"/>
          <w:highlight w:val="none"/>
          <w:shd w:val="clear" w:color="auto" w:fill="FFFFFF"/>
        </w:rPr>
        <w:t>第九条</w:t>
      </w:r>
      <w:r>
        <w:rPr>
          <w:rFonts w:hint="eastAsia" w:ascii="方正楷体_GBK" w:hAnsi="Arial" w:eastAsia="方正楷体_GBK" w:cs="Arial"/>
          <w:b/>
          <w:color w:val="auto"/>
          <w:sz w:val="32"/>
          <w:szCs w:val="32"/>
          <w:highlight w:val="none"/>
          <w:shd w:val="clear" w:color="auto" w:fill="FFFFFF"/>
          <w:lang w:val="en-US" w:eastAsia="zh-CN"/>
        </w:rPr>
        <w:t xml:space="preserve">  </w:t>
      </w:r>
      <w:r>
        <w:rPr>
          <w:rFonts w:hint="eastAsia" w:ascii="方正仿宋_GBK" w:hAnsi="Arial" w:eastAsia="方正仿宋_GBK" w:cs="Arial"/>
          <w:color w:val="auto"/>
          <w:sz w:val="32"/>
          <w:szCs w:val="32"/>
          <w:highlight w:val="none"/>
          <w:shd w:val="clear" w:color="auto" w:fill="FFFFFF"/>
        </w:rPr>
        <w:t>群成员应加强手机管理，上网运行时应设置相关安全防范措施，防止丢失、失密。群成员必须为本单位、本系统人员，无关人员一律不得进群。群成员因工作职务变动，可申请退出微信工作群，必要时可由群主及时移请出群。</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hint="eastAsia" w:ascii="方正仿宋_GBK" w:hAnsi="Arial" w:eastAsia="方正仿宋_GBK" w:cs="Arial"/>
          <w:color w:val="auto"/>
          <w:sz w:val="32"/>
          <w:szCs w:val="32"/>
          <w:highlight w:val="none"/>
          <w:shd w:val="clear" w:color="auto" w:fill="FFFFFF"/>
          <w:lang w:eastAsia="zh-CN"/>
        </w:rPr>
      </w:pPr>
      <w:r>
        <w:rPr>
          <w:rFonts w:hint="eastAsia" w:ascii="方正楷体_GBK" w:hAnsi="Arial" w:eastAsia="方正楷体_GBK" w:cs="Arial"/>
          <w:b/>
          <w:color w:val="auto"/>
          <w:sz w:val="32"/>
          <w:szCs w:val="32"/>
          <w:highlight w:val="none"/>
          <w:shd w:val="clear" w:color="auto" w:fill="FFFFFF"/>
        </w:rPr>
        <w:t>第十条</w:t>
      </w:r>
      <w:r>
        <w:rPr>
          <w:rFonts w:hint="eastAsia" w:ascii="方正楷体_GBK" w:hAnsi="Arial" w:eastAsia="方正楷体_GBK" w:cs="Arial"/>
          <w:b/>
          <w:color w:val="auto"/>
          <w:sz w:val="32"/>
          <w:szCs w:val="32"/>
          <w:highlight w:val="none"/>
          <w:shd w:val="clear" w:color="auto" w:fill="FFFFFF"/>
          <w:lang w:val="en-US" w:eastAsia="zh-CN"/>
        </w:rPr>
        <w:t xml:space="preserve">  </w:t>
      </w:r>
      <w:r>
        <w:rPr>
          <w:rFonts w:hint="eastAsia" w:ascii="方正仿宋_GBK" w:hAnsi="Arial" w:eastAsia="方正仿宋_GBK" w:cs="Arial"/>
          <w:color w:val="auto"/>
          <w:sz w:val="32"/>
          <w:szCs w:val="32"/>
          <w:highlight w:val="none"/>
          <w:shd w:val="clear" w:color="auto" w:fill="FFFFFF"/>
        </w:rPr>
        <w:t>微信工作群实行联络员制度，联络员由微信群发起单位主要负责同志担任，主要负责对群成员发布的工作任务进行交办、督办；根据领导指示，上传发送有关工作部署要求和通知、信息。</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ascii="方正仿宋_GBK" w:hAnsi="Arial" w:eastAsia="方正仿宋_GBK" w:cs="Arial"/>
          <w:color w:val="auto"/>
          <w:sz w:val="32"/>
          <w:szCs w:val="32"/>
          <w:highlight w:val="none"/>
          <w:shd w:val="clear" w:color="auto" w:fill="FFFFFF"/>
        </w:rPr>
      </w:pPr>
      <w:r>
        <w:rPr>
          <w:rFonts w:hint="eastAsia" w:ascii="方正楷体_GBK" w:hAnsi="Arial" w:eastAsia="方正楷体_GBK" w:cs="Arial"/>
          <w:b/>
          <w:color w:val="auto"/>
          <w:sz w:val="32"/>
          <w:szCs w:val="32"/>
          <w:highlight w:val="none"/>
          <w:shd w:val="clear" w:color="auto" w:fill="FFFFFF"/>
        </w:rPr>
        <w:t>第十一条</w:t>
      </w:r>
      <w:r>
        <w:rPr>
          <w:rFonts w:hint="eastAsia" w:ascii="方正仿宋_GBK" w:hAnsi="Arial" w:eastAsia="方正仿宋_GBK" w:cs="Arial"/>
          <w:b/>
          <w:color w:val="auto"/>
          <w:sz w:val="32"/>
          <w:szCs w:val="32"/>
          <w:highlight w:val="none"/>
          <w:shd w:val="clear" w:color="auto" w:fill="FFFFFF"/>
        </w:rPr>
        <w:t>　</w:t>
      </w:r>
      <w:r>
        <w:rPr>
          <w:rFonts w:hint="eastAsia" w:ascii="方正仿宋_GBK" w:hAnsi="Arial" w:eastAsia="方正仿宋_GBK" w:cs="Arial"/>
          <w:color w:val="auto"/>
          <w:sz w:val="32"/>
          <w:szCs w:val="32"/>
          <w:highlight w:val="none"/>
          <w:shd w:val="clear" w:color="auto" w:fill="FFFFFF"/>
        </w:rPr>
        <w:t>本办法由学生工作处负责解释。</w:t>
      </w:r>
    </w:p>
    <w:p>
      <w:pPr>
        <w:pStyle w:val="21"/>
        <w:pageBreakBefore w:val="0"/>
        <w:kinsoku/>
        <w:wordWrap/>
        <w:overflowPunct/>
        <w:topLinePunct w:val="0"/>
        <w:autoSpaceDE/>
        <w:autoSpaceDN/>
        <w:bidi w:val="0"/>
        <w:spacing w:beforeAutospacing="0" w:afterAutospacing="0" w:line="560" w:lineRule="exact"/>
        <w:ind w:left="0" w:leftChars="0" w:firstLine="643" w:firstLineChars="200"/>
        <w:textAlignment w:val="auto"/>
        <w:rPr>
          <w:rFonts w:ascii="方正仿宋_GBK" w:hAnsi="Arial" w:eastAsia="方正仿宋_GBK" w:cs="Arial"/>
          <w:color w:val="auto"/>
          <w:sz w:val="32"/>
          <w:szCs w:val="32"/>
          <w:highlight w:val="none"/>
          <w:shd w:val="clear" w:color="auto" w:fill="FFFFFF"/>
        </w:rPr>
      </w:pPr>
      <w:r>
        <w:rPr>
          <w:rFonts w:hint="eastAsia" w:ascii="方正楷体_GBK" w:hAnsi="Arial" w:eastAsia="方正楷体_GBK" w:cs="Arial"/>
          <w:b/>
          <w:color w:val="auto"/>
          <w:sz w:val="32"/>
          <w:szCs w:val="32"/>
          <w:highlight w:val="none"/>
          <w:shd w:val="clear" w:color="auto" w:fill="FFFFFF"/>
        </w:rPr>
        <w:t xml:space="preserve">第十二条  </w:t>
      </w:r>
      <w:r>
        <w:rPr>
          <w:rFonts w:hint="eastAsia" w:ascii="方正仿宋_GBK" w:hAnsi="Arial" w:eastAsia="方正仿宋_GBK" w:cs="Arial"/>
          <w:color w:val="auto"/>
          <w:sz w:val="32"/>
          <w:szCs w:val="32"/>
          <w:highlight w:val="none"/>
          <w:shd w:val="clear" w:color="auto" w:fill="FFFFFF"/>
        </w:rPr>
        <w:t>本办法自202</w:t>
      </w:r>
      <w:r>
        <w:rPr>
          <w:rFonts w:hint="eastAsia" w:ascii="方正仿宋_GBK" w:hAnsi="Arial" w:eastAsia="方正仿宋_GBK" w:cs="Arial"/>
          <w:color w:val="auto"/>
          <w:sz w:val="32"/>
          <w:szCs w:val="32"/>
          <w:highlight w:val="none"/>
          <w:shd w:val="clear" w:color="auto" w:fill="FFFFFF"/>
          <w:lang w:val="en-US" w:eastAsia="zh-CN"/>
        </w:rPr>
        <w:t>2</w:t>
      </w:r>
      <w:r>
        <w:rPr>
          <w:rFonts w:hint="eastAsia" w:ascii="方正仿宋_GBK" w:hAnsi="Arial" w:eastAsia="方正仿宋_GBK" w:cs="Arial"/>
          <w:color w:val="auto"/>
          <w:sz w:val="32"/>
          <w:szCs w:val="32"/>
          <w:highlight w:val="none"/>
          <w:shd w:val="clear" w:color="auto" w:fill="FFFFFF"/>
        </w:rPr>
        <w:t>年9月1日起实施。</w:t>
      </w:r>
    </w:p>
    <w:p>
      <w:pPr>
        <w:pStyle w:val="2"/>
        <w:spacing w:before="156" w:line="560" w:lineRule="exact"/>
        <w:ind w:firstLine="0" w:firstLineChars="0"/>
        <w:rPr>
          <w:rFonts w:hint="eastAsia" w:ascii="方正小标宋_GBK" w:hAnsi="方正小标宋_GBK" w:eastAsia="方正小标宋_GBK" w:cs="方正小标宋_GBK"/>
          <w:color w:val="auto"/>
          <w:sz w:val="32"/>
          <w:szCs w:val="32"/>
          <w:highlight w:val="none"/>
        </w:rPr>
      </w:pPr>
      <w:bookmarkStart w:id="134" w:name="_Toc8982"/>
    </w:p>
    <w:p>
      <w:pPr>
        <w:pStyle w:val="2"/>
        <w:spacing w:before="156" w:line="560" w:lineRule="exact"/>
        <w:ind w:firstLine="0" w:firstLineChars="0"/>
        <w:rPr>
          <w:rFonts w:ascii="方正小标宋_GBK" w:hAnsi="方正小标宋_GBK" w:eastAsia="方正小标宋_GBK" w:cs="方正小标宋_GBK"/>
          <w:color w:val="auto"/>
          <w:highlight w:val="none"/>
        </w:rPr>
      </w:pPr>
      <w:bookmarkStart w:id="135" w:name="_Toc11476"/>
      <w:r>
        <w:rPr>
          <w:rFonts w:hint="eastAsia" w:ascii="方正小标宋_GBK" w:hAnsi="方正小标宋_GBK" w:eastAsia="方正小标宋_GBK" w:cs="方正小标宋_GBK"/>
          <w:color w:val="auto"/>
          <w:highlight w:val="none"/>
        </w:rPr>
        <w:t>云南城市建设职业学院控制学生流失管理办法</w:t>
      </w:r>
      <w:bookmarkEnd w:id="134"/>
      <w:bookmarkStart w:id="136" w:name="_Toc9691"/>
      <w:r>
        <w:rPr>
          <w:rFonts w:hint="eastAsia" w:ascii="方正小标宋_GBK" w:hAnsi="方正小标宋_GBK" w:eastAsia="方正小标宋_GBK" w:cs="方正小标宋_GBK"/>
          <w:color w:val="auto"/>
          <w:highlight w:val="none"/>
        </w:rPr>
        <w:t>（试行）</w:t>
      </w:r>
      <w:bookmarkEnd w:id="135"/>
      <w:bookmarkEnd w:id="136"/>
    </w:p>
    <w:p>
      <w:pPr>
        <w:spacing w:line="560" w:lineRule="exact"/>
        <w:ind w:firstLine="880" w:firstLineChars="200"/>
        <w:jc w:val="center"/>
        <w:rPr>
          <w:rFonts w:ascii="方正小标宋_GBK" w:hAnsi="方正小标宋_GBK" w:eastAsia="方正小标宋_GBK" w:cs="方正小标宋_GBK"/>
          <w:color w:val="auto"/>
          <w:sz w:val="44"/>
          <w:szCs w:val="44"/>
          <w:highlight w:val="none"/>
        </w:rPr>
      </w:pPr>
    </w:p>
    <w:p>
      <w:pPr>
        <w:pStyle w:val="3"/>
        <w:spacing w:line="560" w:lineRule="exact"/>
        <w:rPr>
          <w:rFonts w:ascii="方正黑体_GBK" w:hAnsi="方正黑体_GBK" w:eastAsia="方正黑体_GBK" w:cs="方正黑体_GBK"/>
          <w:b/>
          <w:bCs w:val="0"/>
          <w:color w:val="auto"/>
          <w:highlight w:val="none"/>
        </w:rPr>
      </w:pPr>
      <w:bookmarkStart w:id="137" w:name="_Toc17458"/>
      <w:bookmarkStart w:id="138" w:name="_Toc14956"/>
      <w:bookmarkStart w:id="139" w:name="_Toc15398644"/>
      <w:r>
        <w:rPr>
          <w:rFonts w:hint="eastAsia" w:ascii="方正黑体_GBK" w:hAnsi="方正黑体_GBK" w:eastAsia="方正黑体_GBK" w:cs="方正黑体_GBK"/>
          <w:b/>
          <w:bCs w:val="0"/>
          <w:color w:val="auto"/>
          <w:highlight w:val="none"/>
        </w:rPr>
        <w:t>第一章  总则</w:t>
      </w:r>
      <w:bookmarkEnd w:id="137"/>
      <w:bookmarkEnd w:id="138"/>
      <w:bookmarkEnd w:id="139"/>
    </w:p>
    <w:p>
      <w:pPr>
        <w:spacing w:line="560" w:lineRule="exact"/>
        <w:ind w:firstLine="640" w:firstLineChars="200"/>
        <w:rPr>
          <w:rFonts w:ascii="方正黑体_GBK" w:hAnsi="方正黑体_GBK" w:eastAsia="方正黑体_GBK" w:cs="方正黑体_GBK"/>
          <w:color w:val="auto"/>
          <w:sz w:val="32"/>
          <w:szCs w:val="32"/>
          <w:highlight w:val="none"/>
        </w:rPr>
      </w:pP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 xml:space="preserve">第一条 </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为了有效控制学生流失</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保持学生的稳定</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确保学校教育教学工作的顺利进行，结合学校实际，制定本办法。</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第二条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本办法所称的流失学生</w:t>
      </w:r>
      <w:r>
        <w:rPr>
          <w:rFonts w:hint="eastAsia" w:ascii="方正仿宋_GBK" w:eastAsia="方正仿宋_GBK"/>
          <w:color w:val="auto"/>
          <w:sz w:val="32"/>
          <w:szCs w:val="32"/>
          <w:highlight w:val="none"/>
        </w:rPr>
        <w:t>是指学校依据国家有关政策招收的具有全日制学籍的在校学生出现以下情况</w:t>
      </w:r>
      <w:r>
        <w:rPr>
          <w:rFonts w:hint="eastAsia" w:ascii="方正仿宋_GBK" w:hAnsi="方正仿宋_GBK" w:eastAsia="方正仿宋_GBK" w:cs="方正仿宋_GBK"/>
          <w:color w:val="auto"/>
          <w:sz w:val="32"/>
          <w:szCs w:val="32"/>
          <w:highlight w:val="none"/>
        </w:rPr>
        <w:t>：</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（一）开学后未按规定报到注册的学生；</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（二）申请退学或者拟退的学生；</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（三）因违纪、违法被开除的学生；</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（四）由于学生本人原因不愿意继续在校参加学业学习的学生。</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本办法所称的流失学生不包括</w:t>
      </w:r>
      <w:r>
        <w:rPr>
          <w:rFonts w:hint="eastAsia" w:ascii="方正仿宋_GBK" w:eastAsia="方正仿宋_GBK"/>
          <w:color w:val="auto"/>
          <w:sz w:val="32"/>
          <w:szCs w:val="32"/>
          <w:highlight w:val="none"/>
        </w:rPr>
        <w:t>学生按照有关规定</w:t>
      </w:r>
      <w:r>
        <w:rPr>
          <w:rFonts w:hint="eastAsia" w:ascii="方正仿宋_GBK" w:hAnsi="方正仿宋_GBK" w:eastAsia="方正仿宋_GBK" w:cs="方正仿宋_GBK"/>
          <w:color w:val="auto"/>
          <w:sz w:val="32"/>
          <w:szCs w:val="32"/>
          <w:highlight w:val="none"/>
        </w:rPr>
        <w:t>参军入伍、休学、留学及未取得学籍的学生。</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仿宋_GBK" w:eastAsia="方正楷体_GBK" w:cs="方正仿宋_GBK"/>
          <w:b/>
          <w:color w:val="auto"/>
          <w:sz w:val="32"/>
          <w:szCs w:val="32"/>
          <w:highlight w:val="none"/>
        </w:rPr>
        <w:t>第三条</w:t>
      </w:r>
      <w:r>
        <w:rPr>
          <w:rFonts w:hint="eastAsia" w:ascii="方正楷体_GBK" w:hAnsi="方正楷体_GBK" w:eastAsia="方正楷体_GBK" w:cs="方正楷体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控制学生流失是全校教职员工的共同责任。二级学院是学校控制学生流失的主体单位，辅导员（班主任）是学校控制学生流失的第一责任人。 </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 xml:space="preserve">第四条 </w:t>
      </w:r>
      <w:r>
        <w:rPr>
          <w:rFonts w:hint="eastAsia" w:ascii="方正仿宋_GBK" w:hAnsi="方正仿宋_GBK" w:eastAsia="方正仿宋_GBK" w:cs="方正仿宋_GBK"/>
          <w:color w:val="auto"/>
          <w:sz w:val="32"/>
          <w:szCs w:val="32"/>
          <w:highlight w:val="none"/>
        </w:rPr>
        <w:t xml:space="preserve"> 学生流失率的考核以学期为单位，学生基数以上一学期末在校学生人数为标准，计算方法为：二级学院流失学生人数÷二级学院学生总人数=学生流失率。</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第五条</w:t>
      </w:r>
      <w:r>
        <w:rPr>
          <w:rFonts w:hint="eastAsia" w:ascii="方正仿宋_GBK" w:hAnsi="方正仿宋_GBK" w:eastAsia="方正仿宋_GBK" w:cs="方正仿宋_GBK"/>
          <w:color w:val="auto"/>
          <w:sz w:val="32"/>
          <w:szCs w:val="32"/>
          <w:highlight w:val="none"/>
        </w:rPr>
        <w:t xml:space="preserve">  二级学院在学校控制范围之内，以“防厌控辍”工作为重点，以责任管理、制度管理为手段，控制学校学生流失率。</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第六条</w:t>
      </w:r>
      <w:r>
        <w:rPr>
          <w:rFonts w:hint="eastAsia" w:ascii="方正仿宋_GBK" w:hAnsi="方正仿宋_GBK" w:eastAsia="方正仿宋_GBK" w:cs="方正仿宋_GBK"/>
          <w:color w:val="auto"/>
          <w:sz w:val="32"/>
          <w:szCs w:val="32"/>
          <w:highlight w:val="none"/>
        </w:rPr>
        <w:t xml:space="preserve">  学校依据有关考核方案，对相关人员平时的控制流失率工作进行督导和评估，期末进行总结性评价考核。   </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对在控制学生流失率工作中有突出表现的单位和个人给予表彰；对在控制学生流失率工作中措施不得当、效果不明显，超出学校规定的考核范围的单位和个人给予相应的处罚。</w:t>
      </w:r>
    </w:p>
    <w:p>
      <w:pPr>
        <w:spacing w:line="560" w:lineRule="exact"/>
        <w:ind w:firstLine="640" w:firstLineChars="200"/>
        <w:rPr>
          <w:rFonts w:ascii="方正仿宋_GBK" w:hAnsi="方正仿宋_GBK" w:eastAsia="方正仿宋_GBK" w:cs="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40" w:name="_Toc28808"/>
      <w:bookmarkStart w:id="141" w:name="_Toc12238"/>
      <w:bookmarkStart w:id="142" w:name="_Toc15398645"/>
      <w:r>
        <w:rPr>
          <w:rFonts w:hint="eastAsia" w:ascii="方正黑体_GBK" w:hAnsi="方正黑体_GBK" w:eastAsia="方正黑体_GBK" w:cs="方正黑体_GBK"/>
          <w:b/>
          <w:bCs w:val="0"/>
          <w:color w:val="auto"/>
          <w:highlight w:val="none"/>
        </w:rPr>
        <w:t>第二章  学生流失的控制</w:t>
      </w:r>
      <w:bookmarkEnd w:id="140"/>
      <w:bookmarkEnd w:id="141"/>
      <w:bookmarkEnd w:id="142"/>
    </w:p>
    <w:p>
      <w:pPr>
        <w:spacing w:line="560" w:lineRule="exact"/>
        <w:ind w:firstLine="640" w:firstLineChars="200"/>
        <w:rPr>
          <w:rFonts w:ascii="方正仿宋_GBK" w:hAnsi="方正仿宋_GBK" w:eastAsia="方正仿宋_GBK" w:cs="方正仿宋_GBK"/>
          <w:color w:val="auto"/>
          <w:sz w:val="32"/>
          <w:szCs w:val="32"/>
          <w:highlight w:val="none"/>
        </w:rPr>
      </w:pPr>
    </w:p>
    <w:p>
      <w:pPr>
        <w:spacing w:line="560" w:lineRule="exact"/>
        <w:ind w:firstLine="643" w:firstLineChars="200"/>
        <w:rPr>
          <w:rFonts w:hint="eastAsia"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第七条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控制学生流失是学校一项重点工作，辅导员（班主任）以及教师要提高认识，通过日常管理，及时发现学生厌学、退学的思想苗头，做好学生的思想工作，防止学生流失。</w:t>
      </w:r>
    </w:p>
    <w:p>
      <w:pPr>
        <w:spacing w:line="560" w:lineRule="exact"/>
        <w:ind w:firstLine="643" w:firstLineChars="200"/>
        <w:rPr>
          <w:rFonts w:hint="eastAsia"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第八条</w:t>
      </w:r>
      <w:r>
        <w:rPr>
          <w:rFonts w:hint="eastAsia" w:ascii="方正楷体_GBK" w:hAnsi="方正楷体_GBK" w:eastAsia="方正楷体_GBK" w:cs="方正楷体_GBK"/>
          <w:b/>
          <w:color w:val="auto"/>
          <w:kern w:val="0"/>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二级学院应当定期组织辅导员（班主任）认真学习国家教育法律法规，严格执行国家的有关教育政策，形成正确的教育思想。</w:t>
      </w:r>
    </w:p>
    <w:p>
      <w:pPr>
        <w:spacing w:line="560" w:lineRule="exact"/>
        <w:ind w:firstLine="643" w:firstLineChars="200"/>
        <w:rPr>
          <w:rFonts w:hint="eastAsia"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第九条</w:t>
      </w:r>
      <w:r>
        <w:rPr>
          <w:rFonts w:hint="eastAsia" w:ascii="仿宋_GB2312" w:hAnsi="Arial" w:eastAsia="仿宋_GB2312" w:cs="Arial"/>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辅导员（班主任）通过学生日常的社会活动情况，预防社会负面效应影响学生就学。利用班会、家校联系、座谈会等形式向学生家长、学生宣传国家教育法规，提高学生及其家长的思想认识。</w:t>
      </w:r>
    </w:p>
    <w:p>
      <w:pPr>
        <w:spacing w:line="560" w:lineRule="exact"/>
        <w:ind w:firstLine="643" w:firstLineChars="200"/>
        <w:rPr>
          <w:rFonts w:ascii="方正仿宋_GBK" w:eastAsia="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第十条</w:t>
      </w:r>
      <w:r>
        <w:rPr>
          <w:rFonts w:hint="eastAsia" w:ascii="方正仿宋_GBK" w:hAnsi="Arial" w:eastAsia="方正仿宋_GBK" w:cs="Arial"/>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专职教师要提高自身素质修养，通过组织学习、自学、改变课堂气氛等方式提高业务能力和品德修养，形成教师个人魅力，吸引学生留</w:t>
      </w:r>
      <w:r>
        <w:rPr>
          <w:rFonts w:hint="eastAsia" w:ascii="方正仿宋_GBK" w:eastAsia="方正仿宋_GBK"/>
          <w:color w:val="auto"/>
          <w:sz w:val="32"/>
          <w:szCs w:val="32"/>
          <w:highlight w:val="none"/>
        </w:rPr>
        <w:t>校学习。</w:t>
      </w:r>
    </w:p>
    <w:p>
      <w:pPr>
        <w:spacing w:line="560" w:lineRule="exact"/>
        <w:ind w:firstLine="643" w:firstLineChars="200"/>
        <w:rPr>
          <w:rFonts w:ascii="方正仿宋_GBK" w:eastAsia="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w:t>
      </w:r>
      <w:r>
        <w:rPr>
          <w:rFonts w:hint="eastAsia" w:ascii="方正楷体_GBK" w:hAnsi="方正楷体_GBK" w:eastAsia="方正楷体_GBK" w:cs="方正楷体_GBK"/>
          <w:b/>
          <w:color w:val="auto"/>
          <w:sz w:val="32"/>
          <w:szCs w:val="32"/>
          <w:highlight w:val="none"/>
          <w:lang w:val="en-US" w:eastAsia="zh-CN"/>
        </w:rPr>
        <w:t>一</w:t>
      </w:r>
      <w:r>
        <w:rPr>
          <w:rFonts w:hint="eastAsia" w:ascii="方正楷体_GBK" w:hAnsi="方正楷体_GBK" w:eastAsia="方正楷体_GBK" w:cs="方正楷体_GBK"/>
          <w:b/>
          <w:color w:val="auto"/>
          <w:sz w:val="32"/>
          <w:szCs w:val="32"/>
          <w:highlight w:val="none"/>
        </w:rPr>
        <w:t>条</w:t>
      </w:r>
      <w:r>
        <w:rPr>
          <w:rFonts w:hint="eastAsia" w:ascii="方正仿宋_GBK" w:eastAsia="方正仿宋_GBK"/>
          <w:color w:val="auto"/>
          <w:sz w:val="32"/>
          <w:szCs w:val="32"/>
          <w:highlight w:val="none"/>
        </w:rPr>
        <w:t xml:space="preserve">  辅导员（班主任）要按照国家有关要求，做好易流易辍学生稳定工作，积极主动地做好家庭经济困难学生的帮扶工作，不得让一个学生因家庭贫困而辍学。 </w:t>
      </w:r>
    </w:p>
    <w:p>
      <w:pPr>
        <w:spacing w:line="560" w:lineRule="exact"/>
        <w:ind w:firstLine="643" w:firstLineChars="200"/>
        <w:rPr>
          <w:rFonts w:ascii="方正仿宋_GBK" w:eastAsia="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w:t>
      </w:r>
      <w:r>
        <w:rPr>
          <w:rFonts w:hint="eastAsia" w:ascii="方正楷体_GBK" w:hAnsi="方正楷体_GBK" w:eastAsia="方正楷体_GBK" w:cs="方正楷体_GBK"/>
          <w:b/>
          <w:color w:val="auto"/>
          <w:sz w:val="32"/>
          <w:szCs w:val="32"/>
          <w:highlight w:val="none"/>
          <w:lang w:val="en-US" w:eastAsia="zh-CN"/>
        </w:rPr>
        <w:t>二</w:t>
      </w:r>
      <w:r>
        <w:rPr>
          <w:rFonts w:hint="eastAsia" w:ascii="方正楷体_GBK" w:hAnsi="方正楷体_GBK" w:eastAsia="方正楷体_GBK" w:cs="方正楷体_GBK"/>
          <w:b/>
          <w:color w:val="auto"/>
          <w:sz w:val="32"/>
          <w:szCs w:val="32"/>
          <w:highlight w:val="none"/>
        </w:rPr>
        <w:t>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辅导员(班主任)和任课教师应当对待学生一视同仁，不偏爱成绩好的学生，不歧视学习成绩差的学生。对学习成绩差的学生要加倍关心爱护，定期谈话、多作思想工作，多加心理障碍疏导，多加表扬鼓励。</w:t>
      </w:r>
    </w:p>
    <w:p>
      <w:pPr>
        <w:spacing w:line="560" w:lineRule="exact"/>
        <w:ind w:firstLine="643" w:firstLineChars="200"/>
        <w:rPr>
          <w:rFonts w:ascii="方正仿宋_GBK" w:eastAsia="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w:t>
      </w:r>
      <w:r>
        <w:rPr>
          <w:rFonts w:hint="eastAsia" w:ascii="方正楷体_GBK" w:hAnsi="方正楷体_GBK" w:eastAsia="方正楷体_GBK" w:cs="方正楷体_GBK"/>
          <w:b/>
          <w:color w:val="auto"/>
          <w:sz w:val="32"/>
          <w:szCs w:val="32"/>
          <w:highlight w:val="none"/>
          <w:lang w:val="en-US" w:eastAsia="zh-CN"/>
        </w:rPr>
        <w:t>三</w:t>
      </w:r>
      <w:r>
        <w:rPr>
          <w:rFonts w:hint="eastAsia" w:ascii="方正楷体_GBK" w:hAnsi="方正楷体_GBK" w:eastAsia="方正楷体_GBK" w:cs="方正楷体_GBK"/>
          <w:b/>
          <w:color w:val="auto"/>
          <w:sz w:val="32"/>
          <w:szCs w:val="32"/>
          <w:highlight w:val="none"/>
        </w:rPr>
        <w:t>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对于</w:t>
      </w:r>
      <w:r>
        <w:rPr>
          <w:rFonts w:hint="eastAsia" w:ascii="方正仿宋_GBK" w:hAnsi="方正仿宋_GBK" w:eastAsia="方正仿宋_GBK" w:cs="方正仿宋_GBK"/>
          <w:color w:val="auto"/>
          <w:sz w:val="32"/>
          <w:szCs w:val="32"/>
          <w:highlight w:val="none"/>
        </w:rPr>
        <w:t>学生本人原因不愿意继续在校参加学业学习的，辅导员（班主任）应当做好学生思想工作并征求家长意见后</w:t>
      </w:r>
      <w:r>
        <w:rPr>
          <w:rFonts w:hint="eastAsia" w:ascii="方正仿宋_GBK" w:eastAsia="方正仿宋_GBK"/>
          <w:color w:val="auto"/>
          <w:sz w:val="32"/>
          <w:szCs w:val="32"/>
          <w:highlight w:val="none"/>
        </w:rPr>
        <w:t>，严格按照学校相关规定办理离校手续。</w:t>
      </w:r>
    </w:p>
    <w:p>
      <w:pPr>
        <w:spacing w:line="560" w:lineRule="exact"/>
        <w:ind w:firstLine="643" w:firstLineChars="200"/>
        <w:jc w:val="center"/>
        <w:rPr>
          <w:rFonts w:ascii="方正黑体_GBK" w:hAnsi="方正黑体_GBK" w:eastAsia="方正黑体_GBK" w:cs="方正黑体_GBK"/>
          <w:b/>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43" w:name="_Toc15398646"/>
      <w:bookmarkStart w:id="144" w:name="_Toc23559"/>
      <w:bookmarkStart w:id="145" w:name="_Toc28245"/>
      <w:r>
        <w:rPr>
          <w:rFonts w:hint="eastAsia" w:ascii="方正黑体_GBK" w:hAnsi="方正黑体_GBK" w:eastAsia="方正黑体_GBK" w:cs="方正黑体_GBK"/>
          <w:b/>
          <w:bCs w:val="0"/>
          <w:color w:val="auto"/>
          <w:highlight w:val="none"/>
        </w:rPr>
        <w:t>第三章  附则</w:t>
      </w:r>
      <w:bookmarkEnd w:id="143"/>
      <w:bookmarkEnd w:id="144"/>
      <w:bookmarkEnd w:id="145"/>
    </w:p>
    <w:p>
      <w:pPr>
        <w:spacing w:line="560" w:lineRule="exact"/>
        <w:ind w:firstLine="640" w:firstLineChars="200"/>
        <w:rPr>
          <w:rFonts w:ascii="方正仿宋_GBK" w:hAnsi="方正仿宋_GBK" w:eastAsia="方正仿宋_GBK" w:cs="方正仿宋_GBK"/>
          <w:color w:val="auto"/>
          <w:sz w:val="32"/>
          <w:szCs w:val="32"/>
          <w:highlight w:val="none"/>
        </w:rPr>
      </w:pP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w:t>
      </w:r>
      <w:r>
        <w:rPr>
          <w:rFonts w:hint="eastAsia" w:ascii="方正楷体_GBK" w:hAnsi="方正楷体_GBK" w:eastAsia="方正楷体_GBK" w:cs="方正楷体_GBK"/>
          <w:b/>
          <w:color w:val="auto"/>
          <w:sz w:val="32"/>
          <w:szCs w:val="32"/>
          <w:highlight w:val="none"/>
          <w:lang w:val="en-US" w:eastAsia="zh-CN"/>
        </w:rPr>
        <w:t>四</w:t>
      </w:r>
      <w:r>
        <w:rPr>
          <w:rFonts w:hint="eastAsia" w:ascii="方正楷体_GBK" w:hAnsi="方正楷体_GBK" w:eastAsia="方正楷体_GBK" w:cs="方正楷体_GBK"/>
          <w:b/>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本办法由学生工作处负责解释。</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w:t>
      </w:r>
      <w:r>
        <w:rPr>
          <w:rFonts w:hint="eastAsia" w:ascii="方正楷体_GBK" w:hAnsi="方正楷体_GBK" w:eastAsia="方正楷体_GBK" w:cs="方正楷体_GBK"/>
          <w:b/>
          <w:color w:val="auto"/>
          <w:sz w:val="32"/>
          <w:szCs w:val="32"/>
          <w:highlight w:val="none"/>
          <w:lang w:val="en-US" w:eastAsia="zh-CN"/>
        </w:rPr>
        <w:t>五</w:t>
      </w:r>
      <w:r>
        <w:rPr>
          <w:rFonts w:hint="eastAsia" w:ascii="方正楷体_GBK" w:hAnsi="方正楷体_GBK" w:eastAsia="方正楷体_GBK" w:cs="方正楷体_GBK"/>
          <w:b/>
          <w:color w:val="auto"/>
          <w:sz w:val="32"/>
          <w:szCs w:val="32"/>
          <w:highlight w:val="none"/>
        </w:rPr>
        <w:t>条</w:t>
      </w:r>
      <w:r>
        <w:rPr>
          <w:rFonts w:hint="eastAsia" w:ascii="方正仿宋_GBK" w:hAnsi="方正仿宋_GBK" w:eastAsia="方正仿宋_GBK" w:cs="方正仿宋_GBK"/>
          <w:color w:val="auto"/>
          <w:sz w:val="32"/>
          <w:szCs w:val="32"/>
          <w:highlight w:val="none"/>
        </w:rPr>
        <w:t>　本办法自202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p>
      <w:pPr>
        <w:pStyle w:val="35"/>
        <w:widowControl/>
        <w:spacing w:line="560" w:lineRule="exact"/>
        <w:ind w:firstLine="0" w:firstLineChars="0"/>
        <w:rPr>
          <w:rFonts w:ascii="方正仿宋_GBK" w:hAnsi="方正仿宋_GBK" w:eastAsia="方正仿宋_GBK" w:cs="方正仿宋_GBK"/>
          <w:color w:val="auto"/>
          <w:sz w:val="32"/>
          <w:szCs w:val="32"/>
          <w:highlight w:val="none"/>
        </w:rPr>
      </w:pPr>
    </w:p>
    <w:p>
      <w:pPr>
        <w:pStyle w:val="35"/>
        <w:widowControl/>
        <w:spacing w:line="560" w:lineRule="exact"/>
        <w:ind w:firstLine="0" w:firstLineChars="0"/>
        <w:rPr>
          <w:rFonts w:ascii="方正仿宋_GBK" w:hAnsi="方正仿宋_GBK" w:eastAsia="方正仿宋_GBK" w:cs="方正仿宋_GBK"/>
          <w:color w:val="auto"/>
          <w:sz w:val="32"/>
          <w:szCs w:val="32"/>
          <w:highlight w:val="none"/>
        </w:rPr>
      </w:pPr>
    </w:p>
    <w:p>
      <w:pPr>
        <w:pStyle w:val="35"/>
        <w:widowControl/>
        <w:spacing w:line="560" w:lineRule="exact"/>
        <w:ind w:firstLine="0" w:firstLineChars="0"/>
        <w:rPr>
          <w:rFonts w:ascii="方正仿宋_GBK" w:hAnsi="方正仿宋_GBK" w:eastAsia="方正仿宋_GBK" w:cs="方正仿宋_GBK"/>
          <w:color w:val="auto"/>
          <w:sz w:val="32"/>
          <w:szCs w:val="32"/>
          <w:highlight w:val="none"/>
        </w:rPr>
      </w:pPr>
    </w:p>
    <w:p>
      <w:pPr>
        <w:spacing w:line="240" w:lineRule="exact"/>
        <w:rPr>
          <w:color w:val="auto"/>
          <w:highlight w:val="none"/>
        </w:rPr>
      </w:pPr>
    </w:p>
    <w:p>
      <w:pPr>
        <w:spacing w:line="240" w:lineRule="exact"/>
        <w:rPr>
          <w:color w:val="auto"/>
          <w:highlight w:val="none"/>
        </w:rPr>
      </w:pPr>
    </w:p>
    <w:p>
      <w:pPr>
        <w:pStyle w:val="2"/>
        <w:pageBreakBefore w:val="0"/>
        <w:kinsoku/>
        <w:wordWrap/>
        <w:overflowPunct/>
        <w:topLinePunct w:val="0"/>
        <w:autoSpaceDE/>
        <w:autoSpaceDN/>
        <w:bidi w:val="0"/>
        <w:spacing w:before="156" w:line="560" w:lineRule="exact"/>
        <w:ind w:firstLine="0" w:firstLineChars="0"/>
        <w:textAlignment w:val="auto"/>
        <w:rPr>
          <w:rFonts w:hint="eastAsia" w:ascii="方正小标宋_GBK" w:hAnsi="方正小标宋_GBK" w:eastAsia="方正小标宋_GBK" w:cs="方正小标宋_GBK"/>
          <w:color w:val="auto"/>
          <w:highlight w:val="none"/>
        </w:rPr>
      </w:pPr>
      <w:bookmarkStart w:id="146" w:name="_Toc6180"/>
    </w:p>
    <w:p>
      <w:pPr>
        <w:pStyle w:val="2"/>
        <w:pageBreakBefore w:val="0"/>
        <w:kinsoku/>
        <w:wordWrap/>
        <w:overflowPunct/>
        <w:topLinePunct w:val="0"/>
        <w:autoSpaceDE/>
        <w:autoSpaceDN/>
        <w:bidi w:val="0"/>
        <w:spacing w:before="156" w:line="560" w:lineRule="exact"/>
        <w:ind w:firstLine="0" w:firstLineChars="0"/>
        <w:textAlignment w:val="auto"/>
        <w:rPr>
          <w:rFonts w:hint="eastAsia" w:ascii="方正小标宋_GBK" w:hAnsi="方正小标宋_GBK" w:eastAsia="方正小标宋_GBK" w:cs="方正小标宋_GBK"/>
          <w:color w:val="auto"/>
          <w:sz w:val="32"/>
          <w:szCs w:val="32"/>
          <w:highlight w:val="none"/>
        </w:rPr>
      </w:pPr>
    </w:p>
    <w:p>
      <w:pPr>
        <w:pStyle w:val="2"/>
        <w:pageBreakBefore w:val="0"/>
        <w:kinsoku/>
        <w:wordWrap/>
        <w:overflowPunct/>
        <w:topLinePunct w:val="0"/>
        <w:autoSpaceDE/>
        <w:autoSpaceDN/>
        <w:bidi w:val="0"/>
        <w:spacing w:before="156" w:line="560" w:lineRule="exact"/>
        <w:ind w:firstLine="0" w:firstLineChars="0"/>
        <w:textAlignment w:val="auto"/>
        <w:rPr>
          <w:rFonts w:ascii="方正小标宋_GBK" w:hAnsi="方正小标宋_GBK" w:eastAsia="方正小标宋_GBK" w:cs="方正小标宋_GBK"/>
          <w:color w:val="auto"/>
          <w:highlight w:val="none"/>
        </w:rPr>
      </w:pPr>
      <w:bookmarkStart w:id="147" w:name="_Toc29874"/>
      <w:r>
        <w:rPr>
          <w:rFonts w:hint="eastAsia" w:ascii="方正小标宋_GBK" w:hAnsi="方正小标宋_GBK" w:eastAsia="方正小标宋_GBK" w:cs="方正小标宋_GBK"/>
          <w:color w:val="auto"/>
          <w:highlight w:val="none"/>
        </w:rPr>
        <w:t>云南城市建设职业学院组织学生外出活动管理办法（修订）</w:t>
      </w:r>
      <w:bookmarkEnd w:id="146"/>
      <w:bookmarkEnd w:id="147"/>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hAnsiTheme="minorEastAsia"/>
          <w:color w:val="auto"/>
          <w:sz w:val="32"/>
          <w:szCs w:val="32"/>
          <w:highlight w:val="none"/>
        </w:rPr>
      </w:pP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hAnsiTheme="minorEastAsia"/>
          <w:color w:val="auto"/>
          <w:sz w:val="32"/>
          <w:szCs w:val="32"/>
          <w:highlight w:val="none"/>
        </w:rPr>
      </w:pPr>
      <w:r>
        <w:rPr>
          <w:rFonts w:hint="eastAsia" w:ascii="方正仿宋_GBK" w:eastAsia="方正仿宋_GBK" w:hAnsiTheme="minorEastAsia"/>
          <w:color w:val="auto"/>
          <w:sz w:val="32"/>
          <w:szCs w:val="32"/>
          <w:highlight w:val="none"/>
        </w:rPr>
        <w:t>为了加强学生安全管理，维护校园正常教学秩序，保障学生活动安全，结合学校实际，制定本办法。</w:t>
      </w: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hAnsiTheme="minorEastAsia"/>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148" w:name="_Toc26594"/>
      <w:bookmarkStart w:id="149" w:name="_Toc15398626"/>
      <w:bookmarkStart w:id="150" w:name="_Toc15432"/>
      <w:r>
        <w:rPr>
          <w:rFonts w:hint="eastAsia" w:ascii="方正黑体_GBK" w:hAnsi="方正黑体_GBK" w:eastAsia="方正黑体_GBK" w:cs="方正黑体_GBK"/>
          <w:b/>
          <w:bCs w:val="0"/>
          <w:color w:val="auto"/>
          <w:highlight w:val="none"/>
        </w:rPr>
        <w:t>第一章  总则</w:t>
      </w:r>
      <w:bookmarkEnd w:id="148"/>
      <w:bookmarkEnd w:id="149"/>
      <w:bookmarkEnd w:id="150"/>
    </w:p>
    <w:p>
      <w:pPr>
        <w:pageBreakBefore w:val="0"/>
        <w:kinsoku/>
        <w:wordWrap/>
        <w:overflowPunct/>
        <w:topLinePunct w:val="0"/>
        <w:autoSpaceDE/>
        <w:autoSpaceDN/>
        <w:bidi w:val="0"/>
        <w:spacing w:line="560" w:lineRule="exact"/>
        <w:textAlignment w:val="auto"/>
        <w:rPr>
          <w:rFonts w:ascii="方正黑体_GBK" w:eastAsia="方正黑体_GBK" w:hAnsiTheme="minorEastAsia"/>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第一条</w:t>
      </w:r>
      <w:r>
        <w:rPr>
          <w:rFonts w:hint="eastAsia" w:ascii="方正仿宋_GBK" w:eastAsia="方正仿宋_GBK" w:hAnsiTheme="minorEastAsia"/>
          <w:color w:val="auto"/>
          <w:sz w:val="32"/>
          <w:szCs w:val="32"/>
          <w:highlight w:val="none"/>
        </w:rPr>
        <w:t xml:space="preserve">  本办法所称的学生外出活动，是指班级、学生组织、二级学院或学校有关部门按计划组织学生外出竞赛、学习、交流、参观、拓展及公益等活动 (列入教学计划的校外实习和社会实践活动除外)。</w:t>
      </w: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hAnsiTheme="minorEastAsia"/>
          <w:color w:val="auto"/>
          <w:sz w:val="32"/>
          <w:szCs w:val="32"/>
          <w:highlight w:val="none"/>
        </w:rPr>
      </w:pPr>
      <w:r>
        <w:rPr>
          <w:rFonts w:hint="eastAsia" w:ascii="方正仿宋_GBK" w:eastAsia="方正仿宋_GBK" w:hAnsiTheme="minorEastAsia"/>
          <w:color w:val="auto"/>
          <w:sz w:val="32"/>
          <w:szCs w:val="32"/>
          <w:highlight w:val="none"/>
        </w:rPr>
        <w:t>任何个人不得因私组织学生外出活动。</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 xml:space="preserve">第二条  </w:t>
      </w:r>
      <w:r>
        <w:rPr>
          <w:rFonts w:hint="eastAsia" w:ascii="方正仿宋_GBK" w:eastAsia="方正仿宋_GBK"/>
          <w:color w:val="auto"/>
          <w:sz w:val="32"/>
          <w:szCs w:val="32"/>
          <w:highlight w:val="none"/>
        </w:rPr>
        <w:t>本办法所称学生是指学校依据国家有关政策招收的具有全日制学籍的在校学生，</w:t>
      </w:r>
      <w:r>
        <w:rPr>
          <w:rFonts w:hint="eastAsia" w:ascii="Times New Roman" w:hAnsi="Times New Roman" w:eastAsia="方正仿宋_GBK" w:cs="Times New Roman"/>
          <w:color w:val="auto"/>
          <w:sz w:val="32"/>
          <w:szCs w:val="32"/>
          <w:highlight w:val="none"/>
        </w:rPr>
        <w:t>包括三年制中专、五年制大专、三年制大专学生以及高职扩招学生（以下简称学生）</w:t>
      </w:r>
      <w:r>
        <w:rPr>
          <w:rFonts w:hint="eastAsia" w:ascii="方正仿宋_GBK" w:eastAsia="方正仿宋_GBK"/>
          <w:color w:val="auto"/>
          <w:sz w:val="32"/>
          <w:szCs w:val="32"/>
          <w:highlight w:val="none"/>
        </w:rPr>
        <w:t>。</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 xml:space="preserve">第三条 </w:t>
      </w:r>
      <w:r>
        <w:rPr>
          <w:rFonts w:hint="eastAsia" w:ascii="方正仿宋_GBK" w:eastAsia="方正仿宋_GBK" w:hAnsiTheme="minorEastAsia"/>
          <w:color w:val="auto"/>
          <w:sz w:val="32"/>
          <w:szCs w:val="32"/>
          <w:highlight w:val="none"/>
        </w:rPr>
        <w:t xml:space="preserve"> 组织学生外出活动，须向保卫处报备，按学校规定进行。影响教学工作的，须向教务处报备。未经学校批准的活动均不得组织实施。</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第四条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学生申请组织集体外出活动的，各相关部门须认真进行安全审查，条件不具备时不得批准。明确带队老师、活动负责人责任，加强带队老师和学生的安全教育，落实活动前各项准备事项，做好对突发事件的应急预案。</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第五条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学生外出活动持坚持“安全第一，预防为主”的原则，坚持“谁组织、谁负责”的原则。</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第六条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外出参加活动人员应自觉遵守国家法律法规和学校规章制度，遵守社会公德，注意保护环境，增强安全防范意识，提高自我保护能力，服从活动组织者的管理。</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 xml:space="preserve">第七条  </w:t>
      </w:r>
      <w:r>
        <w:rPr>
          <w:rFonts w:hint="eastAsia" w:ascii="方正仿宋_GBK" w:eastAsia="方正仿宋_GBK" w:hAnsiTheme="minorEastAsia"/>
          <w:color w:val="auto"/>
          <w:sz w:val="32"/>
          <w:szCs w:val="32"/>
          <w:highlight w:val="none"/>
        </w:rPr>
        <w:t>组织学生外出活动，必须严格执行信息报送制度，凡在活动中发生意外事故，应当在做好应急处理的同时，及时向学校主管部门报告，不得瞒报、漏报。</w:t>
      </w:r>
    </w:p>
    <w:p>
      <w:pPr>
        <w:pageBreakBefore w:val="0"/>
        <w:kinsoku/>
        <w:wordWrap/>
        <w:overflowPunct/>
        <w:topLinePunct w:val="0"/>
        <w:autoSpaceDE/>
        <w:autoSpaceDN/>
        <w:bidi w:val="0"/>
        <w:spacing w:line="560" w:lineRule="exact"/>
        <w:ind w:firstLine="640" w:firstLineChars="200"/>
        <w:textAlignment w:val="auto"/>
        <w:rPr>
          <w:rFonts w:ascii="方正仿宋_GBK" w:eastAsia="方正仿宋_GBK" w:hAnsiTheme="minorEastAsia"/>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151" w:name="_Toc22472"/>
      <w:bookmarkStart w:id="152" w:name="_Toc8488"/>
      <w:bookmarkStart w:id="153" w:name="_Toc15398627"/>
      <w:r>
        <w:rPr>
          <w:rFonts w:hint="eastAsia" w:ascii="方正黑体_GBK" w:hAnsi="方正黑体_GBK" w:eastAsia="方正黑体_GBK" w:cs="方正黑体_GBK"/>
          <w:b/>
          <w:bCs w:val="0"/>
          <w:color w:val="auto"/>
          <w:highlight w:val="none"/>
        </w:rPr>
        <w:t>第二章  申请和报备</w:t>
      </w:r>
      <w:bookmarkEnd w:id="151"/>
      <w:bookmarkEnd w:id="152"/>
      <w:bookmarkEnd w:id="153"/>
    </w:p>
    <w:p>
      <w:pPr>
        <w:pageBreakBefore w:val="0"/>
        <w:kinsoku/>
        <w:wordWrap/>
        <w:overflowPunct/>
        <w:topLinePunct w:val="0"/>
        <w:autoSpaceDE/>
        <w:autoSpaceDN/>
        <w:bidi w:val="0"/>
        <w:spacing w:line="560" w:lineRule="exact"/>
        <w:textAlignment w:val="auto"/>
        <w:rPr>
          <w:rFonts w:ascii="方正黑体_GBK" w:eastAsia="方正黑体_GBK" w:hAnsiTheme="minorEastAsia"/>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第八条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组织学生外出活动，组织方应提前3天向学校提出书面申请，获得学校许可方可实施，并向相关部门报备。</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第九条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根据教学计划安排需外出参加专业实习、见习、参观等实践活动的，按照教学管理有关规定办理。</w:t>
      </w:r>
    </w:p>
    <w:p>
      <w:pPr>
        <w:pStyle w:val="3"/>
        <w:pageBreakBefore w:val="0"/>
        <w:kinsoku/>
        <w:wordWrap/>
        <w:overflowPunct/>
        <w:topLinePunct w:val="0"/>
        <w:autoSpaceDE/>
        <w:autoSpaceDN/>
        <w:bidi w:val="0"/>
        <w:spacing w:line="560" w:lineRule="exact"/>
        <w:textAlignment w:val="auto"/>
        <w:rPr>
          <w:rFonts w:hint="eastAsia" w:ascii="方正黑体_GBK" w:hAnsi="方正黑体_GBK" w:eastAsia="方正黑体_GBK" w:cs="方正黑体_GBK"/>
          <w:b/>
          <w:color w:val="auto"/>
          <w:highlight w:val="none"/>
        </w:rPr>
      </w:pPr>
      <w:bookmarkStart w:id="154" w:name="_Toc5265"/>
      <w:bookmarkStart w:id="155" w:name="_Toc15398628"/>
      <w:bookmarkStart w:id="156" w:name="_Toc31216"/>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color w:val="auto"/>
          <w:highlight w:val="none"/>
        </w:rPr>
      </w:pPr>
      <w:r>
        <w:rPr>
          <w:rFonts w:hint="eastAsia" w:ascii="方正黑体_GBK" w:hAnsi="方正黑体_GBK" w:eastAsia="方正黑体_GBK" w:cs="方正黑体_GBK"/>
          <w:b/>
          <w:color w:val="auto"/>
          <w:highlight w:val="none"/>
        </w:rPr>
        <w:t>第三章  活动组织及要求</w:t>
      </w:r>
      <w:bookmarkEnd w:id="154"/>
      <w:bookmarkEnd w:id="155"/>
      <w:bookmarkEnd w:id="156"/>
    </w:p>
    <w:p>
      <w:pPr>
        <w:pageBreakBefore w:val="0"/>
        <w:kinsoku/>
        <w:wordWrap/>
        <w:overflowPunct/>
        <w:topLinePunct w:val="0"/>
        <w:autoSpaceDE/>
        <w:autoSpaceDN/>
        <w:bidi w:val="0"/>
        <w:spacing w:line="560" w:lineRule="exact"/>
        <w:ind w:firstLine="643" w:firstLineChars="200"/>
        <w:textAlignment w:val="auto"/>
        <w:rPr>
          <w:rFonts w:hint="eastAsia" w:ascii="方正楷体_GBK" w:eastAsia="方正楷体_GBK" w:hAnsiTheme="minorEastAsia"/>
          <w:b/>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组织学生外出活动必须做好严密的安全措施，了解参加活动的师生健康状况，检查交通工具和活动场所、设施情况，携带常用药品，教育学生注意安全，防止意外事件发生。</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第十一条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在恶劣天气和活动场所环境不满足活动基本安全条件的情况下，严禁组织学生外出活动。</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 xml:space="preserve">第十二条 </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活动结束后，应当清点人数，检查财物，清理活动场所，返校后向相关部门报告。</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第十三条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组织学生外出活动时，严禁开展无安全保障以及具有明显危险倾向的活动，不得出现违反国家法律法规和学校规定的行为。</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第十四条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组织学生外出活动要注意交通安全，严禁租用证照不全、状况不良和载货用途的交通工具载人。</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第十五条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组织学生参加社会公益劳动，必须坚持安全、无毒、无害和力所能及的原则；不得组织未成年学生参加抢险、救灾等不利于未成年人身心健康的活动。</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第十六条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组织学生外出活动必须明确负责人，制定应急预案，必要时应办理相关保险手续。</w:t>
      </w:r>
    </w:p>
    <w:p>
      <w:pPr>
        <w:pageBreakBefore w:val="0"/>
        <w:kinsoku/>
        <w:wordWrap/>
        <w:overflowPunct/>
        <w:topLinePunct w:val="0"/>
        <w:autoSpaceDE/>
        <w:autoSpaceDN/>
        <w:bidi w:val="0"/>
        <w:spacing w:line="560" w:lineRule="exact"/>
        <w:jc w:val="center"/>
        <w:textAlignment w:val="auto"/>
        <w:rPr>
          <w:rFonts w:ascii="方正黑体_GBK" w:eastAsia="方正黑体_GBK" w:hAnsiTheme="minorEastAsia"/>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157" w:name="_Toc9693"/>
      <w:bookmarkStart w:id="158" w:name="_Toc15398629"/>
      <w:bookmarkStart w:id="159" w:name="_Toc21098"/>
      <w:r>
        <w:rPr>
          <w:rFonts w:hint="eastAsia" w:ascii="方正黑体_GBK" w:hAnsi="方正黑体_GBK" w:eastAsia="方正黑体_GBK" w:cs="方正黑体_GBK"/>
          <w:b/>
          <w:bCs w:val="0"/>
          <w:color w:val="auto"/>
          <w:highlight w:val="none"/>
        </w:rPr>
        <w:t>第四章  违纪与责任</w:t>
      </w:r>
      <w:bookmarkEnd w:id="157"/>
      <w:bookmarkEnd w:id="158"/>
      <w:bookmarkEnd w:id="159"/>
    </w:p>
    <w:p>
      <w:pPr>
        <w:pageBreakBefore w:val="0"/>
        <w:kinsoku/>
        <w:wordWrap/>
        <w:overflowPunct/>
        <w:topLinePunct w:val="0"/>
        <w:autoSpaceDE/>
        <w:autoSpaceDN/>
        <w:bidi w:val="0"/>
        <w:spacing w:line="560" w:lineRule="exact"/>
        <w:ind w:left="420" w:leftChars="200"/>
        <w:textAlignment w:val="auto"/>
        <w:rPr>
          <w:rFonts w:ascii="方正黑体_GBK" w:eastAsia="方正黑体_GBK" w:hAnsiTheme="minorEastAsia"/>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第十七条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未按本办法的要求办理活动审批手续而擅自组织活动者，学校将严肃追究相关个人或组织的责任。</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第十八条</w:t>
      </w:r>
      <w:r>
        <w:rPr>
          <w:rFonts w:hint="eastAsia" w:ascii="方正楷体_GBK" w:eastAsia="方正楷体_GBK" w:hAnsiTheme="minorEastAsia"/>
          <w:color w:val="auto"/>
          <w:sz w:val="32"/>
          <w:szCs w:val="32"/>
          <w:highlight w:val="none"/>
        </w:rPr>
        <w:t xml:space="preserve">  </w:t>
      </w:r>
      <w:r>
        <w:rPr>
          <w:rFonts w:hint="eastAsia" w:ascii="方正仿宋_GBK" w:eastAsia="方正仿宋_GBK" w:hAnsiTheme="minorEastAsia"/>
          <w:color w:val="auto"/>
          <w:sz w:val="32"/>
          <w:szCs w:val="32"/>
          <w:highlight w:val="none"/>
        </w:rPr>
        <w:t>假借班级、学生组织、二级学院及学校名义与校外人员联合组织以营利为目的的活动的，根据学校相关规定严肃处理。</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第十九条</w:t>
      </w:r>
      <w:r>
        <w:rPr>
          <w:rFonts w:hint="eastAsia" w:ascii="方正仿宋_GBK" w:eastAsia="方正仿宋_GBK" w:hAnsiTheme="minorEastAsia"/>
          <w:color w:val="auto"/>
          <w:sz w:val="32"/>
          <w:szCs w:val="32"/>
          <w:highlight w:val="none"/>
        </w:rPr>
        <w:t xml:space="preserve">  对组织学生外出活动的组织或个人，因忽视安全防范工作、组织管理不得当导致活动中发生事故的，学校将追究相关个人或组织的责任。触犯法律的，移送司法机关依法处理。</w:t>
      </w:r>
    </w:p>
    <w:p>
      <w:pPr>
        <w:pageBreakBefore w:val="0"/>
        <w:kinsoku/>
        <w:wordWrap/>
        <w:overflowPunct/>
        <w:topLinePunct w:val="0"/>
        <w:autoSpaceDE/>
        <w:autoSpaceDN/>
        <w:bidi w:val="0"/>
        <w:spacing w:line="560" w:lineRule="exact"/>
        <w:textAlignment w:val="auto"/>
        <w:rPr>
          <w:rFonts w:ascii="方正仿宋_GBK" w:eastAsia="方正仿宋_GBK" w:hAnsiTheme="minorEastAsia"/>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160" w:name="_Toc15398630"/>
      <w:bookmarkStart w:id="161" w:name="_Toc5653"/>
      <w:bookmarkStart w:id="162" w:name="_Toc29466"/>
      <w:r>
        <w:rPr>
          <w:rFonts w:hint="eastAsia" w:ascii="方正黑体_GBK" w:hAnsi="方正黑体_GBK" w:eastAsia="方正黑体_GBK" w:cs="方正黑体_GBK"/>
          <w:b/>
          <w:bCs w:val="0"/>
          <w:color w:val="auto"/>
          <w:highlight w:val="none"/>
        </w:rPr>
        <w:t>第五章  附则</w:t>
      </w:r>
      <w:bookmarkEnd w:id="160"/>
      <w:bookmarkEnd w:id="161"/>
      <w:bookmarkEnd w:id="162"/>
    </w:p>
    <w:p>
      <w:pPr>
        <w:pageBreakBefore w:val="0"/>
        <w:kinsoku/>
        <w:wordWrap/>
        <w:overflowPunct/>
        <w:topLinePunct w:val="0"/>
        <w:autoSpaceDE/>
        <w:autoSpaceDN/>
        <w:bidi w:val="0"/>
        <w:spacing w:line="560" w:lineRule="exact"/>
        <w:ind w:left="420" w:leftChars="200"/>
        <w:textAlignment w:val="auto"/>
        <w:rPr>
          <w:rFonts w:ascii="方正黑体_GBK" w:eastAsia="方正黑体_GBK" w:hAnsiTheme="minorEastAsia"/>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第二十条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本办法由学生工作处和保卫处负责解释。</w:t>
      </w:r>
    </w:p>
    <w:p>
      <w:pPr>
        <w:pageBreakBefore w:val="0"/>
        <w:kinsoku/>
        <w:wordWrap/>
        <w:overflowPunct/>
        <w:topLinePunct w:val="0"/>
        <w:autoSpaceDE/>
        <w:autoSpaceDN/>
        <w:bidi w:val="0"/>
        <w:spacing w:line="560" w:lineRule="exact"/>
        <w:ind w:firstLine="643" w:firstLineChars="200"/>
        <w:textAlignment w:val="auto"/>
        <w:rPr>
          <w:rFonts w:ascii="方正仿宋_GBK" w:eastAsia="方正仿宋_GBK" w:hAnsiTheme="minorEastAsia"/>
          <w:color w:val="auto"/>
          <w:sz w:val="32"/>
          <w:szCs w:val="32"/>
          <w:highlight w:val="none"/>
        </w:rPr>
      </w:pPr>
      <w:r>
        <w:rPr>
          <w:rFonts w:hint="eastAsia" w:ascii="方正楷体_GBK" w:eastAsia="方正楷体_GBK" w:hAnsiTheme="minorEastAsia"/>
          <w:b/>
          <w:color w:val="auto"/>
          <w:sz w:val="32"/>
          <w:szCs w:val="32"/>
          <w:highlight w:val="none"/>
        </w:rPr>
        <w:t>第二十一条</w:t>
      </w:r>
      <w:r>
        <w:rPr>
          <w:rFonts w:hint="eastAsia" w:ascii="方正楷体_GBK" w:eastAsia="方正楷体_GBK" w:hAnsiTheme="minorEastAsia"/>
          <w:b/>
          <w:color w:val="auto"/>
          <w:sz w:val="32"/>
          <w:szCs w:val="32"/>
          <w:highlight w:val="none"/>
          <w:lang w:val="en-US" w:eastAsia="zh-CN"/>
        </w:rPr>
        <w:t xml:space="preserve">  </w:t>
      </w:r>
      <w:r>
        <w:rPr>
          <w:rFonts w:hint="eastAsia" w:ascii="方正仿宋_GBK" w:eastAsia="方正仿宋_GBK" w:hAnsiTheme="minorEastAsia"/>
          <w:color w:val="auto"/>
          <w:sz w:val="32"/>
          <w:szCs w:val="32"/>
          <w:highlight w:val="none"/>
        </w:rPr>
        <w:t>本办法自20</w:t>
      </w:r>
      <w:r>
        <w:rPr>
          <w:rFonts w:hint="eastAsia" w:ascii="方正仿宋_GBK" w:eastAsia="方正仿宋_GBK" w:hAnsiTheme="minorEastAsia"/>
          <w:color w:val="auto"/>
          <w:sz w:val="32"/>
          <w:szCs w:val="32"/>
          <w:highlight w:val="none"/>
          <w:lang w:val="en-US" w:eastAsia="zh-CN"/>
        </w:rPr>
        <w:t>22</w:t>
      </w:r>
      <w:r>
        <w:rPr>
          <w:rFonts w:hint="eastAsia" w:ascii="方正仿宋_GBK" w:eastAsia="方正仿宋_GBK" w:hAnsiTheme="minorEastAsia"/>
          <w:color w:val="auto"/>
          <w:sz w:val="32"/>
          <w:szCs w:val="32"/>
          <w:highlight w:val="none"/>
        </w:rPr>
        <w:t>年9月1日起实施。</w:t>
      </w:r>
    </w:p>
    <w:p>
      <w:pPr>
        <w:pStyle w:val="2"/>
        <w:spacing w:before="156" w:line="560" w:lineRule="exact"/>
        <w:ind w:firstLine="0" w:firstLineChars="0"/>
        <w:jc w:val="center"/>
        <w:rPr>
          <w:rFonts w:hint="eastAsia" w:ascii="方正小标宋_GBK" w:hAnsi="方正小标宋_GBK" w:eastAsia="方正小标宋_GBK" w:cs="方正小标宋_GBK"/>
          <w:color w:val="auto"/>
          <w:sz w:val="32"/>
          <w:szCs w:val="32"/>
          <w:highlight w:val="none"/>
        </w:rPr>
      </w:pPr>
      <w:bookmarkStart w:id="163" w:name="_Toc32493"/>
    </w:p>
    <w:bookmarkEnd w:id="163"/>
    <w:p>
      <w:pPr>
        <w:pStyle w:val="2"/>
        <w:spacing w:before="156" w:line="560" w:lineRule="exact"/>
        <w:ind w:firstLine="0" w:firstLineChars="0"/>
        <w:jc w:val="center"/>
        <w:rPr>
          <w:color w:val="auto"/>
          <w:highlight w:val="none"/>
        </w:rPr>
      </w:pPr>
      <w:bookmarkStart w:id="164" w:name="_Toc7159"/>
      <w:r>
        <w:rPr>
          <w:rFonts w:hint="eastAsia" w:ascii="方正小标宋_GBK" w:hAnsi="方正小标宋_GBK" w:eastAsia="方正小标宋_GBK" w:cs="方正小标宋_GBK"/>
          <w:color w:val="auto"/>
          <w:szCs w:val="36"/>
          <w:highlight w:val="none"/>
        </w:rPr>
        <w:t>云南城市建设职业学院服兵役学生国家教育资助实施办法（修订）</w:t>
      </w:r>
      <w:bookmarkEnd w:id="164"/>
    </w:p>
    <w:p>
      <w:pPr>
        <w:pStyle w:val="35"/>
        <w:widowControl/>
        <w:spacing w:line="560" w:lineRule="exact"/>
        <w:ind w:firstLine="640" w:firstLineChars="200"/>
        <w:rPr>
          <w:rFonts w:hint="eastAsia" w:ascii="方正仿宋_GBK" w:hAnsi="方正仿宋_GBK" w:eastAsia="方正仿宋_GBK" w:cs="方正仿宋_GBK"/>
          <w:color w:val="auto"/>
          <w:kern w:val="0"/>
          <w:sz w:val="32"/>
          <w:szCs w:val="32"/>
          <w:highlight w:val="none"/>
          <w:lang w:val="en-US" w:eastAsia="zh-CN" w:bidi="ar-SA"/>
        </w:rPr>
      </w:pPr>
    </w:p>
    <w:p>
      <w:pPr>
        <w:pStyle w:val="35"/>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val="en-US" w:eastAsia="zh-CN" w:bidi="ar-SA"/>
        </w:rPr>
        <w:t>为推进国防和军队现代化建设，鼓励高等学校学生积极应征入伍服兵役，提高兵员征集质量，支持退役士兵接受系统的高等教育，提高退役士兵就业能力，</w:t>
      </w:r>
      <w:r>
        <w:rPr>
          <w:rFonts w:hint="eastAsia" w:ascii="方正仿宋_GBK" w:hAnsi="方正仿宋_GBK" w:eastAsia="方正仿宋_GBK" w:cs="方正仿宋_GBK"/>
          <w:color w:val="auto"/>
          <w:sz w:val="32"/>
          <w:szCs w:val="32"/>
          <w:highlight w:val="none"/>
        </w:rPr>
        <w:t>贯彻落实</w:t>
      </w:r>
      <w:r>
        <w:rPr>
          <w:rFonts w:hint="eastAsia" w:ascii="方正仿宋_GBK" w:hAnsi="方正仿宋_GBK" w:eastAsia="方正仿宋_GBK" w:cs="方正仿宋_GBK"/>
          <w:color w:val="auto"/>
          <w:kern w:val="0"/>
          <w:sz w:val="32"/>
          <w:szCs w:val="32"/>
          <w:highlight w:val="none"/>
          <w:lang w:val="en-US" w:eastAsia="zh-CN" w:bidi="ar-SA"/>
        </w:rPr>
        <w:t>服兵役高等学校学生国家教育资助</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w:t>
      </w:r>
      <w:r>
        <w:rPr>
          <w:rFonts w:hint="eastAsia" w:ascii="方正仿宋_GBK" w:hAnsi="方正仿宋_GBK" w:eastAsia="方正仿宋_GBK" w:cs="方正仿宋_GBK"/>
          <w:color w:val="auto"/>
          <w:sz w:val="32"/>
          <w:szCs w:val="32"/>
          <w:highlight w:val="none"/>
          <w:shd w:val="clear" w:color="auto" w:fill="FFFFFF"/>
          <w:lang w:val="en-US" w:eastAsia="zh-CN"/>
        </w:rPr>
        <w:t>&lt;</w:t>
      </w:r>
      <w:r>
        <w:rPr>
          <w:rFonts w:hint="eastAsia" w:ascii="方正仿宋_GBK" w:hAnsi="方正仿宋_GBK" w:eastAsia="方正仿宋_GBK" w:cs="方正仿宋_GBK"/>
          <w:color w:val="auto"/>
          <w:sz w:val="32"/>
          <w:szCs w:val="32"/>
          <w:highlight w:val="none"/>
          <w:shd w:val="clear" w:color="auto" w:fill="FFFFFF"/>
        </w:rPr>
        <w:t>学生资助资金管理办法</w:t>
      </w:r>
      <w:r>
        <w:rPr>
          <w:rFonts w:hint="eastAsia" w:ascii="方正仿宋_GBK" w:hAnsi="方正仿宋_GBK" w:eastAsia="方正仿宋_GBK" w:cs="方正仿宋_GBK"/>
          <w:color w:val="auto"/>
          <w:sz w:val="32"/>
          <w:szCs w:val="32"/>
          <w:highlight w:val="none"/>
          <w:shd w:val="clear" w:color="auto" w:fill="FFFFFF"/>
          <w:lang w:val="en-US" w:eastAsia="zh-CN"/>
        </w:rPr>
        <w:t>&gt;</w:t>
      </w:r>
      <w:r>
        <w:rPr>
          <w:rFonts w:hint="eastAsia" w:ascii="方正仿宋_GBK" w:hAnsi="方正仿宋_GBK" w:eastAsia="方正仿宋_GBK" w:cs="方正仿宋_GBK"/>
          <w:color w:val="auto"/>
          <w:sz w:val="32"/>
          <w:szCs w:val="32"/>
          <w:highlight w:val="none"/>
          <w:shd w:val="clear" w:color="auto" w:fill="FFFFFF"/>
        </w:rPr>
        <w:t>的通知》</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财科教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hint="eastAsia" w:ascii="方正仿宋_GBK" w:hAnsi="方正仿宋_GBK" w:eastAsia="方正仿宋_GBK" w:cs="方正仿宋_GBK"/>
          <w:color w:val="auto"/>
          <w:sz w:val="32"/>
          <w:szCs w:val="32"/>
          <w:highlight w:val="none"/>
          <w:shd w:val="clear" w:color="auto" w:fill="FFFFFF"/>
          <w:lang w:val="en-US" w:eastAsia="zh-CN"/>
        </w:rPr>
        <w:t>21】310</w:t>
      </w:r>
      <w:r>
        <w:rPr>
          <w:rFonts w:hint="eastAsia" w:ascii="方正仿宋_GBK" w:hAnsi="方正仿宋_GBK" w:eastAsia="方正仿宋_GBK" w:cs="方正仿宋_GBK"/>
          <w:color w:val="auto"/>
          <w:sz w:val="32"/>
          <w:szCs w:val="32"/>
          <w:highlight w:val="none"/>
          <w:shd w:val="clear" w:color="auto" w:fill="FFFFFF"/>
        </w:rPr>
        <w:t>号</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精神</w:t>
      </w:r>
      <w:r>
        <w:rPr>
          <w:rFonts w:hint="eastAsia" w:ascii="方正仿宋_GBK" w:hAnsi="方正仿宋_GBK" w:eastAsia="方正仿宋_GBK" w:cs="方正仿宋_GBK"/>
          <w:color w:val="auto"/>
          <w:sz w:val="32"/>
          <w:szCs w:val="32"/>
          <w:highlight w:val="none"/>
        </w:rPr>
        <w:t>，结合学校实际，制定本办法。</w:t>
      </w:r>
    </w:p>
    <w:p>
      <w:pPr>
        <w:pStyle w:val="35"/>
        <w:widowControl/>
        <w:spacing w:line="560" w:lineRule="exact"/>
        <w:ind w:firstLine="640" w:firstLineChars="200"/>
        <w:rPr>
          <w:rFonts w:hint="eastAsia" w:ascii="方正仿宋_GBK" w:hAnsi="方正仿宋_GBK" w:eastAsia="方正仿宋_GBK" w:cs="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65" w:name="_Toc15379218"/>
      <w:bookmarkStart w:id="166" w:name="_Toc31042"/>
      <w:bookmarkStart w:id="167" w:name="_Toc18823_WPSOffice_Level1"/>
      <w:bookmarkStart w:id="168" w:name="_Toc12218"/>
      <w:r>
        <w:rPr>
          <w:rFonts w:hint="eastAsia" w:ascii="方正黑体_GBK" w:hAnsi="方正黑体_GBK" w:eastAsia="方正黑体_GBK" w:cs="方正黑体_GBK"/>
          <w:b/>
          <w:bCs w:val="0"/>
          <w:color w:val="auto"/>
          <w:highlight w:val="none"/>
        </w:rPr>
        <w:t>第一章  总则</w:t>
      </w:r>
      <w:bookmarkEnd w:id="165"/>
      <w:bookmarkEnd w:id="166"/>
      <w:bookmarkEnd w:id="167"/>
      <w:bookmarkEnd w:id="168"/>
    </w:p>
    <w:p>
      <w:pPr>
        <w:widowControl/>
        <w:shd w:val="clear" w:color="auto" w:fill="FFFFFF"/>
        <w:spacing w:line="560" w:lineRule="exact"/>
        <w:rPr>
          <w:rFonts w:ascii="方正楷体_GBK" w:hAnsi="楷体" w:eastAsia="方正楷体_GBK" w:cs="宋体"/>
          <w:color w:val="auto"/>
          <w:sz w:val="32"/>
          <w:szCs w:val="32"/>
          <w:highlight w:val="none"/>
        </w:rPr>
      </w:pPr>
    </w:p>
    <w:p>
      <w:pPr>
        <w:widowControl/>
        <w:shd w:val="clear" w:color="auto" w:fill="FFFFFF"/>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楷体" w:eastAsia="方正楷体_GBK" w:cs="宋体"/>
          <w:b/>
          <w:color w:val="auto"/>
          <w:sz w:val="32"/>
          <w:szCs w:val="32"/>
          <w:highlight w:val="none"/>
        </w:rPr>
        <w:t xml:space="preserve">第一条  </w:t>
      </w:r>
      <w:r>
        <w:rPr>
          <w:rFonts w:hint="eastAsia" w:ascii="方正仿宋_GBK" w:hAnsi="方正仿宋_GBK" w:eastAsia="方正仿宋_GBK" w:cs="方正仿宋_GBK"/>
          <w:color w:val="auto"/>
          <w:kern w:val="0"/>
          <w:sz w:val="32"/>
          <w:szCs w:val="32"/>
          <w:highlight w:val="none"/>
        </w:rPr>
        <w:t>应征入伍服兵役高校学生国家教育资助，是指国家对应征入伍服义务兵役、招收为士官的高校学生，在入伍时对其在校期间缴纳的学费实行一次性补偿或</w:t>
      </w:r>
      <w:r>
        <w:rPr>
          <w:rFonts w:hint="eastAsia" w:ascii="方正仿宋_GBK" w:hAnsi="方正仿宋_GBK" w:eastAsia="方正仿宋_GBK" w:cs="方正仿宋_GBK"/>
          <w:color w:val="auto"/>
          <w:kern w:val="0"/>
          <w:sz w:val="32"/>
          <w:szCs w:val="32"/>
          <w:highlight w:val="none"/>
          <w:lang w:val="en-US" w:eastAsia="zh-CN"/>
        </w:rPr>
        <w:t>用于学费的</w:t>
      </w:r>
      <w:r>
        <w:rPr>
          <w:rFonts w:hint="eastAsia" w:ascii="方正仿宋_GBK" w:hAnsi="方正仿宋_GBK" w:eastAsia="方正仿宋_GBK" w:cs="方正仿宋_GBK"/>
          <w:color w:val="auto"/>
          <w:kern w:val="0"/>
          <w:sz w:val="32"/>
          <w:szCs w:val="32"/>
          <w:highlight w:val="none"/>
        </w:rPr>
        <w:t>国家助学贷款实行代偿。</w:t>
      </w:r>
    </w:p>
    <w:p>
      <w:pPr>
        <w:widowControl/>
        <w:shd w:val="clear" w:color="auto" w:fill="FFFFFF"/>
        <w:spacing w:line="560" w:lineRule="exact"/>
        <w:ind w:firstLine="643" w:firstLineChars="200"/>
        <w:rPr>
          <w:rFonts w:hint="eastAsia" w:ascii="方正仿宋_GBK" w:hAnsi="方正仿宋_GBK" w:eastAsia="方正仿宋_GBK" w:cs="方正仿宋_GBK"/>
          <w:color w:val="auto"/>
          <w:kern w:val="0"/>
          <w:sz w:val="32"/>
          <w:szCs w:val="32"/>
          <w:highlight w:val="none"/>
        </w:rPr>
      </w:pPr>
      <w:r>
        <w:rPr>
          <w:rFonts w:hint="eastAsia" w:ascii="方正楷体_GBK" w:hAnsi="楷体" w:eastAsia="方正楷体_GBK" w:cs="宋体"/>
          <w:b/>
          <w:color w:val="auto"/>
          <w:sz w:val="32"/>
          <w:szCs w:val="32"/>
          <w:highlight w:val="none"/>
        </w:rPr>
        <w:t xml:space="preserve">第二条  </w:t>
      </w:r>
      <w:r>
        <w:rPr>
          <w:rFonts w:hint="eastAsia" w:ascii="方正仿宋_GBK" w:hAnsi="方正仿宋_GBK" w:eastAsia="方正仿宋_GBK" w:cs="方正仿宋_GBK"/>
          <w:color w:val="auto"/>
          <w:kern w:val="0"/>
          <w:sz w:val="32"/>
          <w:szCs w:val="32"/>
          <w:highlight w:val="none"/>
        </w:rPr>
        <w:t>对应征入伍服义务兵役前正在高等学校就读的学生(含按国家招生规定录取的高校新生)，服役期间按国家有关规定保留学籍或入学资格、退役后自愿复学或入学的，实行学费减免。</w:t>
      </w:r>
    </w:p>
    <w:p>
      <w:pPr>
        <w:widowControl/>
        <w:shd w:val="clear" w:color="auto" w:fill="FFFFFF"/>
        <w:spacing w:line="560" w:lineRule="exact"/>
        <w:ind w:firstLine="643" w:firstLineChars="200"/>
        <w:rPr>
          <w:rFonts w:hint="eastAsia" w:ascii="方正仿宋_GBK" w:hAnsi="方正仿宋_GBK" w:eastAsia="方正仿宋_GBK" w:cs="方正仿宋_GBK"/>
          <w:color w:val="auto"/>
          <w:kern w:val="0"/>
          <w:sz w:val="32"/>
          <w:szCs w:val="32"/>
          <w:highlight w:val="none"/>
        </w:rPr>
      </w:pPr>
      <w:r>
        <w:rPr>
          <w:rFonts w:hint="eastAsia" w:ascii="方正楷体_GBK" w:hAnsi="楷体" w:eastAsia="方正楷体_GBK" w:cs="宋体"/>
          <w:b/>
          <w:color w:val="auto"/>
          <w:sz w:val="32"/>
          <w:szCs w:val="32"/>
          <w:highlight w:val="none"/>
        </w:rPr>
        <w:t>第三条</w:t>
      </w:r>
      <w:r>
        <w:rPr>
          <w:rFonts w:hint="eastAsia" w:ascii="方正仿宋_GBK" w:hAnsi="方正仿宋_GBK" w:eastAsia="方正仿宋_GBK" w:cs="方正仿宋_GBK"/>
          <w:color w:val="auto"/>
          <w:kern w:val="0"/>
          <w:sz w:val="32"/>
          <w:szCs w:val="32"/>
          <w:highlight w:val="none"/>
        </w:rPr>
        <w:t xml:space="preserve">  对退役</w:t>
      </w:r>
      <w:r>
        <w:rPr>
          <w:rFonts w:hint="eastAsia" w:ascii="方正仿宋_GBK" w:hAnsi="方正仿宋_GBK" w:eastAsia="方正仿宋_GBK" w:cs="方正仿宋_GBK"/>
          <w:color w:val="auto"/>
          <w:kern w:val="0"/>
          <w:sz w:val="32"/>
          <w:szCs w:val="32"/>
          <w:highlight w:val="none"/>
          <w:lang w:val="en-US" w:eastAsia="zh-CN"/>
        </w:rPr>
        <w:t>后</w:t>
      </w:r>
      <w:r>
        <w:rPr>
          <w:rFonts w:hint="eastAsia" w:ascii="方正仿宋_GBK" w:hAnsi="方正仿宋_GBK" w:eastAsia="方正仿宋_GBK" w:cs="方正仿宋_GBK"/>
          <w:color w:val="auto"/>
          <w:kern w:val="0"/>
          <w:sz w:val="32"/>
          <w:szCs w:val="32"/>
          <w:highlight w:val="none"/>
        </w:rPr>
        <w:t>，自主就业，通过全国统一高考或高职</w:t>
      </w:r>
      <w:r>
        <w:rPr>
          <w:rFonts w:hint="eastAsia" w:ascii="方正仿宋_GBK" w:hAnsi="方正仿宋_GBK" w:eastAsia="方正仿宋_GBK" w:cs="方正仿宋_GBK"/>
          <w:color w:val="auto"/>
          <w:kern w:val="0"/>
          <w:sz w:val="32"/>
          <w:szCs w:val="32"/>
          <w:highlight w:val="none"/>
          <w:lang w:val="en-US" w:eastAsia="zh-CN"/>
        </w:rPr>
        <w:t>分类招考方式</w:t>
      </w:r>
      <w:r>
        <w:rPr>
          <w:rFonts w:hint="eastAsia" w:ascii="方正仿宋_GBK" w:hAnsi="方正仿宋_GBK" w:eastAsia="方正仿宋_GBK" w:cs="方正仿宋_GBK"/>
          <w:color w:val="auto"/>
          <w:kern w:val="0"/>
          <w:sz w:val="32"/>
          <w:szCs w:val="32"/>
          <w:highlight w:val="none"/>
        </w:rPr>
        <w:t>考入高等学校并到校报到的入学新生，实行学费减免。</w:t>
      </w:r>
    </w:p>
    <w:p>
      <w:pPr>
        <w:spacing w:before="10" w:line="317" w:lineRule="auto"/>
        <w:ind w:right="164" w:firstLine="649"/>
        <w:rPr>
          <w:rFonts w:hint="default" w:ascii="方正楷体_GBK" w:hAnsi="楷体" w:eastAsia="方正楷体_GBK" w:cs="宋体"/>
          <w:b/>
          <w:color w:val="auto"/>
          <w:sz w:val="32"/>
          <w:szCs w:val="32"/>
          <w:highlight w:val="none"/>
          <w:lang w:val="en-US" w:eastAsia="zh-CN"/>
        </w:rPr>
      </w:pPr>
      <w:r>
        <w:rPr>
          <w:rFonts w:hint="eastAsia" w:ascii="方正楷体_GBK" w:hAnsi="楷体" w:eastAsia="方正楷体_GBK" w:cs="宋体"/>
          <w:b/>
          <w:color w:val="auto"/>
          <w:sz w:val="32"/>
          <w:szCs w:val="32"/>
          <w:highlight w:val="none"/>
        </w:rPr>
        <w:t>第四条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方正仿宋_GBK" w:eastAsia="方正仿宋_GBK" w:cs="方正仿宋_GBK"/>
          <w:color w:val="auto"/>
          <w:kern w:val="0"/>
          <w:sz w:val="32"/>
          <w:szCs w:val="32"/>
          <w:highlight w:val="none"/>
          <w:lang w:val="en-US" w:eastAsia="zh-CN"/>
        </w:rPr>
        <w:t xml:space="preserve"> 自2019年秋季学期起，</w:t>
      </w:r>
      <w:r>
        <w:rPr>
          <w:rFonts w:hint="eastAsia" w:ascii="方正仿宋_GBK" w:hAnsi="方正仿宋_GBK" w:eastAsia="方正仿宋_GBK" w:cs="方正仿宋_GBK"/>
          <w:color w:val="auto"/>
          <w:kern w:val="0"/>
          <w:sz w:val="32"/>
          <w:szCs w:val="32"/>
          <w:highlight w:val="none"/>
        </w:rPr>
        <w:t>全日制在校退役士兵学生全部享受本专科生国家助学金</w:t>
      </w:r>
      <w:r>
        <w:rPr>
          <w:rFonts w:hint="eastAsia" w:ascii="方正仿宋_GBK" w:hAnsi="方正仿宋_GBK" w:eastAsia="方正仿宋_GBK" w:cs="方正仿宋_GBK"/>
          <w:color w:val="auto"/>
          <w:kern w:val="0"/>
          <w:sz w:val="32"/>
          <w:szCs w:val="32"/>
          <w:highlight w:val="none"/>
          <w:lang w:eastAsia="zh-CN"/>
        </w:rPr>
        <w:t>。</w:t>
      </w:r>
    </w:p>
    <w:p>
      <w:pPr>
        <w:widowControl/>
        <w:shd w:val="clear" w:color="auto" w:fill="FFFFFF"/>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五</w:t>
      </w:r>
      <w:r>
        <w:rPr>
          <w:rFonts w:hint="eastAsia" w:ascii="方正楷体_GBK" w:hAnsi="楷体" w:eastAsia="方正楷体_GBK" w:cs="宋体"/>
          <w:b/>
          <w:color w:val="auto"/>
          <w:sz w:val="32"/>
          <w:szCs w:val="32"/>
          <w:highlight w:val="none"/>
        </w:rPr>
        <w:t>条</w:t>
      </w:r>
      <w:r>
        <w:rPr>
          <w:rFonts w:hint="eastAsia" w:ascii="方正仿宋_GBK" w:hAnsi="方正仿宋_GBK" w:eastAsia="方正仿宋_GBK" w:cs="方正仿宋_GBK"/>
          <w:color w:val="auto"/>
          <w:kern w:val="0"/>
          <w:sz w:val="32"/>
          <w:szCs w:val="32"/>
          <w:highlight w:val="none"/>
        </w:rPr>
        <w:t xml:space="preserve">  本办法所称学生是指学校依据国家有关政策招收的具有全日制专科学籍的学生，包括三年制大专、五年制大专第四、五年级的在校生、应（往）届毕业生和入学新生（以下称学生）。</w:t>
      </w:r>
    </w:p>
    <w:p>
      <w:pPr>
        <w:widowControl/>
        <w:shd w:val="clear" w:color="auto" w:fill="FFFFFF"/>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六</w:t>
      </w:r>
      <w:r>
        <w:rPr>
          <w:rFonts w:hint="eastAsia" w:ascii="方正楷体_GBK" w:hAnsi="楷体" w:eastAsia="方正楷体_GBK" w:cs="宋体"/>
          <w:b/>
          <w:color w:val="auto"/>
          <w:sz w:val="32"/>
          <w:szCs w:val="32"/>
          <w:highlight w:val="none"/>
        </w:rPr>
        <w:t>条</w:t>
      </w:r>
      <w:r>
        <w:rPr>
          <w:rFonts w:hint="eastAsia" w:ascii="方正仿宋_GBK" w:hAnsi="方正仿宋_GBK" w:eastAsia="方正仿宋_GBK" w:cs="方正仿宋_GBK"/>
          <w:color w:val="auto"/>
          <w:kern w:val="0"/>
          <w:sz w:val="32"/>
          <w:szCs w:val="32"/>
          <w:highlight w:val="none"/>
        </w:rPr>
        <w:t xml:space="preserve">  下列学生不享受以上国家</w:t>
      </w:r>
      <w:r>
        <w:rPr>
          <w:rFonts w:hint="eastAsia" w:ascii="方正仿宋_GBK" w:hAnsi="方正仿宋_GBK" w:eastAsia="方正仿宋_GBK" w:cs="方正仿宋_GBK"/>
          <w:color w:val="auto"/>
          <w:kern w:val="0"/>
          <w:sz w:val="32"/>
          <w:szCs w:val="32"/>
          <w:highlight w:val="none"/>
          <w:lang w:val="en-US" w:eastAsia="zh-CN"/>
        </w:rPr>
        <w:t>学费</w:t>
      </w:r>
      <w:r>
        <w:rPr>
          <w:rFonts w:hint="eastAsia" w:ascii="方正仿宋_GBK" w:hAnsi="方正仿宋_GBK" w:eastAsia="方正仿宋_GBK" w:cs="方正仿宋_GBK"/>
          <w:color w:val="auto"/>
          <w:kern w:val="0"/>
          <w:sz w:val="32"/>
          <w:szCs w:val="32"/>
          <w:highlight w:val="none"/>
        </w:rPr>
        <w:t>资助：</w:t>
      </w:r>
    </w:p>
    <w:p>
      <w:pPr>
        <w:widowControl/>
        <w:shd w:val="clear" w:color="auto" w:fill="FFFFFF"/>
        <w:spacing w:line="560" w:lineRule="exact"/>
        <w:ind w:firstLine="640" w:firstLineChars="200"/>
        <w:rPr>
          <w:rFonts w:ascii="方正仿宋_GBK" w:hAnsi="方正仿宋_GBK" w:eastAsia="方正仿宋_GBK" w:cs="方正仿宋_GBK"/>
          <w:color w:val="auto"/>
          <w:kern w:val="0"/>
          <w:sz w:val="32"/>
          <w:szCs w:val="32"/>
          <w:highlight w:val="none"/>
        </w:rPr>
      </w:pPr>
      <w:bookmarkStart w:id="169" w:name="_Toc23644_WPSOffice_Level2"/>
      <w:r>
        <w:rPr>
          <w:rFonts w:hint="eastAsia" w:ascii="方正仿宋_GBK" w:hAnsi="方正仿宋_GBK" w:eastAsia="方正仿宋_GBK" w:cs="方正仿宋_GBK"/>
          <w:color w:val="auto"/>
          <w:kern w:val="0"/>
          <w:sz w:val="32"/>
          <w:szCs w:val="32"/>
          <w:highlight w:val="none"/>
        </w:rPr>
        <w:t>(一)在校期间已通过其他方式免除全部学费的学生;</w:t>
      </w:r>
      <w:bookmarkEnd w:id="169"/>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bookmarkStart w:id="170" w:name="_Toc27102_WPSOffice_Level2"/>
      <w:r>
        <w:rPr>
          <w:rFonts w:hint="eastAsia" w:ascii="方正仿宋_GBK" w:hAnsi="宋体" w:eastAsia="方正仿宋_GBK" w:cs="宋体"/>
          <w:color w:val="auto"/>
          <w:sz w:val="32"/>
          <w:szCs w:val="32"/>
          <w:highlight w:val="none"/>
        </w:rPr>
        <w:t>(二)定向生（定向培养士官除外）、委培生和国防生;</w:t>
      </w:r>
      <w:bookmarkEnd w:id="170"/>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bookmarkStart w:id="171" w:name="_Toc32026_WPSOffice_Level2"/>
      <w:r>
        <w:rPr>
          <w:rFonts w:hint="eastAsia" w:ascii="方正仿宋_GBK" w:hAnsi="宋体" w:eastAsia="方正仿宋_GBK" w:cs="宋体"/>
          <w:color w:val="auto"/>
          <w:sz w:val="32"/>
          <w:szCs w:val="32"/>
          <w:highlight w:val="none"/>
        </w:rPr>
        <w:t>(三)其他不属于服义务兵役或招收士官到部队入伍的学生。</w:t>
      </w:r>
      <w:bookmarkEnd w:id="171"/>
    </w:p>
    <w:p>
      <w:pPr>
        <w:widowControl/>
        <w:shd w:val="clear" w:color="auto" w:fill="FFFFFF"/>
        <w:spacing w:line="560" w:lineRule="exact"/>
        <w:rPr>
          <w:rFonts w:ascii="方正仿宋_GBK" w:hAnsi="宋体" w:eastAsia="方正仿宋_GBK" w:cs="宋体"/>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72" w:name="_Toc13763_WPSOffice_Level1"/>
      <w:bookmarkStart w:id="173" w:name="_Toc16854"/>
      <w:bookmarkStart w:id="174" w:name="_Toc5984"/>
      <w:bookmarkStart w:id="175" w:name="_Toc15379219"/>
      <w:r>
        <w:rPr>
          <w:rFonts w:hint="eastAsia" w:ascii="方正黑体_GBK" w:hAnsi="方正黑体_GBK" w:eastAsia="方正黑体_GBK" w:cs="方正黑体_GBK"/>
          <w:b/>
          <w:bCs w:val="0"/>
          <w:color w:val="auto"/>
          <w:highlight w:val="none"/>
        </w:rPr>
        <w:t>第二章  受助标准及年限</w:t>
      </w:r>
      <w:bookmarkEnd w:id="172"/>
      <w:bookmarkEnd w:id="173"/>
      <w:bookmarkEnd w:id="174"/>
      <w:bookmarkEnd w:id="175"/>
    </w:p>
    <w:p>
      <w:pPr>
        <w:widowControl/>
        <w:shd w:val="clear" w:color="auto" w:fill="FFFFFF"/>
        <w:spacing w:line="560" w:lineRule="exact"/>
        <w:rPr>
          <w:rFonts w:ascii="方正仿宋_GBK" w:hAnsi="宋体" w:eastAsia="方正仿宋_GBK" w:cs="宋体"/>
          <w:color w:val="auto"/>
          <w:sz w:val="32"/>
          <w:szCs w:val="32"/>
          <w:highlight w:val="none"/>
        </w:rPr>
      </w:pP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七</w:t>
      </w:r>
      <w:r>
        <w:rPr>
          <w:rFonts w:hint="eastAsia" w:ascii="方正楷体_GBK" w:hAnsi="楷体" w:eastAsia="方正楷体_GBK" w:cs="宋体"/>
          <w:b/>
          <w:color w:val="auto"/>
          <w:sz w:val="32"/>
          <w:szCs w:val="32"/>
          <w:highlight w:val="none"/>
        </w:rPr>
        <w:t>条</w:t>
      </w:r>
      <w:r>
        <w:rPr>
          <w:rFonts w:hint="eastAsia" w:ascii="方正仿宋_GBK" w:hAnsi="宋体" w:eastAsia="方正仿宋_GBK" w:cs="宋体"/>
          <w:color w:val="auto"/>
          <w:sz w:val="32"/>
          <w:szCs w:val="32"/>
          <w:highlight w:val="none"/>
        </w:rPr>
        <w:t xml:space="preserve">  获学费补偿学生在校期间获得国家助学贷款的，补偿资金应当首先用于偿还国家助学贷款。</w:t>
      </w:r>
    </w:p>
    <w:p>
      <w:pPr>
        <w:widowControl/>
        <w:shd w:val="clear" w:color="auto" w:fill="FFFFFF"/>
        <w:spacing w:line="560" w:lineRule="exact"/>
        <w:ind w:firstLine="64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八</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获得国家助学贷款的在校生应征入伍后，国家助学贷款停止发放。</w:t>
      </w:r>
    </w:p>
    <w:p>
      <w:pPr>
        <w:widowControl/>
        <w:shd w:val="clear" w:color="auto" w:fill="FFFFFF"/>
        <w:spacing w:line="560" w:lineRule="exact"/>
        <w:ind w:firstLine="640"/>
        <w:rPr>
          <w:rFonts w:hint="default" w:ascii="方正仿宋_GBK" w:hAnsi="宋体" w:eastAsia="方正仿宋_GBK" w:cs="宋体"/>
          <w:color w:val="auto"/>
          <w:sz w:val="32"/>
          <w:szCs w:val="32"/>
          <w:highlight w:val="none"/>
          <w:lang w:val="en-US" w:eastAsia="zh-CN"/>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九</w:t>
      </w:r>
      <w:r>
        <w:rPr>
          <w:rFonts w:hint="eastAsia" w:ascii="方正楷体_GBK" w:hAnsi="楷体" w:eastAsia="方正楷体_GBK" w:cs="宋体"/>
          <w:b/>
          <w:color w:val="auto"/>
          <w:sz w:val="32"/>
          <w:szCs w:val="32"/>
          <w:highlight w:val="none"/>
        </w:rPr>
        <w:t xml:space="preserve">条 </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学费补偿、国家助学贷款代偿以及学费减免的标准</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每生每年最高不超过12000元</w:t>
      </w:r>
      <w:r>
        <w:rPr>
          <w:rFonts w:hint="eastAsia" w:ascii="方正仿宋_GBK" w:hAnsi="宋体" w:eastAsia="方正仿宋_GBK" w:cs="宋体"/>
          <w:color w:val="auto"/>
          <w:sz w:val="32"/>
          <w:szCs w:val="32"/>
          <w:highlight w:val="none"/>
          <w:lang w:eastAsia="zh-CN"/>
        </w:rPr>
        <w:t>。</w:t>
      </w:r>
    </w:p>
    <w:p>
      <w:pPr>
        <w:widowControl/>
        <w:shd w:val="clear" w:color="auto" w:fill="FFFFFF"/>
        <w:spacing w:line="560" w:lineRule="exact"/>
        <w:ind w:firstLine="64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学费补偿或国家助学贷款代偿金额，按学生实际缴纳的学费或获得的国家助学贷款(国家助学贷款包括本金及其全部偿还之前产生的利息，下同)两者金额较高者执行，据实补偿或者代偿。</w:t>
      </w:r>
    </w:p>
    <w:p>
      <w:pPr>
        <w:widowControl/>
        <w:shd w:val="clear" w:color="auto" w:fill="FFFFFF"/>
        <w:spacing w:line="560" w:lineRule="exact"/>
        <w:ind w:firstLine="64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复学或新生入学后学费减免金额，按学校实际收取学费金额执行。超出标准部分不予补偿、代偿或减免。</w:t>
      </w:r>
    </w:p>
    <w:p>
      <w:pPr>
        <w:widowControl/>
        <w:numPr>
          <w:ilvl w:val="0"/>
          <w:numId w:val="0"/>
        </w:numPr>
        <w:shd w:val="clear" w:color="auto" w:fill="FFFFFF"/>
        <w:spacing w:line="560" w:lineRule="exact"/>
        <w:ind w:firstLine="643" w:firstLineChars="200"/>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楷体" w:eastAsia="方正楷体_GBK" w:cs="宋体"/>
          <w:b/>
          <w:color w:val="auto"/>
          <w:sz w:val="32"/>
          <w:szCs w:val="32"/>
          <w:highlight w:val="none"/>
          <w:lang w:val="en-US" w:eastAsia="zh-CN"/>
        </w:rPr>
        <w:t>第十条</w:t>
      </w:r>
      <w:r>
        <w:rPr>
          <w:rFonts w:hint="eastAsia" w:ascii="方正仿宋_GBK" w:hAnsi="方正仿宋_GBK" w:eastAsia="方正仿宋_GBK" w:cs="方正仿宋_GBK"/>
          <w:color w:val="auto"/>
          <w:kern w:val="0"/>
          <w:sz w:val="32"/>
          <w:szCs w:val="32"/>
          <w:highlight w:val="none"/>
          <w:lang w:val="en-US" w:eastAsia="zh-CN"/>
        </w:rPr>
        <w:t xml:space="preserve">  </w:t>
      </w:r>
      <w:r>
        <w:rPr>
          <w:rFonts w:hint="eastAsia" w:ascii="方正仿宋_GBK" w:hAnsi="方正仿宋_GBK" w:eastAsia="方正仿宋_GBK" w:cs="方正仿宋_GBK"/>
          <w:color w:val="auto"/>
          <w:kern w:val="0"/>
          <w:sz w:val="32"/>
          <w:szCs w:val="32"/>
          <w:highlight w:val="none"/>
        </w:rPr>
        <w:t>全日制在校退役士兵学生全部享受本专科生国家助学金</w:t>
      </w:r>
      <w:r>
        <w:rPr>
          <w:rFonts w:hint="eastAsia" w:ascii="方正仿宋_GBK" w:hAnsi="方正仿宋_GBK" w:eastAsia="方正仿宋_GBK" w:cs="方正仿宋_GBK"/>
          <w:color w:val="auto"/>
          <w:kern w:val="0"/>
          <w:sz w:val="32"/>
          <w:szCs w:val="32"/>
          <w:highlight w:val="none"/>
          <w:lang w:eastAsia="zh-CN"/>
        </w:rPr>
        <w:t>，</w:t>
      </w:r>
      <w:r>
        <w:rPr>
          <w:rFonts w:hint="eastAsia" w:ascii="方正仿宋_GBK" w:hAnsi="方正仿宋_GBK" w:eastAsia="方正仿宋_GBK" w:cs="方正仿宋_GBK"/>
          <w:color w:val="auto"/>
          <w:kern w:val="0"/>
          <w:sz w:val="32"/>
          <w:szCs w:val="32"/>
          <w:highlight w:val="none"/>
          <w:lang w:val="en-US" w:eastAsia="zh-CN"/>
        </w:rPr>
        <w:t>资助标准为每生每年3300元。</w:t>
      </w:r>
    </w:p>
    <w:p>
      <w:pPr>
        <w:widowControl/>
        <w:numPr>
          <w:ilvl w:val="0"/>
          <w:numId w:val="0"/>
        </w:numPr>
        <w:shd w:val="clear" w:color="auto" w:fill="FFFFFF"/>
        <w:spacing w:line="560" w:lineRule="exact"/>
        <w:ind w:firstLine="640" w:firstLineChars="200"/>
        <w:rPr>
          <w:rFonts w:hint="default" w:ascii="方正楷体_GBK" w:hAnsi="楷体" w:eastAsia="方正楷体_GBK" w:cs="宋体"/>
          <w:b/>
          <w:color w:val="auto"/>
          <w:sz w:val="32"/>
          <w:szCs w:val="32"/>
          <w:highlight w:val="none"/>
          <w:lang w:val="en-US"/>
        </w:rPr>
      </w:pPr>
      <w:r>
        <w:rPr>
          <w:rFonts w:hint="eastAsia" w:ascii="方正仿宋_GBK" w:hAnsi="方正仿宋_GBK" w:eastAsia="方正仿宋_GBK" w:cs="方正仿宋_GBK"/>
          <w:color w:val="auto"/>
          <w:kern w:val="0"/>
          <w:sz w:val="32"/>
          <w:szCs w:val="32"/>
          <w:highlight w:val="none"/>
          <w:lang w:val="en-US" w:eastAsia="zh-CN"/>
        </w:rPr>
        <w:t>学校足额按月执行发放，在学制期限内，由于出国、疾病等原因办理保留学籍或休学手续的，暂停对其发放国家助学金，待其恢复学籍后再行发放。超过基本修业年限的退役士兵在校生不再享受退役士兵国家助学金。</w:t>
      </w:r>
    </w:p>
    <w:p>
      <w:pPr>
        <w:widowControl/>
        <w:numPr>
          <w:ilvl w:val="0"/>
          <w:numId w:val="0"/>
        </w:numPr>
        <w:shd w:val="clear" w:color="auto" w:fill="FFFFFF"/>
        <w:spacing w:line="560" w:lineRule="exact"/>
        <w:ind w:firstLine="643" w:firstLineChars="200"/>
        <w:rPr>
          <w:rFonts w:hint="eastAsia" w:ascii="方正仿宋_GBK" w:hAnsi="方正仿宋_GBK" w:eastAsia="方正仿宋_GBK" w:cs="方正仿宋_GBK"/>
          <w:color w:val="auto"/>
          <w:sz w:val="32"/>
          <w:szCs w:val="32"/>
          <w:highlight w:val="none"/>
        </w:rPr>
      </w:pPr>
      <w:r>
        <w:rPr>
          <w:rFonts w:hint="eastAsia" w:ascii="方正楷体_GBK" w:hAnsi="楷体" w:eastAsia="方正楷体_GBK" w:cs="宋体"/>
          <w:b/>
          <w:color w:val="auto"/>
          <w:sz w:val="32"/>
          <w:szCs w:val="32"/>
          <w:highlight w:val="none"/>
          <w:lang w:val="en-US" w:eastAsia="zh-CN"/>
        </w:rPr>
        <w:t xml:space="preserve">第十一条  </w:t>
      </w:r>
      <w:r>
        <w:rPr>
          <w:rFonts w:hint="eastAsia" w:ascii="方正仿宋_GBK" w:hAnsi="宋体" w:eastAsia="方正仿宋_GBK" w:cs="宋体"/>
          <w:color w:val="auto"/>
          <w:sz w:val="32"/>
          <w:szCs w:val="32"/>
          <w:highlight w:val="none"/>
        </w:rPr>
        <w:t>学费补偿</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贷款代偿</w:t>
      </w:r>
      <w:r>
        <w:rPr>
          <w:rFonts w:hint="eastAsia" w:ascii="方正仿宋_GBK" w:hAnsi="宋体" w:eastAsia="方正仿宋_GBK" w:cs="宋体"/>
          <w:color w:val="auto"/>
          <w:sz w:val="32"/>
          <w:szCs w:val="32"/>
          <w:highlight w:val="none"/>
          <w:lang w:val="en-US" w:eastAsia="zh-CN"/>
        </w:rPr>
        <w:t>或学费减免</w:t>
      </w:r>
      <w:r>
        <w:rPr>
          <w:rFonts w:hint="eastAsia" w:ascii="方正仿宋_GBK" w:hAnsi="方正仿宋_GBK" w:eastAsia="方正仿宋_GBK" w:cs="方正仿宋_GBK"/>
          <w:color w:val="auto"/>
          <w:sz w:val="32"/>
          <w:szCs w:val="32"/>
          <w:highlight w:val="none"/>
        </w:rPr>
        <w:t>期限为全日制普通高等学历教育一个学制期，对复学或入学后攻读更高层次学历（专升本）的不在学费减免范围之内。</w:t>
      </w:r>
    </w:p>
    <w:p>
      <w:pPr>
        <w:widowControl/>
        <w:numPr>
          <w:ilvl w:val="0"/>
          <w:numId w:val="0"/>
        </w:numPr>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中职高职连读学生的入伍资助，以高职阶段学习时间计算。</w:t>
      </w: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二</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学费补偿</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贷款代偿</w:t>
      </w:r>
      <w:r>
        <w:rPr>
          <w:rFonts w:hint="eastAsia" w:ascii="方正仿宋_GBK" w:hAnsi="宋体" w:eastAsia="方正仿宋_GBK" w:cs="宋体"/>
          <w:color w:val="auto"/>
          <w:sz w:val="32"/>
          <w:szCs w:val="32"/>
          <w:highlight w:val="none"/>
          <w:lang w:val="en-US" w:eastAsia="zh-CN"/>
        </w:rPr>
        <w:t>或学费减免</w:t>
      </w:r>
      <w:r>
        <w:rPr>
          <w:rFonts w:hint="eastAsia" w:ascii="方正仿宋_GBK" w:hAnsi="宋体" w:eastAsia="方正仿宋_GBK" w:cs="宋体"/>
          <w:color w:val="auto"/>
          <w:sz w:val="32"/>
          <w:szCs w:val="32"/>
          <w:highlight w:val="none"/>
        </w:rPr>
        <w:t>资助年限，按照国家对专科(含高职)规定的基本修业年限据实计算。以入伍时间为准，入伍前已完成规定的修业年限，即为学费补偿或国家助学贷款代偿的年限。</w:t>
      </w:r>
    </w:p>
    <w:p>
      <w:pPr>
        <w:widowControl/>
        <w:shd w:val="clear" w:color="auto" w:fill="FFFFFF"/>
        <w:spacing w:line="560" w:lineRule="exact"/>
        <w:ind w:firstLine="640" w:firstLineChars="20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退役复学后接续完成规定的剩余修业年限，即为学费减免的年限。</w:t>
      </w:r>
    </w:p>
    <w:p>
      <w:pPr>
        <w:widowControl/>
        <w:shd w:val="clear" w:color="auto" w:fill="FFFFFF"/>
        <w:spacing w:line="560" w:lineRule="exact"/>
        <w:ind w:firstLine="640" w:firstLineChars="20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退役后考入学校的新生，规定的基本修业年限，即为学费减免的年限。</w:t>
      </w:r>
    </w:p>
    <w:p>
      <w:pPr>
        <w:widowControl/>
        <w:shd w:val="clear" w:color="auto" w:fill="FFFFFF"/>
        <w:spacing w:line="560" w:lineRule="exact"/>
        <w:ind w:firstLine="640" w:firstLineChars="200"/>
        <w:rPr>
          <w:rFonts w:hint="eastAsia" w:ascii="方正仿宋_GBK" w:hAnsi="宋体" w:eastAsia="方正仿宋_GBK" w:cs="宋体"/>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76" w:name="_Toc15379220"/>
      <w:bookmarkStart w:id="177" w:name="_Toc18106"/>
      <w:bookmarkStart w:id="178" w:name="_Toc12500_WPSOffice_Level1"/>
      <w:bookmarkStart w:id="179" w:name="_Toc10450"/>
      <w:r>
        <w:rPr>
          <w:rFonts w:hint="eastAsia" w:ascii="方正黑体_GBK" w:hAnsi="方正黑体_GBK" w:eastAsia="方正黑体_GBK" w:cs="方正黑体_GBK"/>
          <w:b/>
          <w:bCs w:val="0"/>
          <w:color w:val="auto"/>
          <w:highlight w:val="none"/>
        </w:rPr>
        <w:t>第三章  申请、审核和发放</w:t>
      </w:r>
      <w:bookmarkEnd w:id="176"/>
      <w:bookmarkEnd w:id="177"/>
      <w:bookmarkEnd w:id="178"/>
      <w:bookmarkEnd w:id="179"/>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三</w:t>
      </w:r>
      <w:r>
        <w:rPr>
          <w:rFonts w:hint="eastAsia" w:ascii="方正楷体_GBK" w:hAnsi="楷体" w:eastAsia="方正楷体_GBK" w:cs="宋体"/>
          <w:b/>
          <w:color w:val="auto"/>
          <w:sz w:val="32"/>
          <w:szCs w:val="32"/>
          <w:highlight w:val="none"/>
        </w:rPr>
        <w:t>条</w:t>
      </w:r>
      <w:r>
        <w:rPr>
          <w:rFonts w:hint="eastAsia" w:ascii="方正楷体_GBK" w:hAnsi="宋体" w:eastAsia="方正楷体_GBK" w:cs="宋体"/>
          <w:color w:val="auto"/>
          <w:sz w:val="32"/>
          <w:szCs w:val="32"/>
          <w:highlight w:val="none"/>
        </w:rPr>
        <w:t xml:space="preserve">  </w:t>
      </w:r>
      <w:r>
        <w:rPr>
          <w:rFonts w:hint="eastAsia" w:ascii="方正仿宋_GBK" w:hAnsi="宋体" w:eastAsia="方正仿宋_GBK" w:cs="宋体"/>
          <w:color w:val="auto"/>
          <w:sz w:val="32"/>
          <w:szCs w:val="32"/>
          <w:highlight w:val="none"/>
        </w:rPr>
        <w:t>学生申请学费补偿或国家助学贷款代偿应遵循以下程序：</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一</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应征报名的学生登录</w:t>
      </w:r>
      <w:r>
        <w:rPr>
          <w:rFonts w:hint="eastAsia" w:ascii="方正仿宋_GBK" w:hAnsi="宋体" w:eastAsia="方正仿宋_GBK" w:cs="宋体"/>
          <w:color w:val="auto"/>
          <w:sz w:val="32"/>
          <w:szCs w:val="32"/>
          <w:highlight w:val="none"/>
          <w:lang w:val="en-US" w:eastAsia="zh-CN"/>
        </w:rPr>
        <w:t>全国征兵网</w:t>
      </w:r>
      <w:r>
        <w:rPr>
          <w:rFonts w:hint="eastAsia" w:ascii="方正仿宋_GBK" w:hAnsi="宋体" w:eastAsia="方正仿宋_GBK" w:cs="宋体"/>
          <w:color w:val="auto"/>
          <w:sz w:val="32"/>
          <w:szCs w:val="32"/>
          <w:highlight w:val="none"/>
        </w:rPr>
        <w:t>，按要求在线填写、打印《应征入伍服兵役高等学校学生国家教育资助申请表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以下简称《申请表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一式两份</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并提交至</w:t>
      </w:r>
      <w:r>
        <w:rPr>
          <w:rFonts w:hint="eastAsia" w:ascii="方正仿宋_GBK" w:hAnsi="宋体" w:eastAsia="方正仿宋_GBK" w:cs="宋体"/>
          <w:color w:val="auto"/>
          <w:sz w:val="32"/>
          <w:szCs w:val="32"/>
          <w:highlight w:val="none"/>
          <w:lang w:val="en-US" w:eastAsia="zh-CN"/>
        </w:rPr>
        <w:t>学生所在二级学院</w:t>
      </w:r>
      <w:r>
        <w:rPr>
          <w:rFonts w:hint="eastAsia" w:ascii="方正仿宋_GBK" w:hAnsi="宋体" w:eastAsia="方正仿宋_GBK" w:cs="宋体"/>
          <w:color w:val="auto"/>
          <w:sz w:val="32"/>
          <w:szCs w:val="32"/>
          <w:highlight w:val="none"/>
        </w:rPr>
        <w:t>。在校期间获得国家助学贷款的学生，需同时提供《国家助学贷款借款合同》复印件和本人签字的一次性偿还贷款计划书。</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二</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学校相关部门对《申请表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》中学生的资助资格、标准、金额等相关信息审核无误后，</w:t>
      </w:r>
      <w:r>
        <w:rPr>
          <w:rFonts w:hint="eastAsia" w:ascii="方正仿宋_GBK" w:hAnsi="宋体" w:eastAsia="方正仿宋_GBK" w:cs="宋体"/>
          <w:color w:val="auto"/>
          <w:sz w:val="32"/>
          <w:szCs w:val="32"/>
          <w:highlight w:val="none"/>
          <w:lang w:val="en-US" w:eastAsia="zh-CN"/>
        </w:rPr>
        <w:t>对</w:t>
      </w:r>
      <w:r>
        <w:rPr>
          <w:rFonts w:hint="eastAsia" w:ascii="方正仿宋_GBK" w:hAnsi="宋体" w:eastAsia="方正仿宋_GBK" w:cs="宋体"/>
          <w:color w:val="auto"/>
          <w:sz w:val="32"/>
          <w:szCs w:val="32"/>
          <w:highlight w:val="none"/>
        </w:rPr>
        <w:t>《申请表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》加盖公章，一份留存，一份返还学生。</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三</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学生在应征报名时将《申请表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》交至入伍所在地县级人民政府征兵办公室(以下简称县级征兵办)。学生被批准入伍后，县级征兵办对《申请表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》加盖公章并返还学生。</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四</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学生将加盖公章的《申请表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》原件和《入伍通知书》复印件交至对应二级学院，由二级学院初审后报学校学生工作处。</w:t>
      </w:r>
    </w:p>
    <w:p>
      <w:pPr>
        <w:widowControl/>
        <w:shd w:val="clear" w:color="auto" w:fill="FFFFFF"/>
        <w:spacing w:line="560" w:lineRule="exact"/>
        <w:ind w:firstLine="640" w:firstLineChars="200"/>
        <w:rPr>
          <w:rFonts w:ascii="方正仿宋_GBK" w:hAnsi="宋体" w:eastAsia="方正仿宋_GBK" w:cs="宋体"/>
          <w:b/>
          <w:bCs/>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五）</w:t>
      </w:r>
      <w:r>
        <w:rPr>
          <w:rFonts w:hint="eastAsia" w:ascii="方正仿宋_GBK" w:hAnsi="宋体" w:eastAsia="方正仿宋_GBK" w:cs="宋体"/>
          <w:color w:val="auto"/>
          <w:sz w:val="32"/>
          <w:szCs w:val="32"/>
          <w:highlight w:val="none"/>
        </w:rPr>
        <w:t>学校有关部门在收到学生的《申请表</w:t>
      </w:r>
      <w:r>
        <w:rPr>
          <w:rFonts w:hint="eastAsia" w:ascii="微软雅黑" w:hAnsi="微软雅黑" w:eastAsia="微软雅黑" w:cs="微软雅黑"/>
          <w:color w:val="auto"/>
          <w:sz w:val="32"/>
          <w:szCs w:val="32"/>
          <w:highlight w:val="none"/>
        </w:rPr>
        <w:t>Ⅰ</w:t>
      </w:r>
      <w:r>
        <w:rPr>
          <w:rFonts w:hint="eastAsia" w:ascii="方正仿宋_GBK" w:hAnsi="宋体" w:eastAsia="方正仿宋_GBK" w:cs="宋体"/>
          <w:color w:val="auto"/>
          <w:sz w:val="32"/>
          <w:szCs w:val="32"/>
          <w:highlight w:val="none"/>
        </w:rPr>
        <w:t>》和《入伍通知书》复印件后，对各项内容进行复核，符合条件的，按照规定时间向学生进行学费补偿或国家助学贷款代偿。</w:t>
      </w:r>
    </w:p>
    <w:p>
      <w:pPr>
        <w:widowControl/>
        <w:shd w:val="clear" w:color="auto" w:fill="FFFFFF"/>
        <w:spacing w:line="560" w:lineRule="exact"/>
        <w:ind w:firstLine="640" w:firstLineChars="20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对于在户籍所在县(市、区)办理了生源地信用助学贷款的学生,由高校根据学生签字的还款计划</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将代偿资金一次性汇至学生指定的地址或账户。</w:t>
      </w:r>
    </w:p>
    <w:p>
      <w:pPr>
        <w:widowControl/>
        <w:shd w:val="clear" w:color="auto" w:fill="FFFFFF"/>
        <w:spacing w:line="560" w:lineRule="exact"/>
        <w:ind w:firstLine="643" w:firstLineChars="200"/>
        <w:rPr>
          <w:rFonts w:hint="eastAsia"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四</w:t>
      </w:r>
      <w:r>
        <w:rPr>
          <w:rFonts w:hint="eastAsia" w:ascii="方正楷体_GBK" w:hAnsi="楷体" w:eastAsia="方正楷体_GBK" w:cs="宋体"/>
          <w:b/>
          <w:color w:val="auto"/>
          <w:sz w:val="32"/>
          <w:szCs w:val="32"/>
          <w:highlight w:val="none"/>
        </w:rPr>
        <w:t xml:space="preserve">条 </w:t>
      </w:r>
      <w:r>
        <w:rPr>
          <w:rFonts w:hint="eastAsia" w:ascii="方正楷体_GBK" w:hAnsi="宋体" w:eastAsia="方正楷体_GBK" w:cs="宋体"/>
          <w:color w:val="auto"/>
          <w:sz w:val="32"/>
          <w:szCs w:val="32"/>
          <w:highlight w:val="none"/>
        </w:rPr>
        <w:t xml:space="preserve"> </w:t>
      </w:r>
      <w:r>
        <w:rPr>
          <w:rFonts w:hint="eastAsia" w:ascii="方正仿宋_GBK" w:hAnsi="宋体" w:eastAsia="方正仿宋_GBK" w:cs="宋体"/>
          <w:color w:val="auto"/>
          <w:sz w:val="32"/>
          <w:szCs w:val="32"/>
          <w:highlight w:val="none"/>
        </w:rPr>
        <w:t>退役后自愿回校复学或入学的学生和退役后考入学校的入学新生，到学校报到后向二级学院一次性提出学费减免申请。填报《应征入伍服兵役高等学校学生国家教育资助申请表</w:t>
      </w:r>
      <w:r>
        <w:rPr>
          <w:rFonts w:hint="eastAsia" w:ascii="微软雅黑" w:hAnsi="微软雅黑" w:eastAsia="微软雅黑" w:cs="微软雅黑"/>
          <w:color w:val="auto"/>
          <w:sz w:val="32"/>
          <w:szCs w:val="32"/>
          <w:highlight w:val="none"/>
        </w:rPr>
        <w:t>Ⅱ</w:t>
      </w:r>
      <w:r>
        <w:rPr>
          <w:rFonts w:hint="eastAsia" w:ascii="方正仿宋_GBK" w:hAnsi="宋体" w:eastAsia="方正仿宋_GBK" w:cs="宋体"/>
          <w:color w:val="auto"/>
          <w:sz w:val="32"/>
          <w:szCs w:val="32"/>
          <w:highlight w:val="none"/>
        </w:rPr>
        <w:t>》并提交退役证书复印件。学校有关部门在收到申请材料后，及时对学生申请资格进行审核认定。符合条件的，及时办理学费减免手续</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逐年减免学费</w:t>
      </w:r>
      <w:r>
        <w:rPr>
          <w:rFonts w:hint="eastAsia" w:ascii="方正仿宋_GBK" w:hAnsi="宋体" w:eastAsia="方正仿宋_GBK" w:cs="宋体"/>
          <w:color w:val="auto"/>
          <w:sz w:val="32"/>
          <w:szCs w:val="32"/>
          <w:highlight w:val="none"/>
        </w:rPr>
        <w:t>。</w:t>
      </w:r>
    </w:p>
    <w:p>
      <w:pPr>
        <w:widowControl/>
        <w:shd w:val="clear" w:color="auto" w:fill="FFFFFF"/>
        <w:spacing w:line="560" w:lineRule="exact"/>
        <w:ind w:firstLine="643" w:firstLineChars="200"/>
        <w:rPr>
          <w:rFonts w:hint="eastAsia" w:ascii="方正仿宋_GBK" w:hAnsi="宋体" w:eastAsia="方正仿宋_GBK" w:cs="宋体"/>
          <w:color w:val="auto"/>
          <w:sz w:val="32"/>
          <w:szCs w:val="32"/>
          <w:highlight w:val="none"/>
          <w:lang w:val="en-US" w:eastAsia="zh-CN"/>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五</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退役后自愿回校复学或入学的学生和退役后考入学校的入学新生，到学校报到后向二级学院一次性提出</w:t>
      </w:r>
      <w:r>
        <w:rPr>
          <w:rFonts w:hint="eastAsia" w:ascii="方正仿宋_GBK" w:hAnsi="宋体" w:eastAsia="方正仿宋_GBK" w:cs="宋体"/>
          <w:color w:val="auto"/>
          <w:sz w:val="32"/>
          <w:szCs w:val="32"/>
          <w:highlight w:val="none"/>
          <w:lang w:val="en-US" w:eastAsia="zh-CN"/>
        </w:rPr>
        <w:t>退役士兵国家助学金</w:t>
      </w:r>
      <w:r>
        <w:rPr>
          <w:rFonts w:hint="eastAsia" w:ascii="方正仿宋_GBK" w:hAnsi="宋体" w:eastAsia="方正仿宋_GBK" w:cs="宋体"/>
          <w:color w:val="auto"/>
          <w:sz w:val="32"/>
          <w:szCs w:val="32"/>
          <w:highlight w:val="none"/>
        </w:rPr>
        <w:t>申请。提交退役证书复印件</w:t>
      </w:r>
      <w:r>
        <w:rPr>
          <w:rFonts w:hint="eastAsia" w:ascii="方正仿宋_GBK" w:hAnsi="宋体" w:eastAsia="方正仿宋_GBK" w:cs="宋体"/>
          <w:color w:val="auto"/>
          <w:sz w:val="32"/>
          <w:szCs w:val="32"/>
          <w:highlight w:val="none"/>
          <w:lang w:val="en-US" w:eastAsia="zh-CN"/>
        </w:rPr>
        <w:t>及相关材料</w:t>
      </w:r>
      <w:r>
        <w:rPr>
          <w:rFonts w:hint="eastAsia" w:ascii="方正仿宋_GBK" w:hAnsi="宋体" w:eastAsia="方正仿宋_GBK" w:cs="宋体"/>
          <w:color w:val="auto"/>
          <w:sz w:val="32"/>
          <w:szCs w:val="32"/>
          <w:highlight w:val="none"/>
        </w:rPr>
        <w:t>。学校有关部门在收到申请材料后，及时对学生申请资格进行审核认定。符合条件的，</w:t>
      </w:r>
      <w:r>
        <w:rPr>
          <w:rFonts w:hint="eastAsia" w:ascii="方正仿宋_GBK" w:hAnsi="宋体" w:eastAsia="方正仿宋_GBK" w:cs="宋体"/>
          <w:color w:val="auto"/>
          <w:sz w:val="32"/>
          <w:szCs w:val="32"/>
          <w:highlight w:val="none"/>
          <w:lang w:val="en-US" w:eastAsia="zh-CN"/>
        </w:rPr>
        <w:t>参照《云南城市建设职业学院国家助学金评审实施办法（修订）》中的申请和评定工作程序</w:t>
      </w:r>
      <w:r>
        <w:rPr>
          <w:rFonts w:hint="eastAsia" w:ascii="方正仿宋_GBK" w:hAnsi="宋体" w:eastAsia="方正仿宋_GBK" w:cs="宋体"/>
          <w:color w:val="auto"/>
          <w:sz w:val="32"/>
          <w:szCs w:val="32"/>
          <w:highlight w:val="none"/>
        </w:rPr>
        <w:t>办理</w:t>
      </w:r>
      <w:r>
        <w:rPr>
          <w:rFonts w:hint="eastAsia" w:ascii="方正仿宋_GBK" w:hAnsi="宋体" w:eastAsia="方正仿宋_GBK" w:cs="宋体"/>
          <w:color w:val="auto"/>
          <w:sz w:val="32"/>
          <w:szCs w:val="32"/>
          <w:highlight w:val="none"/>
          <w:lang w:val="en-US" w:eastAsia="zh-CN"/>
        </w:rPr>
        <w:t>退役士兵国家助学金</w:t>
      </w:r>
      <w:r>
        <w:rPr>
          <w:rFonts w:hint="eastAsia" w:ascii="方正仿宋_GBK" w:hAnsi="宋体" w:eastAsia="方正仿宋_GBK" w:cs="宋体"/>
          <w:color w:val="auto"/>
          <w:sz w:val="32"/>
          <w:szCs w:val="32"/>
          <w:highlight w:val="none"/>
        </w:rPr>
        <w:t>。</w:t>
      </w:r>
      <w:r>
        <w:rPr>
          <w:rFonts w:hint="eastAsia" w:ascii="方正仿宋_GBK" w:hAnsi="宋体" w:eastAsia="方正仿宋_GBK" w:cs="宋体"/>
          <w:color w:val="auto"/>
          <w:sz w:val="32"/>
          <w:szCs w:val="32"/>
          <w:highlight w:val="none"/>
          <w:lang w:val="en-US" w:eastAsia="zh-CN"/>
        </w:rPr>
        <w:t xml:space="preserve">   </w:t>
      </w: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六</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 xml:space="preserve"> 入伍资助资金不足以偿还国家助学贷款的学生，应与经办银行重新签订还款计划，偿还剩余部分国家助学贷款。</w:t>
      </w:r>
    </w:p>
    <w:p>
      <w:pPr>
        <w:widowControl/>
        <w:shd w:val="clear" w:color="auto" w:fill="FFFFFF"/>
        <w:spacing w:line="560" w:lineRule="exact"/>
        <w:ind w:firstLine="643" w:firstLineChars="200"/>
        <w:rPr>
          <w:rFonts w:hint="default" w:ascii="方正仿宋_GBK" w:hAnsi="宋体" w:eastAsia="方正楷体_GBK" w:cs="宋体"/>
          <w:color w:val="auto"/>
          <w:sz w:val="32"/>
          <w:szCs w:val="32"/>
          <w:highlight w:val="none"/>
          <w:lang w:val="en-US" w:eastAsia="zh-CN"/>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七</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应征入伍服兵役的往届毕业生，申请国家助学贷款代偿的，应由学生本人继续按原还款协议自行偿还贷款，学生本人凭贷款合同和已偿还的贷款本息银行凭证向学校申请代偿资金。</w:t>
      </w:r>
      <w:r>
        <w:rPr>
          <w:rFonts w:hint="eastAsia" w:ascii="方正楷体_GBK" w:hAnsi="楷体" w:eastAsia="方正楷体_GBK" w:cs="宋体"/>
          <w:b/>
          <w:color w:val="auto"/>
          <w:sz w:val="32"/>
          <w:szCs w:val="32"/>
          <w:highlight w:val="none"/>
          <w:lang w:val="en-US" w:eastAsia="zh-CN"/>
        </w:rPr>
        <w:t xml:space="preserve">  </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180" w:name="_Toc16899_WPSOffice_Level1"/>
      <w:bookmarkStart w:id="181" w:name="_Toc27129"/>
      <w:bookmarkStart w:id="182" w:name="_Toc15379221"/>
      <w:bookmarkStart w:id="183" w:name="_Toc15209"/>
      <w:r>
        <w:rPr>
          <w:rFonts w:hint="eastAsia" w:ascii="方正黑体_GBK" w:hAnsi="方正黑体_GBK" w:eastAsia="方正黑体_GBK" w:cs="方正黑体_GBK"/>
          <w:b/>
          <w:bCs w:val="0"/>
          <w:color w:val="auto"/>
          <w:highlight w:val="none"/>
        </w:rPr>
        <w:t>第四章  管理与监督</w:t>
      </w:r>
      <w:bookmarkEnd w:id="180"/>
      <w:bookmarkEnd w:id="181"/>
      <w:bookmarkEnd w:id="182"/>
      <w:bookmarkEnd w:id="183"/>
    </w:p>
    <w:p>
      <w:pPr>
        <w:widowControl/>
        <w:shd w:val="clear" w:color="auto" w:fill="FFFFFF"/>
        <w:spacing w:line="560" w:lineRule="exact"/>
        <w:rPr>
          <w:rFonts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 xml:space="preserve">    </w:t>
      </w:r>
    </w:p>
    <w:p>
      <w:pPr>
        <w:widowControl/>
        <w:shd w:val="clear" w:color="auto" w:fill="FFFFFF"/>
        <w:spacing w:line="560" w:lineRule="exact"/>
        <w:rPr>
          <w:rFonts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 xml:space="preserve">    </w:t>
      </w: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八</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服兵役学生国家教育资助工作由学校学生工作处负责指导、监督、复核并按要求对符合条件学生办理补偿代偿和学费减免。二级学院应当严格按照规定要求，做好宣传及教育工作，并对服兵役资助学生的申请进行初审</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做好资助材料留档保存工作</w:t>
      </w:r>
      <w:r>
        <w:rPr>
          <w:rFonts w:hint="eastAsia" w:ascii="方正仿宋_GBK" w:hAnsi="方正仿宋_GBK" w:eastAsia="方正仿宋_GBK" w:cs="方正仿宋_GBK"/>
          <w:color w:val="auto"/>
          <w:sz w:val="32"/>
          <w:szCs w:val="32"/>
          <w:highlight w:val="none"/>
        </w:rPr>
        <w:t>。</w:t>
      </w:r>
    </w:p>
    <w:p>
      <w:pPr>
        <w:widowControl/>
        <w:shd w:val="clear" w:color="auto" w:fill="FFFFFF"/>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楷体" w:eastAsia="方正楷体_GBK" w:cs="宋体"/>
          <w:b/>
          <w:color w:val="auto"/>
          <w:sz w:val="32"/>
          <w:szCs w:val="32"/>
          <w:highlight w:val="none"/>
        </w:rPr>
        <w:t>第十</w:t>
      </w:r>
      <w:r>
        <w:rPr>
          <w:rFonts w:hint="eastAsia" w:ascii="方正楷体_GBK" w:hAnsi="楷体" w:eastAsia="方正楷体_GBK" w:cs="宋体"/>
          <w:b/>
          <w:color w:val="auto"/>
          <w:sz w:val="32"/>
          <w:szCs w:val="32"/>
          <w:highlight w:val="none"/>
          <w:lang w:val="en-US" w:eastAsia="zh-CN"/>
        </w:rPr>
        <w:t>九</w:t>
      </w:r>
      <w:r>
        <w:rPr>
          <w:rFonts w:hint="eastAsia" w:ascii="方正楷体_GBK" w:hAnsi="楷体" w:eastAsia="方正楷体_GBK" w:cs="宋体"/>
          <w:b/>
          <w:color w:val="auto"/>
          <w:sz w:val="32"/>
          <w:szCs w:val="32"/>
          <w:highlight w:val="none"/>
        </w:rPr>
        <w:t>条</w:t>
      </w:r>
      <w:r>
        <w:rPr>
          <w:rFonts w:hint="eastAsia" w:ascii="方正仿宋_GBK" w:hAnsi="方正仿宋_GBK" w:eastAsia="方正仿宋_GBK" w:cs="方正仿宋_GBK"/>
          <w:color w:val="auto"/>
          <w:sz w:val="32"/>
          <w:szCs w:val="32"/>
          <w:highlight w:val="none"/>
        </w:rPr>
        <w:t xml:space="preserve">  学生工作处</w:t>
      </w:r>
      <w:r>
        <w:rPr>
          <w:rFonts w:hint="eastAsia" w:ascii="方正仿宋_GBK" w:hAnsi="方正仿宋_GBK" w:eastAsia="方正仿宋_GBK" w:cs="方正仿宋_GBK"/>
          <w:color w:val="auto"/>
          <w:sz w:val="32"/>
          <w:szCs w:val="32"/>
          <w:highlight w:val="none"/>
          <w:lang w:val="en-US" w:eastAsia="zh-CN"/>
        </w:rPr>
        <w:t>协同财务等部门，</w:t>
      </w:r>
      <w:r>
        <w:rPr>
          <w:rFonts w:hint="eastAsia" w:ascii="方正仿宋_GBK" w:hAnsi="方正仿宋_GBK" w:eastAsia="方正仿宋_GBK" w:cs="方正仿宋_GBK"/>
          <w:color w:val="auto"/>
          <w:sz w:val="32"/>
          <w:szCs w:val="32"/>
          <w:highlight w:val="none"/>
        </w:rPr>
        <w:t>根据上级部门的要求于每年10月31日前将本年度服兵役资助经费使用等情况上报省学生资助管理部门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并录入全国学生资助管理信息系统</w:t>
      </w:r>
      <w:r>
        <w:rPr>
          <w:rFonts w:hint="eastAsia" w:ascii="方正仿宋_GBK" w:hAnsi="方正仿宋_GBK" w:eastAsia="方正仿宋_GBK" w:cs="方正仿宋_GBK"/>
          <w:color w:val="auto"/>
          <w:sz w:val="32"/>
          <w:szCs w:val="32"/>
          <w:highlight w:val="none"/>
        </w:rPr>
        <w:t>。</w:t>
      </w: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二十</w:t>
      </w:r>
      <w:r>
        <w:rPr>
          <w:rFonts w:hint="eastAsia" w:ascii="方正楷体_GBK" w:hAnsi="楷体" w:eastAsia="方正楷体_GBK" w:cs="宋体"/>
          <w:b/>
          <w:color w:val="auto"/>
          <w:sz w:val="32"/>
          <w:szCs w:val="32"/>
          <w:highlight w:val="none"/>
        </w:rPr>
        <w:t>条</w:t>
      </w:r>
      <w:r>
        <w:rPr>
          <w:rFonts w:hint="eastAsia" w:ascii="方正仿宋_GBK" w:hAnsi="宋体" w:eastAsia="方正仿宋_GBK" w:cs="宋体"/>
          <w:color w:val="auto"/>
          <w:sz w:val="32"/>
          <w:szCs w:val="32"/>
          <w:highlight w:val="none"/>
        </w:rPr>
        <w:t xml:space="preserve">  因故意隐瞒病史或弄虚作假、违法犯罪等行为造成退兵的学生，以及拒服兵役被部队除名的学生，学校取消其受助资格。</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其他非正常退役学生的资助资格认定，由上级兵役机关会同省级教育部门确定。</w:t>
      </w: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w:t>
      </w:r>
      <w:r>
        <w:rPr>
          <w:rFonts w:hint="eastAsia" w:ascii="方正楷体_GBK" w:hAnsi="楷体" w:eastAsia="方正楷体_GBK" w:cs="宋体"/>
          <w:b/>
          <w:color w:val="auto"/>
          <w:sz w:val="32"/>
          <w:szCs w:val="32"/>
          <w:highlight w:val="none"/>
          <w:lang w:val="en-US" w:eastAsia="zh-CN"/>
        </w:rPr>
        <w:t>二十一</w:t>
      </w:r>
      <w:r>
        <w:rPr>
          <w:rFonts w:hint="eastAsia" w:ascii="方正楷体_GBK" w:hAnsi="楷体" w:eastAsia="方正楷体_GBK" w:cs="宋体"/>
          <w:b/>
          <w:color w:val="auto"/>
          <w:sz w:val="32"/>
          <w:szCs w:val="32"/>
          <w:highlight w:val="none"/>
        </w:rPr>
        <w:t xml:space="preserve">条 </w:t>
      </w:r>
      <w:r>
        <w:rPr>
          <w:rFonts w:hint="eastAsia" w:ascii="方正仿宋_GBK" w:hAnsi="宋体" w:eastAsia="方正仿宋_GBK" w:cs="宋体"/>
          <w:color w:val="auto"/>
          <w:sz w:val="32"/>
          <w:szCs w:val="32"/>
          <w:highlight w:val="none"/>
        </w:rPr>
        <w:t xml:space="preserve"> 被部队退回或除名并被取消资助资格的学生，如学生返回其原户籍所在地，已补偿的学费或代偿的国家助学贷款资金由学生户籍所在地县级教育部门会同同级人民政府征兵办公室收回。</w:t>
      </w:r>
    </w:p>
    <w:p>
      <w:pPr>
        <w:widowControl/>
        <w:shd w:val="clear" w:color="auto" w:fill="FFFFFF"/>
        <w:spacing w:line="560" w:lineRule="exact"/>
        <w:ind w:firstLine="640" w:firstLineChars="200"/>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如学生返回其原就读高校，已补偿的学费或代偿的国家助学贷款资金由学</w:t>
      </w:r>
      <w:r>
        <w:rPr>
          <w:rFonts w:hint="eastAsia" w:ascii="方正仿宋_GBK" w:hAnsi="宋体" w:eastAsia="方正仿宋_GBK" w:cs="宋体"/>
          <w:color w:val="auto"/>
          <w:sz w:val="32"/>
          <w:szCs w:val="32"/>
          <w:highlight w:val="none"/>
          <w:lang w:val="en-US" w:eastAsia="zh-CN"/>
        </w:rPr>
        <w:t>校</w:t>
      </w:r>
      <w:r>
        <w:rPr>
          <w:rFonts w:hint="eastAsia" w:ascii="方正仿宋_GBK" w:hAnsi="宋体" w:eastAsia="方正仿宋_GBK" w:cs="宋体"/>
          <w:color w:val="auto"/>
          <w:sz w:val="32"/>
          <w:szCs w:val="32"/>
          <w:highlight w:val="none"/>
        </w:rPr>
        <w:t>会同退役安置地</w:t>
      </w:r>
      <w:r>
        <w:rPr>
          <w:rFonts w:hint="eastAsia" w:ascii="方正仿宋_GBK" w:hAnsi="宋体" w:eastAsia="方正仿宋_GBK" w:cs="宋体"/>
          <w:color w:val="auto"/>
          <w:sz w:val="32"/>
          <w:szCs w:val="32"/>
          <w:highlight w:val="none"/>
          <w:lang w:val="en-US" w:eastAsia="zh-CN"/>
        </w:rPr>
        <w:t>县级征兵办</w:t>
      </w:r>
      <w:r>
        <w:rPr>
          <w:rFonts w:hint="eastAsia" w:ascii="方正仿宋_GBK" w:hAnsi="宋体" w:eastAsia="方正仿宋_GBK" w:cs="宋体"/>
          <w:color w:val="auto"/>
          <w:sz w:val="32"/>
          <w:szCs w:val="32"/>
          <w:highlight w:val="none"/>
        </w:rPr>
        <w:t>收回。</w:t>
      </w:r>
    </w:p>
    <w:p>
      <w:pPr>
        <w:widowControl/>
        <w:shd w:val="clear" w:color="auto" w:fill="FFFFFF"/>
        <w:spacing w:line="560" w:lineRule="exact"/>
        <w:ind w:firstLine="643" w:firstLineChars="200"/>
        <w:rPr>
          <w:rFonts w:hint="eastAsia"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第二十</w:t>
      </w:r>
      <w:r>
        <w:rPr>
          <w:rFonts w:hint="eastAsia" w:ascii="方正楷体_GBK" w:hAnsi="楷体" w:eastAsia="方正楷体_GBK" w:cs="宋体"/>
          <w:b/>
          <w:color w:val="auto"/>
          <w:sz w:val="32"/>
          <w:szCs w:val="32"/>
          <w:highlight w:val="none"/>
          <w:lang w:val="en-US" w:eastAsia="zh-CN"/>
        </w:rPr>
        <w:t>二</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因部队编制员额缩减、国家建设需要、因战因公负伤致残、因病不适宜在部队继续服役、家庭发生重大变故需要退出现役等原因，经组织批准提前退役的学生，仍具备受助资格。</w:t>
      </w:r>
    </w:p>
    <w:p>
      <w:pPr>
        <w:widowControl/>
        <w:shd w:val="clear" w:color="auto" w:fill="FFFFFF"/>
        <w:spacing w:line="560" w:lineRule="exact"/>
        <w:ind w:firstLine="643" w:firstLineChars="200"/>
        <w:rPr>
          <w:rFonts w:hint="eastAsia" w:ascii="方正仿宋_GBK" w:hAnsi="宋体" w:eastAsia="方正仿宋_GBK" w:cs="宋体"/>
          <w:color w:val="auto"/>
          <w:sz w:val="32"/>
          <w:szCs w:val="32"/>
          <w:highlight w:val="none"/>
          <w:lang w:val="en-US" w:eastAsia="zh-CN"/>
        </w:rPr>
      </w:pPr>
      <w:r>
        <w:rPr>
          <w:rFonts w:hint="eastAsia" w:ascii="方正楷体_GBK" w:hAnsi="楷体" w:eastAsia="方正楷体_GBK" w:cs="宋体"/>
          <w:b/>
          <w:color w:val="auto"/>
          <w:sz w:val="32"/>
          <w:szCs w:val="32"/>
          <w:highlight w:val="none"/>
        </w:rPr>
        <w:t>第二十</w:t>
      </w:r>
      <w:r>
        <w:rPr>
          <w:rFonts w:hint="eastAsia" w:ascii="方正楷体_GBK" w:hAnsi="楷体" w:eastAsia="方正楷体_GBK" w:cs="宋体"/>
          <w:b/>
          <w:color w:val="auto"/>
          <w:sz w:val="32"/>
          <w:szCs w:val="32"/>
          <w:highlight w:val="none"/>
          <w:lang w:val="en-US" w:eastAsia="zh-CN"/>
        </w:rPr>
        <w:t>三</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lang w:val="en-US" w:eastAsia="zh-CN"/>
        </w:rPr>
        <w:t>各二级学院要严格按照规定对</w:t>
      </w:r>
      <w:r>
        <w:rPr>
          <w:rFonts w:hint="eastAsia" w:ascii="方正仿宋_GBK" w:hAnsi="方正仿宋_GBK" w:eastAsia="方正仿宋_GBK" w:cs="方正仿宋_GBK"/>
          <w:color w:val="auto"/>
          <w:sz w:val="32"/>
          <w:szCs w:val="32"/>
          <w:highlight w:val="none"/>
        </w:rPr>
        <w:t>服兵役资助</w:t>
      </w:r>
      <w:r>
        <w:rPr>
          <w:rFonts w:hint="eastAsia" w:ascii="方正仿宋_GBK" w:hAnsi="方正仿宋_GBK" w:eastAsia="方正仿宋_GBK" w:cs="方正仿宋_GBK"/>
          <w:color w:val="auto"/>
          <w:sz w:val="32"/>
          <w:szCs w:val="32"/>
          <w:highlight w:val="none"/>
          <w:lang w:val="en-US" w:eastAsia="zh-CN"/>
        </w:rPr>
        <w:t>学生的申请进行认真审核，及时办理</w:t>
      </w:r>
      <w:r>
        <w:rPr>
          <w:rFonts w:hint="eastAsia" w:ascii="方正仿宋_GBK" w:hAnsi="方正仿宋_GBK" w:eastAsia="方正仿宋_GBK" w:cs="方正仿宋_GBK"/>
          <w:color w:val="auto"/>
          <w:sz w:val="32"/>
          <w:szCs w:val="32"/>
          <w:highlight w:val="none"/>
        </w:rPr>
        <w:t>服兵役</w:t>
      </w:r>
      <w:r>
        <w:rPr>
          <w:rFonts w:hint="eastAsia" w:ascii="方正仿宋_GBK" w:hAnsi="方正仿宋_GBK" w:eastAsia="方正仿宋_GBK" w:cs="方正仿宋_GBK"/>
          <w:color w:val="auto"/>
          <w:sz w:val="32"/>
          <w:szCs w:val="32"/>
          <w:highlight w:val="none"/>
          <w:lang w:val="en-US" w:eastAsia="zh-CN"/>
        </w:rPr>
        <w:t>国家教育</w:t>
      </w:r>
      <w:r>
        <w:rPr>
          <w:rFonts w:hint="eastAsia" w:ascii="方正仿宋_GBK" w:hAnsi="方正仿宋_GBK" w:eastAsia="方正仿宋_GBK" w:cs="方正仿宋_GBK"/>
          <w:color w:val="auto"/>
          <w:sz w:val="32"/>
          <w:szCs w:val="32"/>
          <w:highlight w:val="none"/>
        </w:rPr>
        <w:t>资助</w:t>
      </w:r>
      <w:r>
        <w:rPr>
          <w:rFonts w:hint="eastAsia" w:ascii="方正仿宋_GBK" w:hAnsi="方正仿宋_GBK" w:eastAsia="方正仿宋_GBK" w:cs="方正仿宋_GBK"/>
          <w:color w:val="auto"/>
          <w:sz w:val="32"/>
          <w:szCs w:val="32"/>
          <w:highlight w:val="none"/>
          <w:lang w:eastAsia="zh-CN"/>
        </w:rPr>
        <w:t>。</w:t>
      </w:r>
    </w:p>
    <w:p>
      <w:pPr>
        <w:widowControl/>
        <w:shd w:val="clear" w:color="auto" w:fill="FFFFFF"/>
        <w:spacing w:line="560" w:lineRule="exact"/>
        <w:ind w:firstLine="640" w:firstLineChars="20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 xml:space="preserve">  </w:t>
      </w:r>
    </w:p>
    <w:p>
      <w:pPr>
        <w:pStyle w:val="3"/>
        <w:spacing w:line="560" w:lineRule="exact"/>
        <w:rPr>
          <w:rFonts w:ascii="方正黑体_GBK" w:hAnsi="方正黑体_GBK" w:eastAsia="方正黑体_GBK" w:cs="方正黑体_GBK"/>
          <w:b/>
          <w:bCs w:val="0"/>
          <w:color w:val="auto"/>
          <w:highlight w:val="none"/>
        </w:rPr>
      </w:pPr>
      <w:bookmarkStart w:id="184" w:name="_Toc32706"/>
      <w:bookmarkStart w:id="185" w:name="_Toc575_WPSOffice_Level1"/>
      <w:bookmarkStart w:id="186" w:name="_Toc20462"/>
      <w:bookmarkStart w:id="187" w:name="_Toc15379222"/>
      <w:r>
        <w:rPr>
          <w:rFonts w:hint="eastAsia" w:ascii="方正黑体_GBK" w:hAnsi="方正黑体_GBK" w:eastAsia="方正黑体_GBK" w:cs="方正黑体_GBK"/>
          <w:b/>
          <w:bCs w:val="0"/>
          <w:color w:val="auto"/>
          <w:highlight w:val="none"/>
        </w:rPr>
        <w:t>第五章  附则</w:t>
      </w:r>
      <w:bookmarkEnd w:id="184"/>
      <w:bookmarkEnd w:id="185"/>
      <w:bookmarkEnd w:id="186"/>
      <w:bookmarkEnd w:id="187"/>
    </w:p>
    <w:p>
      <w:pPr>
        <w:pStyle w:val="35"/>
        <w:widowControl/>
        <w:shd w:val="clear" w:color="auto" w:fill="FFFFFF"/>
        <w:spacing w:line="560" w:lineRule="exact"/>
        <w:ind w:left="1320" w:firstLine="0" w:firstLineChars="0"/>
        <w:rPr>
          <w:rFonts w:ascii="方正仿宋_GBK" w:hAnsi="宋体" w:eastAsia="方正仿宋_GBK" w:cs="宋体"/>
          <w:color w:val="auto"/>
          <w:sz w:val="32"/>
          <w:szCs w:val="32"/>
          <w:highlight w:val="none"/>
        </w:rPr>
      </w:pP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第二十</w:t>
      </w:r>
      <w:r>
        <w:rPr>
          <w:rFonts w:hint="eastAsia" w:ascii="方正楷体_GBK" w:hAnsi="楷体" w:eastAsia="方正楷体_GBK" w:cs="宋体"/>
          <w:b/>
          <w:color w:val="auto"/>
          <w:sz w:val="32"/>
          <w:szCs w:val="32"/>
          <w:highlight w:val="none"/>
          <w:lang w:val="en-US" w:eastAsia="zh-CN"/>
        </w:rPr>
        <w:t>四</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本办法由学生工作处负责解释。</w:t>
      </w:r>
    </w:p>
    <w:p>
      <w:pPr>
        <w:widowControl/>
        <w:shd w:val="clear" w:color="auto" w:fill="FFFFFF"/>
        <w:spacing w:line="560" w:lineRule="exact"/>
        <w:ind w:firstLine="643" w:firstLineChars="200"/>
        <w:rPr>
          <w:rFonts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第二十</w:t>
      </w:r>
      <w:r>
        <w:rPr>
          <w:rFonts w:hint="eastAsia" w:ascii="方正楷体_GBK" w:hAnsi="楷体" w:eastAsia="方正楷体_GBK" w:cs="宋体"/>
          <w:b/>
          <w:color w:val="auto"/>
          <w:sz w:val="32"/>
          <w:szCs w:val="32"/>
          <w:highlight w:val="none"/>
          <w:lang w:val="en-US" w:eastAsia="zh-CN"/>
        </w:rPr>
        <w:t>五</w:t>
      </w:r>
      <w:r>
        <w:rPr>
          <w:rFonts w:hint="eastAsia" w:ascii="方正楷体_GBK" w:hAnsi="楷体" w:eastAsia="方正楷体_GBK" w:cs="宋体"/>
          <w:b/>
          <w:color w:val="auto"/>
          <w:sz w:val="32"/>
          <w:szCs w:val="32"/>
          <w:highlight w:val="none"/>
        </w:rPr>
        <w:t>条</w:t>
      </w:r>
      <w:r>
        <w:rPr>
          <w:rFonts w:hint="eastAsia" w:ascii="方正楷体_GBK" w:hAnsi="楷体" w:eastAsia="方正楷体_GBK" w:cs="宋体"/>
          <w:b/>
          <w:color w:val="auto"/>
          <w:sz w:val="32"/>
          <w:szCs w:val="32"/>
          <w:highlight w:val="none"/>
          <w:lang w:val="en-US" w:eastAsia="zh-CN"/>
        </w:rPr>
        <w:t xml:space="preserve">  </w:t>
      </w:r>
      <w:r>
        <w:rPr>
          <w:rFonts w:hint="eastAsia" w:ascii="方正仿宋_GBK" w:hAnsi="宋体" w:eastAsia="方正仿宋_GBK" w:cs="宋体"/>
          <w:color w:val="auto"/>
          <w:sz w:val="32"/>
          <w:szCs w:val="32"/>
          <w:highlight w:val="none"/>
        </w:rPr>
        <w:t>本办法自202</w:t>
      </w:r>
      <w:r>
        <w:rPr>
          <w:rFonts w:hint="eastAsia" w:ascii="方正仿宋_GBK" w:hAnsi="宋体" w:eastAsia="方正仿宋_GBK" w:cs="宋体"/>
          <w:color w:val="auto"/>
          <w:sz w:val="32"/>
          <w:szCs w:val="32"/>
          <w:highlight w:val="none"/>
          <w:lang w:val="en-US" w:eastAsia="zh-CN"/>
        </w:rPr>
        <w:t>2</w:t>
      </w:r>
      <w:r>
        <w:rPr>
          <w:rFonts w:hint="eastAsia" w:ascii="方正仿宋_GBK" w:hAnsi="宋体" w:eastAsia="方正仿宋_GBK" w:cs="宋体"/>
          <w:color w:val="auto"/>
          <w:sz w:val="32"/>
          <w:szCs w:val="32"/>
          <w:highlight w:val="none"/>
        </w:rPr>
        <w:t>年9月1日起</w:t>
      </w:r>
      <w:r>
        <w:rPr>
          <w:rFonts w:hint="eastAsia" w:ascii="方正仿宋_GBK" w:hAnsi="宋体" w:eastAsia="方正仿宋_GBK" w:cs="宋体"/>
          <w:color w:val="auto"/>
          <w:sz w:val="32"/>
          <w:szCs w:val="32"/>
          <w:highlight w:val="none"/>
          <w:lang w:val="en-US" w:eastAsia="zh-CN"/>
        </w:rPr>
        <w:t>实施</w:t>
      </w:r>
      <w:r>
        <w:rPr>
          <w:rFonts w:hint="eastAsia" w:ascii="方正仿宋_GBK" w:hAnsi="宋体" w:eastAsia="方正仿宋_GBK" w:cs="宋体"/>
          <w:color w:val="auto"/>
          <w:sz w:val="32"/>
          <w:szCs w:val="32"/>
          <w:highlight w:val="none"/>
        </w:rPr>
        <w:t>。</w:t>
      </w:r>
    </w:p>
    <w:p>
      <w:pPr>
        <w:widowControl/>
        <w:spacing w:line="560" w:lineRule="exact"/>
        <w:jc w:val="center"/>
        <w:outlineLvl w:val="0"/>
        <w:rPr>
          <w:rFonts w:hint="eastAsia" w:ascii="方正小标宋_GBK" w:hAnsi="方正小标宋_GBK" w:eastAsia="方正小标宋_GBK" w:cs="方正小标宋_GBK"/>
          <w:b/>
          <w:bCs/>
          <w:color w:val="auto"/>
          <w:sz w:val="32"/>
          <w:szCs w:val="32"/>
          <w:highlight w:val="none"/>
        </w:rPr>
      </w:pPr>
    </w:p>
    <w:p>
      <w:pPr>
        <w:widowControl/>
        <w:spacing w:line="560" w:lineRule="exact"/>
        <w:jc w:val="center"/>
        <w:outlineLvl w:val="0"/>
        <w:rPr>
          <w:rFonts w:hint="eastAsia" w:ascii="方正小标宋_GBK" w:hAnsi="方正小标宋_GBK" w:eastAsia="方正小标宋_GBK" w:cs="方正小标宋_GBK"/>
          <w:b/>
          <w:bCs/>
          <w:color w:val="auto"/>
          <w:sz w:val="36"/>
          <w:szCs w:val="36"/>
          <w:highlight w:val="none"/>
        </w:rPr>
      </w:pPr>
      <w:bookmarkStart w:id="188" w:name="_Toc8575"/>
      <w:r>
        <w:rPr>
          <w:rFonts w:hint="eastAsia" w:ascii="方正小标宋_GBK" w:hAnsi="方正小标宋_GBK" w:eastAsia="方正小标宋_GBK" w:cs="方正小标宋_GBK"/>
          <w:b/>
          <w:bCs/>
          <w:color w:val="auto"/>
          <w:sz w:val="36"/>
          <w:szCs w:val="36"/>
          <w:highlight w:val="none"/>
        </w:rPr>
        <w:t>云南城市建设职业学院大学生医疗保险</w:t>
      </w:r>
      <w:r>
        <w:rPr>
          <w:rFonts w:hint="eastAsia" w:ascii="方正小标宋_GBK" w:hAnsi="方正小标宋_GBK" w:eastAsia="方正小标宋_GBK" w:cs="方正小标宋_GBK"/>
          <w:b/>
          <w:bCs/>
          <w:color w:val="auto"/>
          <w:sz w:val="36"/>
          <w:szCs w:val="36"/>
          <w:highlight w:val="none"/>
          <w:lang w:val="en-US" w:eastAsia="zh-CN"/>
        </w:rPr>
        <w:t>管理</w:t>
      </w:r>
      <w:r>
        <w:rPr>
          <w:rFonts w:hint="eastAsia" w:ascii="方正小标宋_GBK" w:hAnsi="方正小标宋_GBK" w:eastAsia="方正小标宋_GBK" w:cs="方正小标宋_GBK"/>
          <w:b/>
          <w:bCs/>
          <w:color w:val="auto"/>
          <w:sz w:val="36"/>
          <w:szCs w:val="36"/>
          <w:highlight w:val="none"/>
        </w:rPr>
        <w:t>办法</w:t>
      </w:r>
      <w:bookmarkEnd w:id="188"/>
    </w:p>
    <w:p>
      <w:pPr>
        <w:widowControl/>
        <w:spacing w:line="560" w:lineRule="exact"/>
        <w:ind w:firstLine="3975" w:firstLineChars="1100"/>
        <w:jc w:val="both"/>
        <w:outlineLvl w:val="0"/>
        <w:rPr>
          <w:rFonts w:ascii="方正小标宋_GBK" w:hAnsi="方正小标宋_GBK" w:eastAsia="方正小标宋_GBK" w:cs="方正小标宋_GBK"/>
          <w:b/>
          <w:bCs/>
          <w:color w:val="auto"/>
          <w:sz w:val="36"/>
          <w:szCs w:val="36"/>
          <w:highlight w:val="none"/>
        </w:rPr>
      </w:pPr>
      <w:bookmarkStart w:id="189" w:name="_Toc30479"/>
      <w:bookmarkStart w:id="190" w:name="_Toc2543"/>
      <w:bookmarkStart w:id="191" w:name="_Toc30727"/>
      <w:bookmarkStart w:id="192" w:name="_Toc4773"/>
      <w:bookmarkStart w:id="193" w:name="_Toc31627"/>
      <w:r>
        <w:rPr>
          <w:rFonts w:hint="eastAsia" w:ascii="方正小标宋_GBK" w:hAnsi="方正小标宋_GBK" w:eastAsia="方正小标宋_GBK" w:cs="方正小标宋_GBK"/>
          <w:b/>
          <w:bCs/>
          <w:color w:val="auto"/>
          <w:sz w:val="36"/>
          <w:szCs w:val="36"/>
          <w:highlight w:val="none"/>
        </w:rPr>
        <w:t>（</w:t>
      </w:r>
      <w:r>
        <w:rPr>
          <w:rFonts w:hint="eastAsia" w:ascii="方正小标宋_GBK" w:hAnsi="方正小标宋_GBK" w:eastAsia="方正小标宋_GBK" w:cs="方正小标宋_GBK"/>
          <w:b/>
          <w:bCs/>
          <w:color w:val="auto"/>
          <w:sz w:val="36"/>
          <w:szCs w:val="36"/>
          <w:highlight w:val="none"/>
          <w:lang w:val="en-US" w:eastAsia="zh-CN"/>
        </w:rPr>
        <w:t>修订</w:t>
      </w:r>
      <w:r>
        <w:rPr>
          <w:rFonts w:hint="eastAsia" w:ascii="方正小标宋_GBK" w:hAnsi="方正小标宋_GBK" w:eastAsia="方正小标宋_GBK" w:cs="方正小标宋_GBK"/>
          <w:b/>
          <w:bCs/>
          <w:color w:val="auto"/>
          <w:sz w:val="36"/>
          <w:szCs w:val="36"/>
          <w:highlight w:val="none"/>
        </w:rPr>
        <w:t>）</w:t>
      </w:r>
      <w:bookmarkEnd w:id="189"/>
      <w:bookmarkEnd w:id="190"/>
      <w:bookmarkEnd w:id="191"/>
      <w:bookmarkEnd w:id="192"/>
      <w:bookmarkEnd w:id="193"/>
    </w:p>
    <w:p>
      <w:pPr>
        <w:widowControl/>
        <w:spacing w:line="560" w:lineRule="exact"/>
        <w:jc w:val="center"/>
        <w:rPr>
          <w:rFonts w:ascii="方正小标宋_GBK" w:eastAsia="方正小标宋_GBK"/>
          <w:color w:val="auto"/>
          <w:sz w:val="44"/>
          <w:szCs w:val="44"/>
          <w:highlight w:val="none"/>
        </w:rPr>
      </w:pPr>
    </w:p>
    <w:p>
      <w:pPr>
        <w:widowControl/>
        <w:spacing w:line="560" w:lineRule="exact"/>
        <w:ind w:firstLine="640" w:firstLineChars="200"/>
        <w:jc w:val="left"/>
        <w:rPr>
          <w:rFonts w:ascii="方正仿宋_GBK" w:hAnsi="方正仿宋_GBK" w:eastAsia="方正仿宋_GBK" w:cs="方正仿宋_GBK"/>
          <w:b/>
          <w:bCs/>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根据《云南省医疗保障局 云南省财政厅 国家税务总局云南省税务局关于转发加强和改进基本医疗保险参保工作指导意见的通知》（云医保</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bidi="ar"/>
        </w:rPr>
        <w:t>2020</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bidi="ar"/>
        </w:rPr>
        <w:t>125号）、《云南省医疗保障局办公室关于调整省属在昆高校大学生医疗保险参保工作及待遇享受有关事项的通知》文件精神及其他有关规定，结合我校实际，制定</w:t>
      </w:r>
      <w:r>
        <w:rPr>
          <w:rFonts w:hint="eastAsia" w:ascii="方正仿宋_GBK" w:hAnsi="方正仿宋_GBK" w:eastAsia="方正仿宋_GBK" w:cs="方正仿宋_GBK"/>
          <w:color w:val="auto"/>
          <w:kern w:val="0"/>
          <w:sz w:val="32"/>
          <w:szCs w:val="32"/>
          <w:highlight w:val="none"/>
          <w:lang w:val="en-US" w:eastAsia="zh-CN" w:bidi="ar"/>
        </w:rPr>
        <w:t>本</w:t>
      </w:r>
      <w:r>
        <w:rPr>
          <w:rFonts w:hint="eastAsia" w:ascii="方正仿宋_GBK" w:hAnsi="方正仿宋_GBK" w:eastAsia="方正仿宋_GBK" w:cs="方正仿宋_GBK"/>
          <w:color w:val="auto"/>
          <w:kern w:val="0"/>
          <w:sz w:val="32"/>
          <w:szCs w:val="32"/>
          <w:highlight w:val="none"/>
          <w:lang w:bidi="ar"/>
        </w:rPr>
        <w:t xml:space="preserve">办法。 </w:t>
      </w:r>
    </w:p>
    <w:p>
      <w:pPr>
        <w:numPr>
          <w:ilvl w:val="0"/>
          <w:numId w:val="14"/>
        </w:numPr>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仿宋" w:eastAsia="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大学生基本医疗保险</w:t>
      </w:r>
      <w:r>
        <w:rPr>
          <w:rFonts w:hint="eastAsia" w:ascii="方正仿宋_GBK" w:hAnsi="方正仿宋_GBK" w:eastAsia="方正仿宋_GBK" w:cs="方正仿宋_GBK"/>
          <w:color w:val="auto"/>
          <w:kern w:val="0"/>
          <w:sz w:val="32"/>
          <w:szCs w:val="32"/>
          <w:highlight w:val="none"/>
          <w:lang w:bidi="ar"/>
        </w:rPr>
        <w:t>（以下简称“大学生医保”）</w:t>
      </w:r>
      <w:r>
        <w:rPr>
          <w:rFonts w:hint="eastAsia" w:ascii="方正仿宋_GBK" w:hAnsi="方正仿宋_GBK" w:eastAsia="方正仿宋_GBK" w:cs="方正仿宋_GBK"/>
          <w:color w:val="auto"/>
          <w:sz w:val="32"/>
          <w:szCs w:val="32"/>
          <w:highlight w:val="none"/>
        </w:rPr>
        <w:t xml:space="preserve">参保对象是学校依据国家有关政策招收的具有全日制学籍的专科学生，包括三年制大专和五年制大专学生。 </w:t>
      </w:r>
    </w:p>
    <w:p>
      <w:pPr>
        <w:numPr>
          <w:ilvl w:val="0"/>
          <w:numId w:val="14"/>
        </w:numPr>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大学生原则上在学籍地参加居民医保，若学生为建档立卡贫困人口的，在建档立卡贫困人口身份认定地参保</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执行参保地医保政策</w:t>
      </w:r>
      <w:r>
        <w:rPr>
          <w:rFonts w:hint="eastAsia" w:ascii="方正仿宋_GBK" w:hAnsi="方正仿宋_GBK" w:eastAsia="方正仿宋_GBK" w:cs="方正仿宋_GBK"/>
          <w:color w:val="auto"/>
          <w:sz w:val="32"/>
          <w:szCs w:val="32"/>
          <w:highlight w:val="none"/>
        </w:rPr>
        <w:t>。</w:t>
      </w:r>
    </w:p>
    <w:p>
      <w:pPr>
        <w:numPr>
          <w:ilvl w:val="0"/>
          <w:numId w:val="14"/>
        </w:numPr>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自2021年起</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大学生参加居民医保的参保缴费期从学年调整为自然年度，作出调整的统筹区学生入学当年学籍地如发生医疗费用，采用异地就医直接结算报销费用，报销比例不受转外就医调减比例规定限制。</w:t>
      </w:r>
    </w:p>
    <w:p>
      <w:pPr>
        <w:widowControl/>
        <w:numPr>
          <w:ilvl w:val="0"/>
          <w:numId w:val="14"/>
        </w:numPr>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已参保大学生毕业后当年就业的，随同用人单位参加城镇职工基本医疗保险，不再享受大学生医疗保险待遇；当年未就业的继续享受大学生医疗保险待遇，享受待遇时间截止为</w:t>
      </w:r>
      <w:r>
        <w:rPr>
          <w:rFonts w:hint="eastAsia" w:ascii="方正仿宋_GBK" w:hAnsi="方正仿宋_GBK" w:eastAsia="方正仿宋_GBK" w:cs="方正仿宋_GBK"/>
          <w:color w:val="auto"/>
          <w:sz w:val="32"/>
          <w:szCs w:val="32"/>
          <w:highlight w:val="none"/>
          <w:lang w:val="en-US" w:eastAsia="zh-CN"/>
        </w:rPr>
        <w:t>毕业</w:t>
      </w:r>
      <w:r>
        <w:rPr>
          <w:rFonts w:hint="eastAsia" w:ascii="方正仿宋_GBK" w:hAnsi="方正仿宋_GBK" w:eastAsia="方正仿宋_GBK" w:cs="方正仿宋_GBK"/>
          <w:color w:val="auto"/>
          <w:sz w:val="32"/>
          <w:szCs w:val="32"/>
          <w:highlight w:val="none"/>
        </w:rPr>
        <w:t>当年12月31日。</w:t>
      </w:r>
    </w:p>
    <w:p>
      <w:pPr>
        <w:widowControl/>
        <w:numPr>
          <w:ilvl w:val="0"/>
          <w:numId w:val="14"/>
        </w:numPr>
        <w:spacing w:line="560" w:lineRule="exact"/>
        <w:ind w:firstLine="640"/>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sz w:val="32"/>
          <w:szCs w:val="32"/>
          <w:highlight w:val="none"/>
        </w:rPr>
        <w:t xml:space="preserve"> 大学生参保缴费后，在医保待遇享受期内转学、出国交流、休学，其医疗保险待遇不受影响。转学的大学生在第二年应参加转入高校的大学生医保，出国交流、休学、延期毕业的大学生可继续缴费并享受相应待遇。对于因各种原因被取消学籍或办理退学的大学生，在享受完当年度的医疗待遇后，学校不再为其办理参保缴费。</w:t>
      </w:r>
    </w:p>
    <w:p>
      <w:pPr>
        <w:widowControl/>
        <w:numPr>
          <w:ilvl w:val="0"/>
          <w:numId w:val="14"/>
        </w:numPr>
        <w:spacing w:line="560" w:lineRule="exact"/>
        <w:ind w:firstLine="640"/>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 大学生医保的保障范围包括普通门诊、门诊慢性病、门急诊、门诊特殊疾病、住院及生育补贴。</w:t>
      </w:r>
    </w:p>
    <w:p>
      <w:pPr>
        <w:widowControl/>
        <w:numPr>
          <w:ilvl w:val="0"/>
          <w:numId w:val="14"/>
        </w:numPr>
        <w:spacing w:line="560" w:lineRule="exact"/>
        <w:ind w:firstLine="640"/>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 云南省已经全面实现省内异地就医直接结算和跨省异地就医直接结算，正常情况下全体参保学生出院时刷卡结算即可。参保人经异地就医备案后，持社会保障卡可在定点医疗机构，即在昆公立医院，直接刷卡结算医疗费，不需再全额垫付医疗费后进行手工报销。</w:t>
      </w:r>
    </w:p>
    <w:p>
      <w:pPr>
        <w:widowControl/>
        <w:numPr>
          <w:ilvl w:val="0"/>
          <w:numId w:val="14"/>
        </w:numPr>
        <w:spacing w:line="560" w:lineRule="exact"/>
        <w:ind w:firstLine="640"/>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 参保大学生因假期返家、实习等原因需异地住院治疗的，可就近到当地医保定点医疗机构就诊，务必先试刷医保卡（现大多数地州已经开通医保系统），未开通医院可拨打省医保中心电话（0871- </w:t>
      </w:r>
      <w:r>
        <w:rPr>
          <w:rFonts w:hint="eastAsia" w:ascii="方正仿宋_GBK" w:hAnsi="方正仿宋_GBK" w:eastAsia="方正仿宋_GBK" w:cs="方正仿宋_GBK"/>
          <w:color w:val="auto"/>
          <w:kern w:val="0"/>
          <w:sz w:val="32"/>
          <w:szCs w:val="32"/>
          <w:highlight w:val="none"/>
          <w:lang w:val="en-US" w:eastAsia="zh-CN" w:bidi="ar"/>
        </w:rPr>
        <w:t>63886115</w:t>
      </w:r>
      <w:r>
        <w:rPr>
          <w:rFonts w:hint="eastAsia" w:ascii="方正仿宋_GBK" w:hAnsi="方正仿宋_GBK" w:eastAsia="方正仿宋_GBK" w:cs="方正仿宋_GBK"/>
          <w:color w:val="auto"/>
          <w:kern w:val="0"/>
          <w:sz w:val="32"/>
          <w:szCs w:val="32"/>
          <w:highlight w:val="none"/>
          <w:lang w:bidi="ar"/>
        </w:rPr>
        <w:t>或</w:t>
      </w:r>
      <w:r>
        <w:rPr>
          <w:rFonts w:hint="eastAsia" w:ascii="方正仿宋_GBK" w:hAnsi="方正仿宋_GBK" w:eastAsia="方正仿宋_GBK" w:cs="方正仿宋_GBK"/>
          <w:color w:val="auto"/>
          <w:kern w:val="0"/>
          <w:sz w:val="32"/>
          <w:szCs w:val="32"/>
          <w:highlight w:val="none"/>
          <w:lang w:val="en-US" w:eastAsia="zh-CN" w:bidi="ar"/>
        </w:rPr>
        <w:t>63886116</w:t>
      </w:r>
      <w:r>
        <w:rPr>
          <w:rFonts w:hint="eastAsia" w:ascii="方正仿宋_GBK" w:hAnsi="方正仿宋_GBK" w:eastAsia="方正仿宋_GBK" w:cs="方正仿宋_GBK"/>
          <w:color w:val="auto"/>
          <w:kern w:val="0"/>
          <w:sz w:val="32"/>
          <w:szCs w:val="32"/>
          <w:highlight w:val="none"/>
          <w:lang w:bidi="ar"/>
        </w:rPr>
        <w:t>）进行开通。若所产生的费用需先由个人全额垫付，回校后提供相关材料进行报销。</w:t>
      </w:r>
    </w:p>
    <w:p>
      <w:pPr>
        <w:widowControl/>
        <w:numPr>
          <w:ilvl w:val="0"/>
          <w:numId w:val="14"/>
        </w:numPr>
        <w:spacing w:line="560" w:lineRule="exact"/>
        <w:ind w:firstLine="640"/>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 手工报销范围</w:t>
      </w:r>
    </w:p>
    <w:p>
      <w:pPr>
        <w:widowControl/>
        <w:spacing w:line="560" w:lineRule="exact"/>
        <w:ind w:firstLine="640" w:firstLineChars="200"/>
        <w:jc w:val="left"/>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（一）参保人经过异地就医备案后，因社会保障卡或定点医疗机构系统故障等原因，没有实现异地就医直接结算医疗费，致使需要个人全额垫付医疗费用的；</w:t>
      </w:r>
    </w:p>
    <w:p>
      <w:pPr>
        <w:widowControl/>
        <w:spacing w:line="560" w:lineRule="exact"/>
        <w:ind w:firstLine="640" w:firstLineChars="200"/>
        <w:jc w:val="left"/>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（二）因紧急情况需急诊抢救在非定点医疗机构就医个人垫付医疗费用的；</w:t>
      </w:r>
    </w:p>
    <w:p>
      <w:pPr>
        <w:widowControl/>
        <w:spacing w:line="560" w:lineRule="exact"/>
        <w:ind w:firstLine="640" w:firstLineChars="200"/>
        <w:jc w:val="left"/>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（三）医保卡尚未下达的。</w:t>
      </w: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lang w:bidi="ar"/>
        </w:rPr>
      </w:pPr>
      <w:r>
        <w:rPr>
          <w:rFonts w:hint="eastAsia" w:ascii="方正楷体_GBK" w:hAnsi="方正楷体_GBK" w:eastAsia="方正楷体_GBK" w:cs="方正楷体_GBK"/>
          <w:b/>
          <w:bCs/>
          <w:color w:val="auto"/>
          <w:kern w:val="0"/>
          <w:sz w:val="32"/>
          <w:szCs w:val="32"/>
          <w:highlight w:val="none"/>
          <w:lang w:bidi="ar"/>
        </w:rPr>
        <w:t>第十条</w:t>
      </w:r>
      <w:r>
        <w:rPr>
          <w:rFonts w:hint="eastAsia" w:ascii="方正仿宋_GBK" w:hAnsi="方正仿宋_GBK" w:eastAsia="方正仿宋_GBK" w:cs="方正仿宋_GBK"/>
          <w:b/>
          <w:bCs/>
          <w:color w:val="auto"/>
          <w:kern w:val="0"/>
          <w:sz w:val="32"/>
          <w:szCs w:val="32"/>
          <w:highlight w:val="none"/>
          <w:lang w:bidi="ar"/>
        </w:rPr>
        <w:t xml:space="preserve"> </w:t>
      </w:r>
      <w:r>
        <w:rPr>
          <w:rFonts w:hint="eastAsia" w:ascii="方正仿宋_GBK" w:hAnsi="方正仿宋_GBK" w:eastAsia="方正仿宋_GBK" w:cs="方正仿宋_GBK"/>
          <w:color w:val="auto"/>
          <w:kern w:val="0"/>
          <w:sz w:val="32"/>
          <w:szCs w:val="32"/>
          <w:highlight w:val="none"/>
          <w:lang w:bidi="ar"/>
        </w:rPr>
        <w:t xml:space="preserve"> 有以下情形的不能进行医保报销</w:t>
      </w:r>
    </w:p>
    <w:p>
      <w:pPr>
        <w:pStyle w:val="21"/>
        <w:widowControl/>
        <w:shd w:val="clear" w:color="auto" w:fill="FFFFFF"/>
        <w:spacing w:beforeAutospacing="0" w:afterAutospacing="0" w:line="560" w:lineRule="exact"/>
        <w:ind w:firstLine="640"/>
        <w:jc w:val="both"/>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（一）</w:t>
      </w:r>
      <w:r>
        <w:rPr>
          <w:rFonts w:ascii="方正仿宋_GBK" w:hAnsi="方正仿宋_GBK" w:eastAsia="方正仿宋_GBK" w:cs="方正仿宋_GBK"/>
          <w:color w:val="auto"/>
          <w:sz w:val="32"/>
          <w:szCs w:val="32"/>
          <w:highlight w:val="none"/>
          <w:lang w:bidi="ar"/>
        </w:rPr>
        <w:t>存在第三方责任人，应当由第三人负担的</w:t>
      </w:r>
      <w:r>
        <w:rPr>
          <w:rFonts w:hint="eastAsia" w:ascii="方正仿宋_GBK" w:hAnsi="方正仿宋_GBK" w:eastAsia="方正仿宋_GBK" w:cs="方正仿宋_GBK"/>
          <w:color w:val="auto"/>
          <w:sz w:val="32"/>
          <w:szCs w:val="32"/>
          <w:highlight w:val="none"/>
          <w:lang w:bidi="ar"/>
        </w:rPr>
        <w:t>，</w:t>
      </w:r>
      <w:r>
        <w:rPr>
          <w:rFonts w:ascii="方正仿宋_GBK" w:hAnsi="方正仿宋_GBK" w:eastAsia="方正仿宋_GBK" w:cs="方正仿宋_GBK"/>
          <w:color w:val="auto"/>
          <w:sz w:val="32"/>
          <w:szCs w:val="32"/>
          <w:highlight w:val="none"/>
          <w:lang w:bidi="ar"/>
        </w:rPr>
        <w:t>如交通事故</w:t>
      </w:r>
      <w:r>
        <w:rPr>
          <w:rFonts w:hint="eastAsia" w:ascii="方正仿宋_GBK" w:hAnsi="方正仿宋_GBK" w:eastAsia="方正仿宋_GBK" w:cs="方正仿宋_GBK"/>
          <w:color w:val="auto"/>
          <w:sz w:val="32"/>
          <w:szCs w:val="32"/>
          <w:highlight w:val="none"/>
          <w:lang w:eastAsia="zh-CN" w:bidi="ar"/>
        </w:rPr>
        <w:t>，</w:t>
      </w:r>
      <w:r>
        <w:rPr>
          <w:rFonts w:ascii="方正仿宋_GBK" w:hAnsi="方正仿宋_GBK" w:eastAsia="方正仿宋_GBK" w:cs="方正仿宋_GBK"/>
          <w:color w:val="auto"/>
          <w:sz w:val="32"/>
          <w:szCs w:val="32"/>
          <w:highlight w:val="none"/>
          <w:lang w:bidi="ar"/>
        </w:rPr>
        <w:t>医疗事故等</w:t>
      </w:r>
      <w:r>
        <w:rPr>
          <w:rFonts w:hint="eastAsia" w:ascii="方正仿宋_GBK" w:hAnsi="方正仿宋_GBK" w:eastAsia="方正仿宋_GBK" w:cs="方正仿宋_GBK"/>
          <w:color w:val="auto"/>
          <w:sz w:val="32"/>
          <w:szCs w:val="32"/>
          <w:highlight w:val="none"/>
          <w:lang w:bidi="ar"/>
        </w:rPr>
        <w:t>；</w:t>
      </w:r>
    </w:p>
    <w:p>
      <w:pPr>
        <w:pStyle w:val="21"/>
        <w:widowControl/>
        <w:shd w:val="clear" w:color="auto" w:fill="FFFFFF"/>
        <w:spacing w:beforeAutospacing="0" w:afterAutospacing="0" w:line="560" w:lineRule="exact"/>
        <w:ind w:firstLine="640"/>
        <w:jc w:val="both"/>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（二）</w:t>
      </w:r>
      <w:r>
        <w:rPr>
          <w:rFonts w:ascii="方正仿宋_GBK" w:hAnsi="方正仿宋_GBK" w:eastAsia="方正仿宋_GBK" w:cs="方正仿宋_GBK"/>
          <w:color w:val="auto"/>
          <w:sz w:val="32"/>
          <w:szCs w:val="32"/>
          <w:highlight w:val="none"/>
          <w:lang w:bidi="ar"/>
        </w:rPr>
        <w:t>在境外就医的</w:t>
      </w:r>
      <w:r>
        <w:rPr>
          <w:rFonts w:hint="eastAsia" w:ascii="方正仿宋_GBK" w:hAnsi="方正仿宋_GBK" w:eastAsia="方正仿宋_GBK" w:cs="方正仿宋_GBK"/>
          <w:color w:val="auto"/>
          <w:sz w:val="32"/>
          <w:szCs w:val="32"/>
          <w:highlight w:val="none"/>
          <w:lang w:bidi="ar"/>
        </w:rPr>
        <w:t>；</w:t>
      </w:r>
    </w:p>
    <w:p>
      <w:pPr>
        <w:pStyle w:val="21"/>
        <w:widowControl/>
        <w:shd w:val="clear" w:color="auto" w:fill="FFFFFF"/>
        <w:spacing w:beforeAutospacing="0" w:afterAutospacing="0" w:line="560" w:lineRule="exact"/>
        <w:ind w:firstLine="640"/>
        <w:jc w:val="both"/>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（三）</w:t>
      </w:r>
      <w:r>
        <w:rPr>
          <w:rFonts w:ascii="方正仿宋_GBK" w:hAnsi="方正仿宋_GBK" w:eastAsia="方正仿宋_GBK" w:cs="方正仿宋_GBK"/>
          <w:color w:val="auto"/>
          <w:sz w:val="32"/>
          <w:szCs w:val="32"/>
          <w:highlight w:val="none"/>
          <w:lang w:bidi="ar"/>
        </w:rPr>
        <w:t> 在非定点医疗机构产生的医疗费用（急诊除外）</w:t>
      </w:r>
      <w:r>
        <w:rPr>
          <w:rFonts w:hint="eastAsia" w:ascii="方正仿宋_GBK" w:hAnsi="方正仿宋_GBK" w:eastAsia="方正仿宋_GBK" w:cs="方正仿宋_GBK"/>
          <w:color w:val="auto"/>
          <w:sz w:val="32"/>
          <w:szCs w:val="32"/>
          <w:highlight w:val="none"/>
          <w:lang w:bidi="ar"/>
        </w:rPr>
        <w:t>；</w:t>
      </w:r>
    </w:p>
    <w:p>
      <w:pPr>
        <w:pStyle w:val="21"/>
        <w:widowControl/>
        <w:shd w:val="clear" w:color="auto" w:fill="FFFFFF"/>
        <w:spacing w:beforeAutospacing="0" w:afterAutospacing="0" w:line="560" w:lineRule="exact"/>
        <w:ind w:firstLine="640"/>
        <w:jc w:val="both"/>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（四）</w:t>
      </w:r>
      <w:r>
        <w:rPr>
          <w:rFonts w:ascii="方正仿宋_GBK" w:hAnsi="方正仿宋_GBK" w:eastAsia="方正仿宋_GBK" w:cs="方正仿宋_GBK"/>
          <w:color w:val="auto"/>
          <w:sz w:val="32"/>
          <w:szCs w:val="32"/>
          <w:highlight w:val="none"/>
          <w:lang w:bidi="ar"/>
        </w:rPr>
        <w:t>应当由公共卫生负担的</w:t>
      </w:r>
      <w:r>
        <w:rPr>
          <w:rFonts w:hint="eastAsia" w:ascii="方正仿宋_GBK" w:hAnsi="方正仿宋_GBK" w:eastAsia="方正仿宋_GBK" w:cs="方正仿宋_GBK"/>
          <w:color w:val="auto"/>
          <w:sz w:val="32"/>
          <w:szCs w:val="32"/>
          <w:highlight w:val="none"/>
          <w:lang w:bidi="ar"/>
        </w:rPr>
        <w:t>，</w:t>
      </w:r>
      <w:r>
        <w:rPr>
          <w:rFonts w:ascii="方正仿宋_GBK" w:hAnsi="方正仿宋_GBK" w:eastAsia="方正仿宋_GBK" w:cs="方正仿宋_GBK"/>
          <w:color w:val="auto"/>
          <w:sz w:val="32"/>
          <w:szCs w:val="32"/>
          <w:highlight w:val="none"/>
          <w:lang w:bidi="ar"/>
        </w:rPr>
        <w:t>如一些免疫规划疫苗的接种等</w:t>
      </w:r>
      <w:r>
        <w:rPr>
          <w:rFonts w:hint="eastAsia" w:ascii="方正仿宋_GBK" w:hAnsi="方正仿宋_GBK" w:eastAsia="方正仿宋_GBK" w:cs="方正仿宋_GBK"/>
          <w:color w:val="auto"/>
          <w:sz w:val="32"/>
          <w:szCs w:val="32"/>
          <w:highlight w:val="none"/>
          <w:lang w:bidi="ar"/>
        </w:rPr>
        <w:t>。</w:t>
      </w:r>
    </w:p>
    <w:p>
      <w:pPr>
        <w:pStyle w:val="21"/>
        <w:widowControl/>
        <w:shd w:val="clear" w:color="auto" w:fill="FFFFFF"/>
        <w:spacing w:beforeAutospacing="0" w:afterAutospacing="0" w:line="560" w:lineRule="exact"/>
        <w:ind w:firstLine="640"/>
        <w:jc w:val="both"/>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lang w:bidi="ar"/>
        </w:rPr>
        <w:t>第十一条</w:t>
      </w:r>
      <w:r>
        <w:rPr>
          <w:rFonts w:hint="eastAsia" w:ascii="方正仿宋_GBK" w:hAnsi="方正仿宋_GBK" w:eastAsia="方正仿宋_GBK" w:cs="方正仿宋_GBK"/>
          <w:b/>
          <w:bCs/>
          <w:color w:val="auto"/>
          <w:sz w:val="32"/>
          <w:szCs w:val="32"/>
          <w:highlight w:val="none"/>
          <w:lang w:bidi="ar"/>
        </w:rPr>
        <w:t xml:space="preserve">  </w:t>
      </w:r>
      <w:r>
        <w:rPr>
          <w:rFonts w:hint="eastAsia" w:ascii="方正仿宋_GBK" w:hAnsi="方正仿宋_GBK" w:eastAsia="方正仿宋_GBK" w:cs="方正仿宋_GBK"/>
          <w:color w:val="auto"/>
          <w:sz w:val="32"/>
          <w:szCs w:val="32"/>
          <w:highlight w:val="none"/>
          <w:lang w:bidi="ar"/>
        </w:rPr>
        <w:t xml:space="preserve">手工报销需提供材料 </w:t>
      </w:r>
    </w:p>
    <w:p>
      <w:pPr>
        <w:widowControl/>
        <w:spacing w:line="560" w:lineRule="exact"/>
        <w:ind w:firstLine="640" w:firstLineChars="200"/>
        <w:jc w:val="left"/>
        <w:outlineLvl w:val="0"/>
        <w:rPr>
          <w:rFonts w:ascii="方正仿宋_GBK" w:hAnsi="方正仿宋_GBK" w:eastAsia="方正仿宋_GBK" w:cs="方正仿宋_GBK"/>
          <w:color w:val="auto"/>
          <w:sz w:val="32"/>
          <w:szCs w:val="32"/>
          <w:highlight w:val="none"/>
        </w:rPr>
      </w:pPr>
      <w:bookmarkStart w:id="194" w:name="_Toc26489"/>
      <w:bookmarkStart w:id="195" w:name="_Toc31578"/>
      <w:bookmarkStart w:id="196" w:name="_Toc27889"/>
      <w:bookmarkStart w:id="197" w:name="_Toc18282"/>
      <w:bookmarkStart w:id="198" w:name="_Toc3533"/>
      <w:bookmarkStart w:id="199" w:name="_Toc2426"/>
      <w:r>
        <w:rPr>
          <w:rFonts w:hint="eastAsia" w:ascii="方正仿宋_GBK" w:hAnsi="方正仿宋_GBK" w:eastAsia="方正仿宋_GBK" w:cs="方正仿宋_GBK"/>
          <w:color w:val="auto"/>
          <w:kern w:val="0"/>
          <w:sz w:val="32"/>
          <w:szCs w:val="32"/>
          <w:highlight w:val="none"/>
          <w:lang w:bidi="ar"/>
        </w:rPr>
        <w:t>（一）常规住院报销材料</w:t>
      </w:r>
      <w:bookmarkEnd w:id="194"/>
      <w:bookmarkEnd w:id="195"/>
      <w:bookmarkEnd w:id="196"/>
      <w:bookmarkEnd w:id="197"/>
      <w:bookmarkEnd w:id="198"/>
      <w:bookmarkEnd w:id="199"/>
      <w:r>
        <w:rPr>
          <w:rFonts w:hint="eastAsia" w:ascii="方正仿宋_GBK" w:hAnsi="方正仿宋_GBK" w:eastAsia="方正仿宋_GBK" w:cs="方正仿宋_GBK"/>
          <w:color w:val="auto"/>
          <w:kern w:val="0"/>
          <w:sz w:val="32"/>
          <w:szCs w:val="32"/>
          <w:highlight w:val="none"/>
          <w:lang w:bidi="ar"/>
        </w:rPr>
        <w:t xml:space="preserve">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1.未刷卡</w:t>
      </w:r>
      <w:r>
        <w:rPr>
          <w:rFonts w:hint="eastAsia" w:ascii="方正仿宋_GBK" w:hAnsi="方正仿宋_GBK" w:eastAsia="方正仿宋_GBK" w:cs="方正仿宋_GBK"/>
          <w:color w:val="auto"/>
          <w:kern w:val="0"/>
          <w:sz w:val="32"/>
          <w:szCs w:val="32"/>
          <w:highlight w:val="none"/>
          <w:lang w:val="en-US" w:eastAsia="zh-CN" w:bidi="ar"/>
        </w:rPr>
        <w:t>直接结算的情况</w:t>
      </w:r>
      <w:r>
        <w:rPr>
          <w:rFonts w:hint="eastAsia" w:ascii="方正仿宋_GBK" w:hAnsi="方正仿宋_GBK" w:eastAsia="方正仿宋_GBK" w:cs="方正仿宋_GBK"/>
          <w:color w:val="auto"/>
          <w:kern w:val="0"/>
          <w:sz w:val="32"/>
          <w:szCs w:val="32"/>
          <w:highlight w:val="none"/>
          <w:lang w:bidi="ar"/>
        </w:rPr>
        <w:t xml:space="preserve">说明（阐述因在假期或实习需异地就医或医保卡未发、医保未开通等原因不能刷卡）；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 xml:space="preserve">2.身份证（正反面）、学生证、社保卡（正反面）复印件;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 xml:space="preserve">3.医院提供的发票原件、住院费用清单、诊断证明(出院记录或出院小结)； </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4.</w:t>
      </w:r>
      <w:r>
        <w:rPr>
          <w:rFonts w:hint="eastAsia" w:ascii="方正仿宋_GBK" w:hAnsi="方正仿宋_GBK" w:eastAsia="方正仿宋_GBK" w:cs="方正仿宋_GBK"/>
          <w:color w:val="auto"/>
          <w:kern w:val="0"/>
          <w:sz w:val="32"/>
          <w:szCs w:val="32"/>
          <w:highlight w:val="none"/>
          <w:lang w:val="en-US" w:eastAsia="zh-CN" w:bidi="ar"/>
        </w:rPr>
        <w:t>加盖医院鲜章的</w:t>
      </w:r>
      <w:r>
        <w:rPr>
          <w:rFonts w:hint="eastAsia" w:ascii="方正仿宋_GBK" w:hAnsi="方正仿宋_GBK" w:eastAsia="方正仿宋_GBK" w:cs="方正仿宋_GBK"/>
          <w:color w:val="auto"/>
          <w:kern w:val="0"/>
          <w:sz w:val="32"/>
          <w:szCs w:val="32"/>
          <w:highlight w:val="none"/>
          <w:lang w:bidi="ar"/>
        </w:rPr>
        <w:t>住院病案首页</w:t>
      </w:r>
      <w:r>
        <w:rPr>
          <w:rFonts w:hint="eastAsia" w:ascii="方正仿宋_GBK" w:hAnsi="方正仿宋_GBK" w:eastAsia="方正仿宋_GBK" w:cs="方正仿宋_GBK"/>
          <w:color w:val="auto"/>
          <w:kern w:val="0"/>
          <w:sz w:val="32"/>
          <w:szCs w:val="32"/>
          <w:highlight w:val="none"/>
          <w:lang w:val="en-US" w:eastAsia="zh-CN" w:bidi="ar"/>
        </w:rPr>
        <w:t>复印件</w:t>
      </w:r>
      <w:r>
        <w:rPr>
          <w:rFonts w:hint="eastAsia" w:ascii="方正仿宋_GBK" w:hAnsi="方正仿宋_GBK" w:eastAsia="方正仿宋_GBK" w:cs="方正仿宋_GBK"/>
          <w:color w:val="auto"/>
          <w:kern w:val="0"/>
          <w:sz w:val="32"/>
          <w:szCs w:val="32"/>
          <w:highlight w:val="none"/>
          <w:lang w:bidi="ar"/>
        </w:rPr>
        <w:t>（</w:t>
      </w:r>
      <w:r>
        <w:rPr>
          <w:rFonts w:hint="eastAsia" w:ascii="方正仿宋_GBK" w:hAnsi="方正仿宋_GBK" w:eastAsia="方正仿宋_GBK" w:cs="方正仿宋_GBK"/>
          <w:color w:val="auto"/>
          <w:kern w:val="0"/>
          <w:sz w:val="32"/>
          <w:szCs w:val="32"/>
          <w:highlight w:val="none"/>
          <w:lang w:val="en-US" w:eastAsia="zh-CN" w:bidi="ar"/>
        </w:rPr>
        <w:t>意外伤害</w:t>
      </w:r>
      <w:r>
        <w:rPr>
          <w:rFonts w:hint="eastAsia" w:ascii="方正仿宋_GBK" w:hAnsi="方正仿宋_GBK" w:eastAsia="方正仿宋_GBK" w:cs="方正仿宋_GBK"/>
          <w:color w:val="auto"/>
          <w:kern w:val="0"/>
          <w:sz w:val="32"/>
          <w:szCs w:val="32"/>
          <w:highlight w:val="none"/>
          <w:lang w:bidi="ar"/>
        </w:rPr>
        <w:t>患者需提供）。</w:t>
      </w:r>
    </w:p>
    <w:p>
      <w:pPr>
        <w:widowControl/>
        <w:spacing w:line="560" w:lineRule="exact"/>
        <w:ind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kern w:val="0"/>
          <w:sz w:val="32"/>
          <w:szCs w:val="32"/>
          <w:highlight w:val="none"/>
          <w:lang w:val="en-US" w:eastAsia="zh-CN" w:bidi="ar"/>
        </w:rPr>
        <w:t>5.学生本人及辅导员（班主任）具体联系方式</w:t>
      </w:r>
      <w:r>
        <w:rPr>
          <w:rFonts w:hint="eastAsia" w:ascii="方正仿宋_GBK" w:hAnsi="方正仿宋_GBK" w:eastAsia="方正仿宋_GBK" w:cs="方正仿宋_GBK"/>
          <w:color w:val="auto"/>
          <w:kern w:val="0"/>
          <w:sz w:val="32"/>
          <w:szCs w:val="32"/>
          <w:highlight w:val="none"/>
          <w:lang w:bidi="ar"/>
        </w:rPr>
        <w:t xml:space="preserve"> </w:t>
      </w:r>
      <w:r>
        <w:rPr>
          <w:rFonts w:hint="eastAsia" w:ascii="方正仿宋_GBK" w:hAnsi="方正仿宋_GBK" w:eastAsia="方正仿宋_GBK" w:cs="方正仿宋_GBK"/>
          <w:color w:val="auto"/>
          <w:kern w:val="0"/>
          <w:sz w:val="32"/>
          <w:szCs w:val="32"/>
          <w:highlight w:val="none"/>
          <w:lang w:eastAsia="zh-CN" w:bidi="ar"/>
        </w:rPr>
        <w:t>。</w:t>
      </w:r>
    </w:p>
    <w:p>
      <w:pPr>
        <w:widowControl/>
        <w:spacing w:line="560" w:lineRule="exact"/>
        <w:ind w:firstLine="640" w:firstLineChars="200"/>
        <w:jc w:val="left"/>
        <w:rPr>
          <w:rFonts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val="en-US" w:eastAsia="zh-CN" w:bidi="ar"/>
        </w:rPr>
        <w:t>6</w:t>
      </w:r>
      <w:r>
        <w:rPr>
          <w:rFonts w:hint="eastAsia" w:ascii="方正仿宋_GBK" w:hAnsi="方正仿宋_GBK" w:eastAsia="方正仿宋_GBK" w:cs="方正仿宋_GBK"/>
          <w:color w:val="auto"/>
          <w:kern w:val="0"/>
          <w:sz w:val="32"/>
          <w:szCs w:val="32"/>
          <w:highlight w:val="none"/>
          <w:lang w:bidi="ar"/>
        </w:rPr>
        <w:t>.若外伤报销，除以上</w:t>
      </w:r>
      <w:r>
        <w:rPr>
          <w:rFonts w:hint="eastAsia" w:ascii="方正仿宋_GBK" w:hAnsi="方正仿宋_GBK" w:eastAsia="方正仿宋_GBK" w:cs="方正仿宋_GBK"/>
          <w:color w:val="auto"/>
          <w:kern w:val="0"/>
          <w:sz w:val="32"/>
          <w:szCs w:val="32"/>
          <w:highlight w:val="none"/>
          <w:lang w:val="en-US" w:eastAsia="zh-CN" w:bidi="ar"/>
        </w:rPr>
        <w:t>五</w:t>
      </w:r>
      <w:r>
        <w:rPr>
          <w:rFonts w:hint="eastAsia" w:ascii="方正仿宋_GBK" w:hAnsi="方正仿宋_GBK" w:eastAsia="方正仿宋_GBK" w:cs="方正仿宋_GBK"/>
          <w:color w:val="auto"/>
          <w:kern w:val="0"/>
          <w:sz w:val="32"/>
          <w:szCs w:val="32"/>
          <w:highlight w:val="none"/>
          <w:lang w:bidi="ar"/>
        </w:rPr>
        <w:t xml:space="preserve">项，还需提交情况说明，如实说明受伤经过，意外伤害需表明（非车祸、打架、斗殴、酗酒、自杀所致，无第三方责任人），并加盖二级学院公章。 </w:t>
      </w:r>
    </w:p>
    <w:p>
      <w:pPr>
        <w:widowControl/>
        <w:spacing w:line="560" w:lineRule="exact"/>
        <w:ind w:firstLine="640" w:firstLineChars="200"/>
        <w:jc w:val="left"/>
        <w:outlineLvl w:val="0"/>
        <w:rPr>
          <w:rFonts w:ascii="方正仿宋_GBK" w:hAnsi="方正仿宋_GBK" w:eastAsia="方正仿宋_GBK" w:cs="方正仿宋_GBK"/>
          <w:color w:val="auto"/>
          <w:sz w:val="32"/>
          <w:szCs w:val="32"/>
          <w:highlight w:val="none"/>
        </w:rPr>
      </w:pPr>
      <w:bookmarkStart w:id="200" w:name="_Toc30055"/>
      <w:bookmarkStart w:id="201" w:name="_Toc7025"/>
      <w:bookmarkStart w:id="202" w:name="_Toc20204"/>
      <w:bookmarkStart w:id="203" w:name="_Toc29582"/>
      <w:bookmarkStart w:id="204" w:name="_Toc14824"/>
      <w:bookmarkStart w:id="205" w:name="_Toc31032"/>
      <w:r>
        <w:rPr>
          <w:rFonts w:hint="eastAsia" w:ascii="方正仿宋_GBK" w:hAnsi="方正仿宋_GBK" w:eastAsia="方正仿宋_GBK" w:cs="方正仿宋_GBK"/>
          <w:color w:val="auto"/>
          <w:kern w:val="0"/>
          <w:sz w:val="32"/>
          <w:szCs w:val="32"/>
          <w:highlight w:val="none"/>
          <w:lang w:bidi="ar"/>
        </w:rPr>
        <w:t>（二）报销生育费所需材料</w:t>
      </w:r>
      <w:bookmarkEnd w:id="200"/>
      <w:bookmarkEnd w:id="201"/>
      <w:bookmarkEnd w:id="202"/>
      <w:bookmarkEnd w:id="203"/>
      <w:bookmarkEnd w:id="204"/>
      <w:bookmarkEnd w:id="205"/>
      <w:r>
        <w:rPr>
          <w:rFonts w:hint="eastAsia" w:ascii="方正仿宋_GBK" w:hAnsi="方正仿宋_GBK" w:eastAsia="方正仿宋_GBK" w:cs="方正仿宋_GBK"/>
          <w:color w:val="auto"/>
          <w:kern w:val="0"/>
          <w:sz w:val="32"/>
          <w:szCs w:val="32"/>
          <w:highlight w:val="none"/>
          <w:lang w:bidi="ar"/>
        </w:rPr>
        <w:t xml:space="preserve">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 xml:space="preserve">1.出院证或诊断证明复印件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 xml:space="preserve">2.住院生产发票原件 </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3.结婚证复印件 </w:t>
      </w:r>
    </w:p>
    <w:p>
      <w:pPr>
        <w:widowControl/>
        <w:spacing w:line="560" w:lineRule="exact"/>
        <w:ind w:firstLine="640" w:firstLineChars="20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4.提交本人符合生育政策及未重复报销生育费用的承诺书。</w:t>
      </w:r>
    </w:p>
    <w:p>
      <w:pPr>
        <w:widowControl/>
        <w:spacing w:line="560" w:lineRule="exact"/>
        <w:ind w:firstLine="640" w:firstLineChars="200"/>
        <w:jc w:val="left"/>
        <w:outlineLvl w:val="0"/>
        <w:rPr>
          <w:rFonts w:hint="eastAsia" w:ascii="方正仿宋_GBK" w:hAnsi="方正仿宋_GBK" w:eastAsia="方正仿宋_GBK" w:cs="方正仿宋_GBK"/>
          <w:color w:val="auto"/>
          <w:kern w:val="0"/>
          <w:sz w:val="32"/>
          <w:szCs w:val="32"/>
          <w:highlight w:val="none"/>
          <w:lang w:bidi="ar"/>
        </w:rPr>
      </w:pPr>
      <w:bookmarkStart w:id="206" w:name="_Toc5812"/>
      <w:bookmarkStart w:id="207" w:name="_Toc29504"/>
      <w:bookmarkStart w:id="208" w:name="_Toc25999"/>
      <w:bookmarkStart w:id="209" w:name="_Toc21070"/>
      <w:bookmarkStart w:id="210" w:name="_Toc22119"/>
      <w:bookmarkStart w:id="211" w:name="_Toc21917"/>
      <w:r>
        <w:rPr>
          <w:rFonts w:hint="eastAsia" w:ascii="方正仿宋_GBK" w:hAnsi="方正仿宋_GBK" w:eastAsia="方正仿宋_GBK" w:cs="方正仿宋_GBK"/>
          <w:color w:val="auto"/>
          <w:kern w:val="0"/>
          <w:sz w:val="32"/>
          <w:szCs w:val="32"/>
          <w:highlight w:val="none"/>
          <w:lang w:bidi="ar"/>
        </w:rPr>
        <w:t>（三）门诊报销所需材料</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大学生普通门诊费在学校医务室报销</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bidi="ar"/>
        </w:rPr>
        <w:t>:</w:t>
      </w:r>
      <w:bookmarkEnd w:id="206"/>
      <w:bookmarkEnd w:id="207"/>
      <w:bookmarkEnd w:id="208"/>
      <w:bookmarkEnd w:id="209"/>
      <w:bookmarkEnd w:id="210"/>
      <w:bookmarkEnd w:id="211"/>
      <w:r>
        <w:rPr>
          <w:rFonts w:hint="eastAsia" w:ascii="方正仿宋_GBK" w:hAnsi="方正仿宋_GBK" w:eastAsia="方正仿宋_GBK" w:cs="方正仿宋_GBK"/>
          <w:color w:val="auto"/>
          <w:kern w:val="0"/>
          <w:sz w:val="32"/>
          <w:szCs w:val="32"/>
          <w:highlight w:val="none"/>
          <w:lang w:bidi="ar"/>
        </w:rPr>
        <w:t xml:space="preserve"> </w:t>
      </w:r>
    </w:p>
    <w:p>
      <w:pPr>
        <w:widowControl/>
        <w:spacing w:line="560" w:lineRule="exact"/>
        <w:ind w:firstLine="640" w:firstLineChars="200"/>
        <w:jc w:val="left"/>
        <w:outlineLvl w:val="0"/>
        <w:rPr>
          <w:rFonts w:hint="default" w:ascii="方正仿宋_GBK" w:hAnsi="方正仿宋_GBK" w:eastAsia="方正仿宋_GBK" w:cs="方正仿宋_GBK"/>
          <w:color w:val="auto"/>
          <w:kern w:val="0"/>
          <w:sz w:val="32"/>
          <w:szCs w:val="32"/>
          <w:highlight w:val="none"/>
          <w:lang w:val="en-US" w:eastAsia="zh-CN" w:bidi="ar"/>
        </w:rPr>
      </w:pPr>
      <w:bookmarkStart w:id="212" w:name="_Toc2163"/>
      <w:bookmarkStart w:id="213" w:name="_Toc13867"/>
      <w:bookmarkStart w:id="214" w:name="_Toc3451"/>
      <w:bookmarkStart w:id="215" w:name="_Toc3168"/>
      <w:bookmarkStart w:id="216" w:name="_Toc25023"/>
      <w:r>
        <w:rPr>
          <w:rFonts w:hint="eastAsia" w:ascii="方正仿宋_GBK" w:hAnsi="方正仿宋_GBK" w:eastAsia="方正仿宋_GBK" w:cs="方正仿宋_GBK"/>
          <w:color w:val="auto"/>
          <w:kern w:val="0"/>
          <w:sz w:val="32"/>
          <w:szCs w:val="32"/>
          <w:highlight w:val="none"/>
          <w:lang w:val="en-US" w:eastAsia="zh-CN" w:bidi="ar"/>
        </w:rPr>
        <w:t>1.发票原件</w:t>
      </w:r>
      <w:bookmarkEnd w:id="212"/>
      <w:bookmarkEnd w:id="213"/>
      <w:bookmarkEnd w:id="214"/>
      <w:bookmarkEnd w:id="215"/>
      <w:bookmarkEnd w:id="216"/>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2</w:t>
      </w:r>
      <w:r>
        <w:rPr>
          <w:rFonts w:hint="eastAsia" w:ascii="方正仿宋_GBK" w:hAnsi="方正仿宋_GBK" w:eastAsia="方正仿宋_GBK" w:cs="方正仿宋_GBK"/>
          <w:color w:val="auto"/>
          <w:kern w:val="0"/>
          <w:sz w:val="32"/>
          <w:szCs w:val="32"/>
          <w:highlight w:val="none"/>
          <w:lang w:bidi="ar"/>
        </w:rPr>
        <w:t>.</w:t>
      </w:r>
      <w:r>
        <w:rPr>
          <w:rFonts w:hint="eastAsia" w:ascii="方正仿宋_GBK" w:hAnsi="方正仿宋_GBK" w:eastAsia="方正仿宋_GBK" w:cs="方正仿宋_GBK"/>
          <w:color w:val="auto"/>
          <w:kern w:val="0"/>
          <w:sz w:val="32"/>
          <w:szCs w:val="32"/>
          <w:highlight w:val="none"/>
          <w:lang w:val="en-US" w:eastAsia="zh-CN" w:bidi="ar"/>
        </w:rPr>
        <w:t>病情记录或</w:t>
      </w:r>
      <w:r>
        <w:rPr>
          <w:rFonts w:hint="eastAsia" w:ascii="方正仿宋_GBK" w:hAnsi="方正仿宋_GBK" w:eastAsia="方正仿宋_GBK" w:cs="方正仿宋_GBK"/>
          <w:color w:val="auto"/>
          <w:kern w:val="0"/>
          <w:sz w:val="32"/>
          <w:szCs w:val="32"/>
          <w:highlight w:val="none"/>
          <w:lang w:bidi="ar"/>
        </w:rPr>
        <w:t>门诊病历</w:t>
      </w:r>
      <w:r>
        <w:rPr>
          <w:rFonts w:hint="eastAsia" w:ascii="方正仿宋_GBK" w:hAnsi="方正仿宋_GBK" w:eastAsia="方正仿宋_GBK" w:cs="方正仿宋_GBK"/>
          <w:color w:val="auto"/>
          <w:kern w:val="0"/>
          <w:sz w:val="32"/>
          <w:szCs w:val="32"/>
          <w:highlight w:val="none"/>
          <w:lang w:val="en-US" w:eastAsia="zh-CN" w:bidi="ar"/>
        </w:rPr>
        <w:t>本复印件</w:t>
      </w:r>
    </w:p>
    <w:p>
      <w:pPr>
        <w:widowControl/>
        <w:spacing w:line="560" w:lineRule="exact"/>
        <w:ind w:firstLine="640" w:firstLineChars="20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3.费用汇总明细清单</w:t>
      </w:r>
    </w:p>
    <w:p>
      <w:pPr>
        <w:widowControl/>
        <w:spacing w:line="560" w:lineRule="exact"/>
        <w:ind w:firstLine="640" w:firstLineChars="200"/>
        <w:jc w:val="left"/>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kern w:val="0"/>
          <w:sz w:val="32"/>
          <w:szCs w:val="32"/>
          <w:highlight w:val="none"/>
          <w:lang w:bidi="ar"/>
        </w:rPr>
        <w:t>未刷卡</w:t>
      </w:r>
      <w:r>
        <w:rPr>
          <w:rFonts w:hint="eastAsia" w:ascii="方正仿宋_GBK" w:hAnsi="方正仿宋_GBK" w:eastAsia="方正仿宋_GBK" w:cs="方正仿宋_GBK"/>
          <w:color w:val="auto"/>
          <w:kern w:val="0"/>
          <w:sz w:val="32"/>
          <w:szCs w:val="32"/>
          <w:highlight w:val="none"/>
          <w:lang w:val="en-US" w:eastAsia="zh-CN" w:bidi="ar"/>
        </w:rPr>
        <w:t>直接结算的情况</w:t>
      </w:r>
      <w:r>
        <w:rPr>
          <w:rFonts w:hint="eastAsia" w:ascii="方正仿宋_GBK" w:hAnsi="方正仿宋_GBK" w:eastAsia="方正仿宋_GBK" w:cs="方正仿宋_GBK"/>
          <w:color w:val="auto"/>
          <w:kern w:val="0"/>
          <w:sz w:val="32"/>
          <w:szCs w:val="32"/>
          <w:highlight w:val="none"/>
          <w:lang w:bidi="ar"/>
        </w:rPr>
        <w:t>说明</w:t>
      </w:r>
    </w:p>
    <w:p>
      <w:pPr>
        <w:widowControl/>
        <w:spacing w:line="560" w:lineRule="exact"/>
        <w:ind w:firstLine="640" w:firstLineChars="200"/>
        <w:jc w:val="lef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bidi="ar"/>
        </w:rPr>
        <w:t>5</w:t>
      </w:r>
      <w:r>
        <w:rPr>
          <w:rFonts w:hint="eastAsia" w:ascii="方正仿宋_GBK" w:hAnsi="方正仿宋_GBK" w:eastAsia="方正仿宋_GBK" w:cs="方正仿宋_GBK"/>
          <w:color w:val="auto"/>
          <w:kern w:val="0"/>
          <w:sz w:val="32"/>
          <w:szCs w:val="32"/>
          <w:highlight w:val="none"/>
          <w:lang w:bidi="ar"/>
        </w:rPr>
        <w:t>.学生证</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bidi="ar"/>
        </w:rPr>
        <w:t>医保卡</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bidi="ar"/>
        </w:rPr>
        <w:t>身份证</w:t>
      </w:r>
      <w:r>
        <w:rPr>
          <w:rFonts w:hint="eastAsia" w:ascii="方正仿宋_GBK" w:hAnsi="方正仿宋_GBK" w:eastAsia="方正仿宋_GBK" w:cs="方正仿宋_GBK"/>
          <w:color w:val="auto"/>
          <w:kern w:val="0"/>
          <w:sz w:val="32"/>
          <w:szCs w:val="32"/>
          <w:highlight w:val="none"/>
          <w:lang w:val="en-US" w:eastAsia="zh-CN" w:bidi="ar"/>
        </w:rPr>
        <w:t>复印件</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 xml:space="preserve">6.实习证明(实习生需提供) </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四</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大学生医保身故补偿费所需材料：</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1.学生死亡证明、户口注销证明（原件）</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2.户口簿学生本人页、受益人页（复印件）</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3.学生本人身份证、受益人身份证（复印件）</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4.医保卡、学生证复印件</w:t>
      </w:r>
    </w:p>
    <w:p>
      <w:pPr>
        <w:widowControl/>
        <w:spacing w:line="560" w:lineRule="exact"/>
        <w:ind w:firstLine="640" w:firstLineChars="20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5.学生在校证明或学籍证明（原件）</w:t>
      </w: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lang w:bidi="ar"/>
        </w:rPr>
      </w:pPr>
      <w:r>
        <w:rPr>
          <w:rFonts w:hint="eastAsia" w:ascii="方正楷体_GBK" w:hAnsi="方正楷体_GBK" w:eastAsia="方正楷体_GBK" w:cs="方正楷体_GBK"/>
          <w:b/>
          <w:bCs/>
          <w:color w:val="auto"/>
          <w:kern w:val="0"/>
          <w:sz w:val="32"/>
          <w:szCs w:val="32"/>
          <w:highlight w:val="none"/>
          <w:lang w:bidi="ar"/>
        </w:rPr>
        <w:t>第十二条</w:t>
      </w:r>
      <w:r>
        <w:rPr>
          <w:rFonts w:hint="eastAsia" w:ascii="方正仿宋_GBK" w:hAnsi="方正仿宋_GBK" w:eastAsia="方正仿宋_GBK" w:cs="方正仿宋_GBK"/>
          <w:b/>
          <w:bCs/>
          <w:color w:val="auto"/>
          <w:kern w:val="0"/>
          <w:sz w:val="32"/>
          <w:szCs w:val="32"/>
          <w:highlight w:val="none"/>
          <w:lang w:bidi="ar"/>
        </w:rPr>
        <w:t xml:space="preserve"> </w:t>
      </w:r>
      <w:r>
        <w:rPr>
          <w:rFonts w:hint="eastAsia" w:ascii="方正仿宋_GBK" w:hAnsi="方正仿宋_GBK" w:eastAsia="方正仿宋_GBK" w:cs="方正仿宋_GBK"/>
          <w:color w:val="auto"/>
          <w:kern w:val="0"/>
          <w:sz w:val="32"/>
          <w:szCs w:val="32"/>
          <w:highlight w:val="none"/>
          <w:lang w:bidi="ar"/>
        </w:rPr>
        <w:t xml:space="preserve"> 住院手工报销流程 </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辅导员</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班主任）</w:t>
      </w:r>
      <w:r>
        <w:rPr>
          <w:rFonts w:hint="eastAsia" w:ascii="方正仿宋_GBK" w:hAnsi="方正仿宋_GBK" w:eastAsia="方正仿宋_GBK" w:cs="方正仿宋_GBK"/>
          <w:color w:val="auto"/>
          <w:kern w:val="0"/>
          <w:sz w:val="32"/>
          <w:szCs w:val="32"/>
          <w:highlight w:val="none"/>
          <w:lang w:bidi="ar"/>
        </w:rPr>
        <w:t xml:space="preserve">将学生住院手工报销材料交学校医务室，医务室将材料报送医保中心审核方可报销，报销款拨付学校后，统一发放至参保学生银行卡账户中。 </w:t>
      </w:r>
    </w:p>
    <w:p>
      <w:pPr>
        <w:widowControl/>
        <w:numPr>
          <w:ilvl w:val="0"/>
          <w:numId w:val="0"/>
        </w:numPr>
        <w:spacing w:line="560" w:lineRule="exact"/>
        <w:ind w:firstLine="643" w:firstLineChars="20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楷体_GBK" w:hAnsi="方正楷体_GBK" w:eastAsia="方正楷体_GBK" w:cs="方正楷体_GBK"/>
          <w:b/>
          <w:bCs/>
          <w:color w:val="auto"/>
          <w:kern w:val="0"/>
          <w:sz w:val="32"/>
          <w:szCs w:val="32"/>
          <w:highlight w:val="none"/>
          <w:lang w:val="en-US" w:eastAsia="zh-CN" w:bidi="ar"/>
        </w:rPr>
        <w:t xml:space="preserve">第十三条  </w:t>
      </w:r>
      <w:r>
        <w:rPr>
          <w:rFonts w:hint="eastAsia" w:ascii="方正仿宋_GBK" w:hAnsi="方正仿宋_GBK" w:eastAsia="方正仿宋_GBK" w:cs="方正仿宋_GBK"/>
          <w:color w:val="auto"/>
          <w:kern w:val="0"/>
          <w:sz w:val="32"/>
          <w:szCs w:val="32"/>
          <w:highlight w:val="none"/>
          <w:lang w:val="en-US" w:eastAsia="zh-CN" w:bidi="ar"/>
        </w:rPr>
        <w:t>社会保障卡办理及服务</w:t>
      </w:r>
    </w:p>
    <w:p>
      <w:pPr>
        <w:widowControl/>
        <w:numPr>
          <w:ilvl w:val="0"/>
          <w:numId w:val="0"/>
        </w:numPr>
        <w:spacing w:line="560" w:lineRule="exact"/>
        <w:ind w:firstLine="64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（一）社会保障卡新申请办理</w:t>
      </w:r>
    </w:p>
    <w:p>
      <w:pPr>
        <w:widowControl/>
        <w:numPr>
          <w:ilvl w:val="0"/>
          <w:numId w:val="0"/>
        </w:numPr>
        <w:spacing w:line="560" w:lineRule="exact"/>
        <w:ind w:firstLine="64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社会保障卡首次制卡，参保学生需提交电子照片（白底、彩色、免冠证件照，JPG格式，尺寸要求441像素（高）*358像素（宽），文件大小为14-64K）、身份证制证日期、有效期等信息，有各二级学院于每年学生参保缴费后采集审核，统计报送学校学生工作处，由学校对年度在校参保学生在云南省人社厅卡中心统一批量办理。</w:t>
      </w:r>
    </w:p>
    <w:p>
      <w:pPr>
        <w:widowControl/>
        <w:numPr>
          <w:ilvl w:val="0"/>
          <w:numId w:val="15"/>
        </w:numPr>
        <w:spacing w:line="560" w:lineRule="exact"/>
        <w:ind w:firstLine="640"/>
        <w:jc w:val="left"/>
        <w:rPr>
          <w:rFonts w:hint="eastAsia"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社会保障卡损坏、遗失补卡</w:t>
      </w:r>
    </w:p>
    <w:p>
      <w:pPr>
        <w:widowControl/>
        <w:numPr>
          <w:ilvl w:val="0"/>
          <w:numId w:val="0"/>
        </w:numPr>
        <w:spacing w:line="560" w:lineRule="exact"/>
        <w:ind w:firstLine="640" w:firstLineChars="20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二代社保卡损坏、遗失后，参保学生可拨打挂失电话12333、0871-67195991对医保卡进行挂失，也可以由本人直接携带身份证到指定的首次办理过的银行网点办理补卡手续。社会保障卡首次制卡、遗失补办都是在银行办理。</w:t>
      </w:r>
    </w:p>
    <w:p>
      <w:pPr>
        <w:widowControl/>
        <w:numPr>
          <w:ilvl w:val="0"/>
          <w:numId w:val="15"/>
        </w:numPr>
        <w:spacing w:line="560" w:lineRule="exact"/>
        <w:ind w:firstLine="64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社会保障卡密码服务、城市转移服务</w:t>
      </w:r>
    </w:p>
    <w:p>
      <w:pPr>
        <w:widowControl/>
        <w:numPr>
          <w:ilvl w:val="0"/>
          <w:numId w:val="0"/>
        </w:numPr>
        <w:spacing w:line="560" w:lineRule="exact"/>
        <w:ind w:firstLine="640" w:firstLineChars="200"/>
        <w:jc w:val="left"/>
        <w:rPr>
          <w:rFonts w:hint="default" w:ascii="方正仿宋_GBK" w:hAnsi="方正仿宋_GBK" w:eastAsia="方正仿宋_GBK" w:cs="方正仿宋_GBK"/>
          <w:color w:val="auto"/>
          <w:kern w:val="0"/>
          <w:sz w:val="32"/>
          <w:szCs w:val="32"/>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bidi="ar"/>
        </w:rPr>
        <w:t>社会保障卡密码服务、城市转移服务在云南省人社厅卡中心，也可到代办点云南省医疗保障政务服务大厅办理。</w:t>
      </w: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lang w:bidi="ar"/>
        </w:rPr>
      </w:pPr>
      <w:r>
        <w:rPr>
          <w:rFonts w:hint="eastAsia" w:ascii="方正楷体_GBK" w:hAnsi="方正楷体_GBK" w:eastAsia="方正楷体_GBK" w:cs="方正楷体_GBK"/>
          <w:b/>
          <w:bCs/>
          <w:color w:val="auto"/>
          <w:kern w:val="0"/>
          <w:sz w:val="32"/>
          <w:szCs w:val="32"/>
          <w:highlight w:val="none"/>
          <w:lang w:bidi="ar"/>
        </w:rPr>
        <w:t>第十</w:t>
      </w:r>
      <w:r>
        <w:rPr>
          <w:rFonts w:hint="eastAsia" w:ascii="方正楷体_GBK" w:hAnsi="方正楷体_GBK" w:eastAsia="方正楷体_GBK" w:cs="方正楷体_GBK"/>
          <w:b/>
          <w:bCs/>
          <w:color w:val="auto"/>
          <w:kern w:val="0"/>
          <w:sz w:val="32"/>
          <w:szCs w:val="32"/>
          <w:highlight w:val="none"/>
          <w:lang w:val="en-US" w:eastAsia="zh-CN" w:bidi="ar"/>
        </w:rPr>
        <w:t>四</w:t>
      </w:r>
      <w:r>
        <w:rPr>
          <w:rFonts w:hint="eastAsia" w:ascii="方正楷体_GBK" w:hAnsi="方正楷体_GBK" w:eastAsia="方正楷体_GBK" w:cs="方正楷体_GBK"/>
          <w:b/>
          <w:bCs/>
          <w:color w:val="auto"/>
          <w:kern w:val="0"/>
          <w:sz w:val="32"/>
          <w:szCs w:val="32"/>
          <w:highlight w:val="none"/>
          <w:lang w:bidi="ar"/>
        </w:rPr>
        <w:t>条</w:t>
      </w:r>
      <w:r>
        <w:rPr>
          <w:rFonts w:hint="eastAsia" w:ascii="方正仿宋_GBK" w:hAnsi="方正仿宋_GBK" w:eastAsia="方正仿宋_GBK" w:cs="方正仿宋_GBK"/>
          <w:b/>
          <w:bCs/>
          <w:color w:val="auto"/>
          <w:kern w:val="0"/>
          <w:sz w:val="32"/>
          <w:szCs w:val="32"/>
          <w:highlight w:val="none"/>
          <w:lang w:bidi="ar"/>
        </w:rPr>
        <w:t xml:space="preserve"> </w:t>
      </w:r>
      <w:r>
        <w:rPr>
          <w:rFonts w:hint="eastAsia" w:ascii="方正仿宋_GBK" w:hAnsi="方正仿宋_GBK" w:eastAsia="方正仿宋_GBK" w:cs="方正仿宋_GBK"/>
          <w:color w:val="auto"/>
          <w:kern w:val="0"/>
          <w:sz w:val="32"/>
          <w:szCs w:val="32"/>
          <w:highlight w:val="none"/>
          <w:lang w:bidi="ar"/>
        </w:rPr>
        <w:t xml:space="preserve"> 其他注意事项 </w:t>
      </w:r>
    </w:p>
    <w:p>
      <w:pPr>
        <w:widowControl/>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（一）大学生医保</w:t>
      </w:r>
      <w:r>
        <w:rPr>
          <w:rFonts w:hint="eastAsia" w:ascii="方正仿宋_GBK" w:hAnsi="方正仿宋_GBK" w:eastAsia="方正仿宋_GBK" w:cs="方正仿宋_GBK"/>
          <w:color w:val="auto"/>
          <w:kern w:val="0"/>
          <w:sz w:val="32"/>
          <w:szCs w:val="32"/>
          <w:highlight w:val="none"/>
          <w:lang w:val="en-US" w:eastAsia="zh-CN" w:bidi="ar"/>
        </w:rPr>
        <w:t>住院</w:t>
      </w:r>
      <w:r>
        <w:rPr>
          <w:rFonts w:hint="eastAsia" w:ascii="方正仿宋_GBK" w:hAnsi="方正仿宋_GBK" w:eastAsia="方正仿宋_GBK" w:cs="方正仿宋_GBK"/>
          <w:color w:val="auto"/>
          <w:kern w:val="0"/>
          <w:sz w:val="32"/>
          <w:szCs w:val="32"/>
          <w:highlight w:val="none"/>
          <w:lang w:bidi="ar"/>
        </w:rPr>
        <w:t xml:space="preserve">报销比例一般在90%左右，报销比例明显高于新农合，同时参保大学生医保和新农合的学生，建议优先选择大学生医保进行报销，若已经在新农合报销医保者，则不能通过大学生医保进行报销。 </w:t>
      </w:r>
    </w:p>
    <w:p>
      <w:pPr>
        <w:widowControl/>
        <w:spacing w:line="560" w:lineRule="exact"/>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lang w:bidi="ar"/>
        </w:rPr>
        <w:t xml:space="preserve">    （二）</w:t>
      </w:r>
      <w:r>
        <w:rPr>
          <w:rFonts w:hint="eastAsia" w:ascii="方正仿宋_GBK" w:hAnsi="方正仿宋_GBK" w:eastAsia="方正仿宋_GBK" w:cs="方正仿宋_GBK"/>
          <w:color w:val="auto"/>
          <w:kern w:val="0"/>
          <w:sz w:val="32"/>
          <w:szCs w:val="32"/>
          <w:highlight w:val="none"/>
          <w:lang w:val="en-US" w:eastAsia="zh-CN" w:bidi="ar"/>
        </w:rPr>
        <w:t>云南省</w:t>
      </w:r>
      <w:r>
        <w:rPr>
          <w:rFonts w:hint="eastAsia" w:ascii="方正仿宋_GBK" w:hAnsi="方正仿宋_GBK" w:eastAsia="方正仿宋_GBK" w:cs="方正仿宋_GBK"/>
          <w:color w:val="auto"/>
          <w:kern w:val="0"/>
          <w:sz w:val="32"/>
          <w:szCs w:val="32"/>
          <w:highlight w:val="none"/>
          <w:lang w:bidi="ar"/>
        </w:rPr>
        <w:t>大学生医保相关信息查询可通过</w:t>
      </w:r>
      <w:r>
        <w:rPr>
          <w:rFonts w:hint="eastAsia" w:ascii="方正仿宋_GBK" w:hAnsi="方正仿宋_GBK" w:eastAsia="方正仿宋_GBK" w:cs="方正仿宋_GBK"/>
          <w:color w:val="auto"/>
          <w:kern w:val="0"/>
          <w:sz w:val="32"/>
          <w:szCs w:val="32"/>
          <w:highlight w:val="none"/>
          <w:lang w:val="en-US" w:eastAsia="zh-CN" w:bidi="ar"/>
        </w:rPr>
        <w:t>云南省医疗保障局官网</w:t>
      </w:r>
      <w:r>
        <w:rPr>
          <w:rFonts w:hint="eastAsia" w:ascii="方正仿宋_GBK" w:hAnsi="方正仿宋_GBK" w:eastAsia="方正仿宋_GBK" w:cs="方正仿宋_GBK"/>
          <w:color w:val="auto"/>
          <w:kern w:val="0"/>
          <w:sz w:val="32"/>
          <w:szCs w:val="32"/>
          <w:highlight w:val="none"/>
          <w:lang w:bidi="ar"/>
        </w:rPr>
        <w:t>(网址</w:t>
      </w:r>
      <w:r>
        <w:rPr>
          <w:rFonts w:hint="eastAsia" w:ascii="方正仿宋_GBK" w:hAnsi="方正仿宋_GBK" w:eastAsia="方正仿宋_GBK" w:cs="方正仿宋_GBK"/>
          <w:color w:val="auto"/>
          <w:kern w:val="0"/>
          <w:sz w:val="32"/>
          <w:szCs w:val="32"/>
          <w:highlight w:val="none"/>
          <w:lang w:val="en-US" w:eastAsia="zh-CN" w:bidi="ar"/>
        </w:rPr>
        <w:t>http://</w:t>
      </w:r>
      <w:r>
        <w:rPr>
          <w:rFonts w:hint="eastAsia" w:ascii="方正仿宋_GBK" w:hAnsi="方正仿宋_GBK" w:eastAsia="方正仿宋_GBK" w:cs="方正仿宋_GBK"/>
          <w:color w:val="auto"/>
          <w:kern w:val="0"/>
          <w:sz w:val="32"/>
          <w:szCs w:val="32"/>
          <w:highlight w:val="none"/>
          <w:lang w:bidi="ar"/>
        </w:rPr>
        <w:t>y</w:t>
      </w:r>
      <w:r>
        <w:rPr>
          <w:rFonts w:hint="eastAsia" w:ascii="方正仿宋_GBK" w:hAnsi="方正仿宋_GBK" w:eastAsia="方正仿宋_GBK" w:cs="方正仿宋_GBK"/>
          <w:color w:val="auto"/>
          <w:kern w:val="0"/>
          <w:sz w:val="32"/>
          <w:szCs w:val="32"/>
          <w:highlight w:val="none"/>
          <w:lang w:val="en-US" w:eastAsia="zh-CN" w:bidi="ar"/>
        </w:rPr>
        <w:t>lbz.yn</w:t>
      </w:r>
      <w:r>
        <w:rPr>
          <w:rFonts w:hint="eastAsia" w:ascii="方正仿宋_GBK" w:hAnsi="方正仿宋_GBK" w:eastAsia="方正仿宋_GBK" w:cs="方正仿宋_GBK"/>
          <w:color w:val="auto"/>
          <w:kern w:val="0"/>
          <w:sz w:val="32"/>
          <w:szCs w:val="32"/>
          <w:highlight w:val="none"/>
          <w:lang w:bidi="ar"/>
        </w:rPr>
        <w:t>.gov.cn</w:t>
      </w:r>
      <w:r>
        <w:rPr>
          <w:rFonts w:hint="eastAsia" w:ascii="方正仿宋_GBK" w:hAnsi="方正仿宋_GBK" w:eastAsia="方正仿宋_GBK" w:cs="方正仿宋_GBK"/>
          <w:color w:val="auto"/>
          <w:kern w:val="0"/>
          <w:sz w:val="32"/>
          <w:szCs w:val="32"/>
          <w:highlight w:val="none"/>
          <w:lang w:val="en-US" w:eastAsia="zh-CN" w:bidi="ar"/>
        </w:rPr>
        <w:t>/</w:t>
      </w:r>
      <w:r>
        <w:rPr>
          <w:rFonts w:hint="eastAsia" w:ascii="方正仿宋_GBK" w:hAnsi="方正仿宋_GBK" w:eastAsia="方正仿宋_GBK" w:cs="方正仿宋_GBK"/>
          <w:color w:val="auto"/>
          <w:kern w:val="0"/>
          <w:sz w:val="32"/>
          <w:szCs w:val="32"/>
          <w:highlight w:val="none"/>
          <w:lang w:bidi="ar"/>
        </w:rPr>
        <w:t>)、“</w:t>
      </w:r>
      <w:r>
        <w:rPr>
          <w:rFonts w:hint="eastAsia" w:ascii="方正仿宋_GBK" w:hAnsi="方正仿宋_GBK" w:eastAsia="方正仿宋_GBK" w:cs="方正仿宋_GBK"/>
          <w:color w:val="auto"/>
          <w:kern w:val="0"/>
          <w:sz w:val="32"/>
          <w:szCs w:val="32"/>
          <w:highlight w:val="none"/>
          <w:lang w:val="en-US" w:eastAsia="zh-CN" w:bidi="ar"/>
        </w:rPr>
        <w:t>国家医保服务平台</w:t>
      </w:r>
      <w:r>
        <w:rPr>
          <w:rFonts w:hint="eastAsia" w:ascii="方正仿宋_GBK" w:hAnsi="方正仿宋_GBK" w:eastAsia="方正仿宋_GBK" w:cs="方正仿宋_GBK"/>
          <w:color w:val="auto"/>
          <w:kern w:val="0"/>
          <w:sz w:val="32"/>
          <w:szCs w:val="32"/>
          <w:highlight w:val="none"/>
          <w:lang w:bidi="ar"/>
        </w:rPr>
        <w:t>”APP、</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医保助手</w:t>
      </w:r>
      <w:r>
        <w:rPr>
          <w:rFonts w:hint="eastAsia" w:ascii="方正仿宋_GBK" w:hAnsi="方正仿宋_GBK" w:eastAsia="方正仿宋_GBK" w:cs="方正仿宋_GBK"/>
          <w:color w:val="auto"/>
          <w:kern w:val="0"/>
          <w:sz w:val="32"/>
          <w:szCs w:val="32"/>
          <w:highlight w:val="none"/>
          <w:lang w:eastAsia="zh-CN" w:bidi="ar"/>
        </w:rPr>
        <w:t>”</w:t>
      </w:r>
      <w:r>
        <w:rPr>
          <w:rFonts w:hint="eastAsia" w:ascii="方正仿宋_GBK" w:hAnsi="方正仿宋_GBK" w:eastAsia="方正仿宋_GBK" w:cs="方正仿宋_GBK"/>
          <w:color w:val="auto"/>
          <w:kern w:val="0"/>
          <w:sz w:val="32"/>
          <w:szCs w:val="32"/>
          <w:highlight w:val="none"/>
          <w:lang w:val="en-US" w:eastAsia="zh-CN" w:bidi="ar"/>
        </w:rPr>
        <w:t>APP等</w:t>
      </w:r>
      <w:r>
        <w:rPr>
          <w:rFonts w:hint="eastAsia" w:ascii="方正仿宋_GBK" w:hAnsi="方正仿宋_GBK" w:eastAsia="方正仿宋_GBK" w:cs="方正仿宋_GBK"/>
          <w:color w:val="auto"/>
          <w:kern w:val="0"/>
          <w:sz w:val="32"/>
          <w:szCs w:val="32"/>
          <w:highlight w:val="none"/>
          <w:lang w:bidi="ar"/>
        </w:rPr>
        <w:t xml:space="preserve">进行查询。 </w:t>
      </w:r>
    </w:p>
    <w:p>
      <w:pPr>
        <w:widowControl/>
        <w:spacing w:line="560" w:lineRule="exact"/>
        <w:ind w:firstLine="640" w:firstLineChars="200"/>
        <w:jc w:val="left"/>
        <w:rPr>
          <w:rFonts w:hint="eastAsia" w:ascii="方正仿宋_GBK" w:hAnsi="方正仿宋_GBK" w:eastAsia="方正仿宋_GBK" w:cs="方正仿宋_GBK"/>
          <w:color w:val="auto"/>
          <w:kern w:val="0"/>
          <w:sz w:val="32"/>
          <w:szCs w:val="32"/>
          <w:highlight w:val="none"/>
          <w:lang w:bidi="ar"/>
        </w:rPr>
      </w:pPr>
      <w:r>
        <w:rPr>
          <w:rFonts w:hint="eastAsia" w:ascii="方正仿宋_GBK" w:hAnsi="方正仿宋_GBK" w:eastAsia="方正仿宋_GBK" w:cs="方正仿宋_GBK"/>
          <w:color w:val="auto"/>
          <w:kern w:val="0"/>
          <w:sz w:val="32"/>
          <w:szCs w:val="32"/>
          <w:highlight w:val="none"/>
          <w:lang w:bidi="ar"/>
        </w:rPr>
        <w:t>（三）</w:t>
      </w:r>
      <w:r>
        <w:rPr>
          <w:rFonts w:hint="eastAsia" w:ascii="方正仿宋_GBK" w:hAnsi="方正仿宋_GBK" w:eastAsia="方正仿宋_GBK" w:cs="方正仿宋_GBK"/>
          <w:color w:val="auto"/>
          <w:kern w:val="0"/>
          <w:sz w:val="32"/>
          <w:szCs w:val="32"/>
          <w:highlight w:val="none"/>
          <w:lang w:val="en-US" w:eastAsia="zh-CN" w:bidi="ar"/>
        </w:rPr>
        <w:t>本办法</w:t>
      </w:r>
      <w:r>
        <w:rPr>
          <w:rFonts w:hint="eastAsia" w:ascii="方正仿宋_GBK" w:hAnsi="方正仿宋_GBK" w:eastAsia="方正仿宋_GBK" w:cs="方正仿宋_GBK"/>
          <w:color w:val="auto"/>
          <w:kern w:val="0"/>
          <w:sz w:val="32"/>
          <w:szCs w:val="32"/>
          <w:highlight w:val="none"/>
          <w:lang w:bidi="ar"/>
        </w:rPr>
        <w:t>依据云南省医保中心现行管理规定及要求拟定，具体细则依据最新管理规定为准。</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第十</w:t>
      </w:r>
      <w:r>
        <w:rPr>
          <w:rFonts w:hint="eastAsia" w:ascii="方正楷体_GBK" w:hAnsi="仿宋" w:eastAsia="方正楷体_GBK"/>
          <w:b/>
          <w:color w:val="auto"/>
          <w:sz w:val="32"/>
          <w:szCs w:val="32"/>
          <w:highlight w:val="none"/>
          <w:lang w:val="en-US" w:eastAsia="zh-CN"/>
        </w:rPr>
        <w:t>五</w:t>
      </w:r>
      <w:r>
        <w:rPr>
          <w:rFonts w:hint="eastAsia" w:ascii="方正楷体_GBK" w:hAnsi="仿宋" w:eastAsia="方正楷体_GBK"/>
          <w:b/>
          <w:color w:val="auto"/>
          <w:sz w:val="32"/>
          <w:szCs w:val="32"/>
          <w:highlight w:val="none"/>
        </w:rPr>
        <w:t>条</w:t>
      </w:r>
      <w:r>
        <w:rPr>
          <w:rFonts w:hint="eastAsia" w:ascii="方正仿宋_GBK" w:hAnsi="仿宋" w:eastAsia="方正仿宋_GBK"/>
          <w:color w:val="auto"/>
          <w:sz w:val="32"/>
          <w:szCs w:val="32"/>
          <w:highlight w:val="none"/>
        </w:rPr>
        <w:t xml:space="preserve">  本办法由学生工作处负责解释。</w:t>
      </w:r>
    </w:p>
    <w:p>
      <w:pPr>
        <w:spacing w:line="560" w:lineRule="exact"/>
        <w:ind w:firstLine="643" w:firstLineChars="200"/>
        <w:rPr>
          <w:rFonts w:hint="default" w:ascii="方正仿宋_GBK" w:hAnsi="仿宋" w:eastAsia="方正仿宋_GBK"/>
          <w:color w:val="auto"/>
          <w:sz w:val="32"/>
          <w:szCs w:val="32"/>
          <w:highlight w:val="none"/>
          <w:lang w:val="en-US" w:eastAsia="zh-CN"/>
        </w:rPr>
      </w:pPr>
      <w:r>
        <w:rPr>
          <w:rFonts w:hint="eastAsia" w:ascii="方正楷体_GBK" w:hAnsi="仿宋" w:eastAsia="方正楷体_GBK"/>
          <w:b/>
          <w:color w:val="auto"/>
          <w:sz w:val="32"/>
          <w:szCs w:val="32"/>
          <w:highlight w:val="none"/>
        </w:rPr>
        <w:t>第十</w:t>
      </w:r>
      <w:r>
        <w:rPr>
          <w:rFonts w:hint="eastAsia" w:ascii="方正楷体_GBK" w:hAnsi="仿宋" w:eastAsia="方正楷体_GBK"/>
          <w:b/>
          <w:color w:val="auto"/>
          <w:sz w:val="32"/>
          <w:szCs w:val="32"/>
          <w:highlight w:val="none"/>
          <w:lang w:val="en-US" w:eastAsia="zh-CN"/>
        </w:rPr>
        <w:t>六</w:t>
      </w:r>
      <w:r>
        <w:rPr>
          <w:rFonts w:hint="eastAsia" w:ascii="方正楷体_GBK" w:hAnsi="仿宋" w:eastAsia="方正楷体_GBK"/>
          <w:b/>
          <w:color w:val="auto"/>
          <w:sz w:val="32"/>
          <w:szCs w:val="32"/>
          <w:highlight w:val="none"/>
        </w:rPr>
        <w:t>条</w:t>
      </w:r>
      <w:r>
        <w:rPr>
          <w:rFonts w:hint="eastAsia" w:ascii="方正仿宋_GBK" w:hAnsi="仿宋" w:eastAsia="方正仿宋_GBK"/>
          <w:color w:val="auto"/>
          <w:sz w:val="32"/>
          <w:szCs w:val="32"/>
          <w:highlight w:val="none"/>
        </w:rPr>
        <w:t xml:space="preserve">  本办法自202</w:t>
      </w:r>
      <w:r>
        <w:rPr>
          <w:rFonts w:hint="eastAsia" w:ascii="方正仿宋_GBK" w:hAnsi="仿宋" w:eastAsia="方正仿宋_GBK"/>
          <w:color w:val="auto"/>
          <w:sz w:val="32"/>
          <w:szCs w:val="32"/>
          <w:highlight w:val="none"/>
          <w:lang w:val="en-US" w:eastAsia="zh-CN"/>
        </w:rPr>
        <w:t>2</w:t>
      </w:r>
      <w:r>
        <w:rPr>
          <w:rFonts w:hint="eastAsia" w:ascii="方正仿宋_GBK" w:hAnsi="仿宋" w:eastAsia="方正仿宋_GBK"/>
          <w:color w:val="auto"/>
          <w:sz w:val="32"/>
          <w:szCs w:val="32"/>
          <w:highlight w:val="none"/>
        </w:rPr>
        <w:t>年9月1日</w:t>
      </w:r>
      <w:r>
        <w:rPr>
          <w:rFonts w:hint="eastAsia" w:ascii="方正仿宋_GBK" w:hAnsi="仿宋" w:eastAsia="方正仿宋_GBK"/>
          <w:color w:val="auto"/>
          <w:sz w:val="32"/>
          <w:szCs w:val="32"/>
          <w:highlight w:val="none"/>
          <w:lang w:val="en-US" w:eastAsia="zh-CN"/>
        </w:rPr>
        <w:t>实施。</w:t>
      </w:r>
    </w:p>
    <w:p>
      <w:pPr>
        <w:pStyle w:val="2"/>
        <w:spacing w:before="156" w:line="560" w:lineRule="exact"/>
        <w:ind w:firstLine="0" w:firstLineChars="0"/>
        <w:rPr>
          <w:rFonts w:hint="eastAsia" w:ascii="方正小标宋_GBK" w:hAnsi="方正小标宋_GBK" w:eastAsia="方正小标宋_GBK" w:cs="方正小标宋_GBK"/>
          <w:bCs/>
          <w:color w:val="auto"/>
          <w:kern w:val="2"/>
          <w:sz w:val="32"/>
          <w:szCs w:val="32"/>
          <w:highlight w:val="none"/>
        </w:rPr>
      </w:pPr>
    </w:p>
    <w:p>
      <w:pPr>
        <w:rPr>
          <w:rFonts w:hint="eastAsia"/>
        </w:rPr>
      </w:pPr>
    </w:p>
    <w:p>
      <w:pPr>
        <w:pStyle w:val="2"/>
        <w:spacing w:before="156" w:line="560" w:lineRule="exact"/>
        <w:ind w:firstLine="0" w:firstLineChars="0"/>
        <w:rPr>
          <w:rFonts w:ascii="方正小标宋_GBK" w:hAnsi="方正小标宋_GBK" w:eastAsia="方正小标宋_GBK" w:cs="方正小标宋_GBK"/>
          <w:bCs/>
          <w:color w:val="auto"/>
          <w:kern w:val="2"/>
          <w:szCs w:val="36"/>
          <w:highlight w:val="none"/>
        </w:rPr>
      </w:pPr>
      <w:bookmarkStart w:id="217" w:name="_Toc18340"/>
      <w:r>
        <w:rPr>
          <w:rFonts w:hint="eastAsia" w:ascii="方正小标宋_GBK" w:hAnsi="方正小标宋_GBK" w:eastAsia="方正小标宋_GBK" w:cs="方正小标宋_GBK"/>
          <w:bCs/>
          <w:color w:val="auto"/>
          <w:kern w:val="2"/>
          <w:szCs w:val="36"/>
          <w:highlight w:val="none"/>
        </w:rPr>
        <w:t>云南城市建设职业学院学生</w:t>
      </w:r>
      <w:r>
        <w:rPr>
          <w:rFonts w:hint="eastAsia" w:ascii="方正小标宋_GBK" w:hAnsi="方正小标宋_GBK" w:eastAsia="方正小标宋_GBK" w:cs="方正小标宋_GBK"/>
          <w:bCs/>
          <w:color w:val="auto"/>
          <w:kern w:val="2"/>
          <w:szCs w:val="36"/>
          <w:highlight w:val="none"/>
          <w:lang w:val="en-US" w:eastAsia="zh-CN"/>
        </w:rPr>
        <w:t>保险</w:t>
      </w:r>
      <w:r>
        <w:rPr>
          <w:rFonts w:hint="eastAsia" w:ascii="方正小标宋_GBK" w:hAnsi="方正小标宋_GBK" w:eastAsia="方正小标宋_GBK" w:cs="方正小标宋_GBK"/>
          <w:bCs/>
          <w:color w:val="auto"/>
          <w:kern w:val="2"/>
          <w:szCs w:val="36"/>
          <w:highlight w:val="none"/>
        </w:rPr>
        <w:t>工作细则（修订）</w:t>
      </w:r>
      <w:bookmarkEnd w:id="217"/>
    </w:p>
    <w:p>
      <w:pPr>
        <w:spacing w:line="560" w:lineRule="exact"/>
        <w:jc w:val="center"/>
        <w:rPr>
          <w:rFonts w:ascii="方正黑体_GBK" w:eastAsia="方正黑体_GBK"/>
          <w:color w:val="auto"/>
          <w:sz w:val="32"/>
          <w:szCs w:val="32"/>
          <w:highlight w:val="none"/>
        </w:rPr>
      </w:pPr>
    </w:p>
    <w:p>
      <w:pPr>
        <w:spacing w:line="560" w:lineRule="exact"/>
        <w:ind w:firstLine="640" w:firstLineChars="200"/>
        <w:rPr>
          <w:rFonts w:ascii="方正仿宋_GBK" w:hAnsi="仿宋" w:eastAsia="方正仿宋_GBK"/>
          <w:color w:val="auto"/>
          <w:sz w:val="32"/>
          <w:szCs w:val="32"/>
          <w:highlight w:val="none"/>
        </w:rPr>
      </w:pPr>
      <w:r>
        <w:rPr>
          <w:rFonts w:hint="eastAsia" w:ascii="方正仿宋_GBK" w:eastAsia="方正仿宋_GBK"/>
          <w:color w:val="auto"/>
          <w:sz w:val="32"/>
          <w:szCs w:val="32"/>
          <w:highlight w:val="none"/>
        </w:rPr>
        <w:t>为积极预防学校各类安全风险，妥善处理学生伤害事故，最大限度保护师生和学校的合法权益，切实维护学校的正常教学秩序、保障学生健康成长，</w:t>
      </w:r>
      <w:r>
        <w:rPr>
          <w:rFonts w:hint="eastAsia" w:ascii="方正仿宋_GBK" w:hAnsi="仿宋" w:eastAsia="方正仿宋_GBK"/>
          <w:color w:val="auto"/>
          <w:sz w:val="32"/>
          <w:szCs w:val="32"/>
          <w:highlight w:val="none"/>
        </w:rPr>
        <w:t>结合学校工作实际，制定本细则。</w:t>
      </w:r>
    </w:p>
    <w:p>
      <w:pPr>
        <w:spacing w:line="560" w:lineRule="exact"/>
        <w:jc w:val="center"/>
        <w:rPr>
          <w:rFonts w:ascii="黑体" w:hAnsi="黑体" w:eastAsia="黑体" w:cs="黑体"/>
          <w:b/>
          <w:bCs/>
          <w:color w:val="auto"/>
          <w:sz w:val="32"/>
          <w:szCs w:val="32"/>
          <w:highlight w:val="none"/>
        </w:rPr>
      </w:pPr>
    </w:p>
    <w:p>
      <w:pPr>
        <w:pStyle w:val="3"/>
        <w:spacing w:line="560" w:lineRule="exact"/>
        <w:rPr>
          <w:rFonts w:ascii="方正黑体_GBK" w:hAnsi="方正黑体_GBK" w:eastAsia="方正黑体_GBK" w:cs="方正黑体_GBK"/>
          <w:b/>
          <w:color w:val="auto"/>
          <w:highlight w:val="none"/>
        </w:rPr>
      </w:pPr>
      <w:bookmarkStart w:id="218" w:name="_Toc1588"/>
      <w:bookmarkStart w:id="219" w:name="_Toc15398632"/>
      <w:r>
        <w:rPr>
          <w:rFonts w:hint="eastAsia" w:ascii="方正黑体_GBK" w:hAnsi="方正黑体_GBK" w:eastAsia="方正黑体_GBK" w:cs="方正黑体_GBK"/>
          <w:b/>
          <w:color w:val="auto"/>
          <w:highlight w:val="none"/>
        </w:rPr>
        <w:t>第一章  总则</w:t>
      </w:r>
      <w:bookmarkEnd w:id="218"/>
      <w:bookmarkEnd w:id="219"/>
    </w:p>
    <w:p>
      <w:pPr>
        <w:spacing w:line="560" w:lineRule="exact"/>
        <w:rPr>
          <w:rFonts w:ascii="方正黑体_GBK" w:eastAsia="方正黑体_GBK"/>
          <w:color w:val="auto"/>
          <w:sz w:val="32"/>
          <w:szCs w:val="32"/>
          <w:highlight w:val="none"/>
        </w:rPr>
      </w:pP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楷体_GBK" w:hAnsi="仿宋" w:eastAsia="方正楷体_GBK"/>
          <w:b/>
          <w:color w:val="auto"/>
          <w:sz w:val="32"/>
          <w:szCs w:val="32"/>
          <w:highlight w:val="none"/>
        </w:rPr>
        <w:t>第一条</w:t>
      </w:r>
      <w:r>
        <w:rPr>
          <w:rFonts w:hint="eastAsia" w:ascii="方正楷体_GBK" w:hAnsi="仿宋" w:eastAsia="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本细则所称保险工作，是指学校为保障学生基本医疗需求，积极有效防范学校各类安全风险，增强学生安全保障力度而代学生购买的政策性医疗保险和商业保险。</w:t>
      </w:r>
    </w:p>
    <w:p>
      <w:pPr>
        <w:widowControl/>
        <w:spacing w:line="560" w:lineRule="exact"/>
        <w:ind w:firstLine="643"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楷体_GBK" w:hAnsi="仿宋" w:eastAsia="方正楷体_GBK"/>
          <w:b/>
          <w:color w:val="auto"/>
          <w:sz w:val="32"/>
          <w:szCs w:val="32"/>
          <w:highlight w:val="none"/>
        </w:rPr>
        <w:t>第二条</w:t>
      </w:r>
      <w:r>
        <w:rPr>
          <w:rFonts w:hint="eastAsia" w:ascii="方正楷体_GBK" w:hAnsi="仿宋" w:eastAsia="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后勤管理处、保卫处</w:t>
      </w:r>
      <w:r>
        <w:rPr>
          <w:rFonts w:hint="eastAsia" w:ascii="方正仿宋_GBK" w:hAnsi="方正仿宋_GBK" w:eastAsia="方正仿宋_GBK" w:cs="方正仿宋_GBK"/>
          <w:color w:val="auto"/>
          <w:sz w:val="32"/>
          <w:szCs w:val="32"/>
          <w:highlight w:val="none"/>
          <w:lang w:val="en-US" w:eastAsia="zh-CN"/>
        </w:rPr>
        <w:t>会</w:t>
      </w:r>
      <w:r>
        <w:rPr>
          <w:rFonts w:hint="eastAsia" w:ascii="方正仿宋_GBK" w:hAnsi="方正仿宋_GBK" w:eastAsia="方正仿宋_GBK" w:cs="方正仿宋_GBK"/>
          <w:color w:val="auto"/>
          <w:sz w:val="32"/>
          <w:szCs w:val="32"/>
          <w:highlight w:val="none"/>
        </w:rPr>
        <w:t>同学校学生工作管理部门在各自职权范围内负责全校学生的保险工作。学生工作处负责学生保险的统筹协调及督导工作。</w:t>
      </w: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lang w:bidi="ar"/>
        </w:rPr>
      </w:pPr>
      <w:r>
        <w:rPr>
          <w:rFonts w:hint="eastAsia" w:ascii="方正楷体_GBK" w:hAnsi="仿宋" w:eastAsia="方正楷体_GBK"/>
          <w:b/>
          <w:color w:val="auto"/>
          <w:sz w:val="32"/>
          <w:szCs w:val="32"/>
          <w:highlight w:val="none"/>
        </w:rPr>
        <w:t>第三条</w:t>
      </w:r>
      <w:r>
        <w:rPr>
          <w:rFonts w:hint="eastAsia" w:ascii="方正楷体_GBK" w:hAnsi="仿宋" w:eastAsia="方正楷体_GBK"/>
          <w:color w:val="auto"/>
          <w:sz w:val="32"/>
          <w:szCs w:val="32"/>
          <w:highlight w:val="none"/>
        </w:rPr>
        <w:t xml:space="preserve">  </w:t>
      </w:r>
      <w:r>
        <w:rPr>
          <w:rFonts w:hint="eastAsia" w:ascii="方正仿宋_GBK" w:hAnsi="方正仿宋_GBK" w:eastAsia="方正仿宋_GBK" w:cs="方正仿宋_GBK"/>
          <w:color w:val="auto"/>
          <w:kern w:val="0"/>
          <w:sz w:val="32"/>
          <w:szCs w:val="32"/>
          <w:highlight w:val="none"/>
          <w:lang w:bidi="ar"/>
        </w:rPr>
        <w:t>二级学院应当采取有效措施，做好</w:t>
      </w:r>
      <w:r>
        <w:rPr>
          <w:rFonts w:hint="eastAsia" w:ascii="方正仿宋_GBK" w:hAnsi="方正仿宋_GBK" w:eastAsia="方正仿宋_GBK" w:cs="方正仿宋_GBK"/>
          <w:color w:val="auto"/>
          <w:sz w:val="32"/>
          <w:szCs w:val="32"/>
          <w:highlight w:val="none"/>
        </w:rPr>
        <w:t>学生保险工作的宣传、培训、考核及学生投（续）保资格审核等工作。</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仿宋" w:eastAsia="方正楷体_GBK"/>
          <w:b/>
          <w:color w:val="auto"/>
          <w:sz w:val="32"/>
          <w:szCs w:val="32"/>
          <w:highlight w:val="none"/>
        </w:rPr>
        <w:t>第四条</w:t>
      </w:r>
      <w:r>
        <w:rPr>
          <w:rFonts w:hint="eastAsia" w:ascii="方正仿宋_GBK" w:hAnsi="方正仿宋_GBK" w:eastAsia="方正仿宋_GBK" w:cs="方正仿宋_GBK"/>
          <w:color w:val="auto"/>
          <w:sz w:val="32"/>
          <w:szCs w:val="32"/>
          <w:highlight w:val="none"/>
        </w:rPr>
        <w:t xml:space="preserve">  辅导员（班主任）是学生保险工作的第一责任人，应当按照学校有关部门的要求做好学生保险的投保、续保、停保及协助报销（理赔）等工作。</w:t>
      </w: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第五条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本细则所称的学生保险主要包括大学生基本医疗保险、学生平安保险和校方责任险。不包括因教学或其他工作需要所购买的保险。</w:t>
      </w:r>
    </w:p>
    <w:p>
      <w:pPr>
        <w:spacing w:line="560" w:lineRule="exact"/>
        <w:ind w:firstLine="640"/>
        <w:rPr>
          <w:rFonts w:ascii="方正仿宋_GBK" w:hAnsi="方正仿宋_GBK" w:eastAsia="方正仿宋_GBK" w:cs="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220" w:name="_Toc15398633"/>
      <w:bookmarkStart w:id="221" w:name="_Toc4210"/>
      <w:r>
        <w:rPr>
          <w:rFonts w:hint="eastAsia" w:ascii="方正黑体_GBK" w:hAnsi="方正黑体_GBK" w:eastAsia="方正黑体_GBK" w:cs="方正黑体_GBK"/>
          <w:b/>
          <w:bCs w:val="0"/>
          <w:color w:val="auto"/>
          <w:highlight w:val="none"/>
        </w:rPr>
        <w:t>第二章  大学生基本医疗保险</w:t>
      </w:r>
      <w:bookmarkEnd w:id="220"/>
      <w:bookmarkEnd w:id="221"/>
    </w:p>
    <w:p>
      <w:pPr>
        <w:spacing w:line="560" w:lineRule="exact"/>
        <w:jc w:val="center"/>
        <w:rPr>
          <w:rFonts w:ascii="方正黑体_GBK" w:eastAsia="方正黑体_GBK"/>
          <w:color w:val="auto"/>
          <w:sz w:val="32"/>
          <w:szCs w:val="32"/>
          <w:highlight w:val="none"/>
        </w:rPr>
      </w:pP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第六条</w:t>
      </w:r>
      <w:r>
        <w:rPr>
          <w:rFonts w:hint="eastAsia" w:ascii="方正仿宋_GBK" w:hAnsi="仿宋" w:eastAsia="方正仿宋_GBK"/>
          <w:color w:val="auto"/>
          <w:sz w:val="32"/>
          <w:szCs w:val="32"/>
          <w:highlight w:val="none"/>
        </w:rPr>
        <w:t xml:space="preserve">  大学生基本医疗保险参保对象</w:t>
      </w:r>
      <w:r>
        <w:rPr>
          <w:rFonts w:hint="eastAsia" w:ascii="方正仿宋_GBK" w:hAnsi="方正仿宋_GBK" w:eastAsia="方正仿宋_GBK" w:cs="方正仿宋_GBK"/>
          <w:color w:val="auto"/>
          <w:kern w:val="0"/>
          <w:sz w:val="32"/>
          <w:szCs w:val="32"/>
          <w:highlight w:val="none"/>
        </w:rPr>
        <w:t>是学校依据国家有关政策招收的具有全日制学籍的专科学生，包括三年制大专</w:t>
      </w:r>
      <w:r>
        <w:rPr>
          <w:rFonts w:hint="eastAsia" w:ascii="方正仿宋_GBK" w:hAnsi="仿宋" w:eastAsia="方正仿宋_GBK"/>
          <w:color w:val="auto"/>
          <w:sz w:val="32"/>
          <w:szCs w:val="32"/>
          <w:highlight w:val="none"/>
        </w:rPr>
        <w:t>和五年制大专学生。</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第七条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大学生基本医疗保险按</w:t>
      </w:r>
      <w:r>
        <w:rPr>
          <w:rFonts w:hint="eastAsia" w:ascii="方正仿宋_GBK" w:hAnsi="仿宋" w:eastAsia="方正仿宋_GBK"/>
          <w:bCs/>
          <w:color w:val="auto"/>
          <w:sz w:val="32"/>
          <w:szCs w:val="32"/>
          <w:highlight w:val="none"/>
        </w:rPr>
        <w:t>自然年度自愿</w:t>
      </w:r>
      <w:r>
        <w:rPr>
          <w:rFonts w:hint="eastAsia" w:ascii="方正仿宋_GBK" w:hAnsi="仿宋" w:eastAsia="方正仿宋_GBK"/>
          <w:color w:val="auto"/>
          <w:sz w:val="32"/>
          <w:szCs w:val="32"/>
          <w:highlight w:val="none"/>
        </w:rPr>
        <w:t>参保，缴费标准按照省级医疗保险部门当年公布的缴费标准执行，由学校统一代收代缴。</w:t>
      </w:r>
    </w:p>
    <w:p>
      <w:pPr>
        <w:spacing w:line="560" w:lineRule="exact"/>
        <w:ind w:firstLine="645"/>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第八条</w:t>
      </w:r>
      <w:r>
        <w:rPr>
          <w:rFonts w:hint="eastAsia" w:ascii="方正仿宋_GBK" w:hAnsi="仿宋" w:eastAsia="方正仿宋_GBK"/>
          <w:b/>
          <w:color w:val="auto"/>
          <w:sz w:val="32"/>
          <w:szCs w:val="32"/>
          <w:highlight w:val="none"/>
        </w:rPr>
        <w:t xml:space="preserve"> </w:t>
      </w:r>
      <w:r>
        <w:rPr>
          <w:rFonts w:hint="eastAsia" w:ascii="方正仿宋_GBK" w:hAnsi="仿宋" w:eastAsia="方正仿宋_GBK"/>
          <w:color w:val="auto"/>
          <w:sz w:val="32"/>
          <w:szCs w:val="32"/>
          <w:highlight w:val="none"/>
        </w:rPr>
        <w:t xml:space="preserve"> 大学生基本医疗保险待遇享受期限为投保当年1月1日至12月31日。</w:t>
      </w:r>
    </w:p>
    <w:p>
      <w:pPr>
        <w:pStyle w:val="35"/>
        <w:spacing w:line="560" w:lineRule="exact"/>
        <w:ind w:firstLine="64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第九条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学生因退伍、休学等原因复学后，应当按照投保情况办理相关手续，否则在原缴费期到期后，保险失效。</w:t>
      </w:r>
    </w:p>
    <w:p>
      <w:pPr>
        <w:pStyle w:val="35"/>
        <w:spacing w:line="560" w:lineRule="exact"/>
        <w:ind w:firstLine="64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第十条</w:t>
      </w:r>
      <w:r>
        <w:rPr>
          <w:rFonts w:hint="eastAsia" w:ascii="方正仿宋_GBK" w:hAnsi="仿宋" w:eastAsia="方正仿宋_GBK"/>
          <w:color w:val="auto"/>
          <w:sz w:val="32"/>
          <w:szCs w:val="32"/>
          <w:highlight w:val="none"/>
        </w:rPr>
        <w:t xml:space="preserve">  按照省级医疗保险部门的要求，医务室会同有关部门完善大学生基本医疗保险工作相关制度，做好大学生基本医疗保险的门诊费用和住院医疗费用报销工作；按要求做好校内外普通门诊（急诊）就医费用结算工作。</w:t>
      </w:r>
    </w:p>
    <w:p>
      <w:pPr>
        <w:pStyle w:val="35"/>
        <w:spacing w:line="560" w:lineRule="exact"/>
        <w:ind w:firstLine="640"/>
        <w:rPr>
          <w:rFonts w:ascii="方正仿宋_GBK" w:hAnsi="仿宋" w:eastAsia="方正仿宋_GBK"/>
          <w:color w:val="auto"/>
          <w:sz w:val="32"/>
          <w:szCs w:val="32"/>
          <w:highlight w:val="none"/>
        </w:rPr>
      </w:pPr>
    </w:p>
    <w:p>
      <w:pPr>
        <w:pStyle w:val="3"/>
        <w:spacing w:line="560" w:lineRule="exact"/>
        <w:rPr>
          <w:rFonts w:ascii="方正黑体_GBK" w:hAnsi="方正黑体_GBK" w:eastAsia="方正黑体_GBK" w:cs="方正黑体_GBK"/>
          <w:b/>
          <w:bCs w:val="0"/>
          <w:color w:val="auto"/>
          <w:highlight w:val="none"/>
        </w:rPr>
      </w:pPr>
      <w:bookmarkStart w:id="222" w:name="_Toc15398634"/>
      <w:bookmarkStart w:id="223" w:name="_Toc28789"/>
      <w:r>
        <w:rPr>
          <w:rFonts w:hint="eastAsia" w:ascii="方正黑体_GBK" w:hAnsi="方正黑体_GBK" w:eastAsia="方正黑体_GBK" w:cs="方正黑体_GBK"/>
          <w:b/>
          <w:bCs w:val="0"/>
          <w:color w:val="auto"/>
          <w:highlight w:val="none"/>
        </w:rPr>
        <w:t>第三章  学生平安保险</w:t>
      </w:r>
      <w:bookmarkEnd w:id="222"/>
      <w:bookmarkEnd w:id="223"/>
    </w:p>
    <w:p>
      <w:pPr>
        <w:spacing w:line="560" w:lineRule="exact"/>
        <w:rPr>
          <w:rFonts w:ascii="方正黑体_GBK" w:eastAsia="方正黑体_GBK"/>
          <w:color w:val="auto"/>
          <w:sz w:val="32"/>
          <w:szCs w:val="32"/>
          <w:highlight w:val="none"/>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仿宋" w:eastAsia="方正楷体_GBK"/>
          <w:b/>
          <w:color w:val="auto"/>
          <w:sz w:val="32"/>
          <w:szCs w:val="32"/>
          <w:highlight w:val="none"/>
        </w:rPr>
        <w:t xml:space="preserve">第十一条 </w:t>
      </w:r>
      <w:r>
        <w:rPr>
          <w:rFonts w:hint="eastAsia" w:ascii="方正楷体_GBK" w:hAnsi="仿宋" w:eastAsia="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学生平安保险是学生根据自身及家庭需求自愿购买的商业保险，属于学生人身意外伤害保险。</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 xml:space="preserve">第十二条  </w:t>
      </w:r>
      <w:r>
        <w:rPr>
          <w:rFonts w:hint="eastAsia" w:ascii="方正仿宋_GBK" w:hAnsi="仿宋" w:eastAsia="方正仿宋_GBK"/>
          <w:color w:val="auto"/>
          <w:sz w:val="32"/>
          <w:szCs w:val="32"/>
          <w:highlight w:val="none"/>
        </w:rPr>
        <w:t>参保学生在校期间出险，提出索赔的，由学生及监护人联系参保保险公司进行理赔事宜。</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仿宋" w:eastAsia="方正楷体_GBK"/>
          <w:b/>
          <w:color w:val="auto"/>
          <w:sz w:val="32"/>
          <w:szCs w:val="32"/>
          <w:highlight w:val="none"/>
        </w:rPr>
        <w:t>第十三条</w:t>
      </w:r>
      <w:r>
        <w:rPr>
          <w:rFonts w:hint="eastAsia" w:ascii="方正仿宋_GBK" w:hAnsi="方正仿宋_GBK" w:eastAsia="方正仿宋_GBK" w:cs="方正仿宋_GBK"/>
          <w:color w:val="auto"/>
          <w:sz w:val="32"/>
          <w:szCs w:val="32"/>
          <w:highlight w:val="none"/>
          <w:shd w:val="clear" w:color="auto" w:fill="FFFFFF"/>
        </w:rPr>
        <w:t xml:space="preserve">  学校原则上不参与学生平安保险相关事宜。</w:t>
      </w:r>
    </w:p>
    <w:p>
      <w:pPr>
        <w:spacing w:line="560" w:lineRule="exact"/>
        <w:ind w:firstLine="640" w:firstLineChars="200"/>
        <w:rPr>
          <w:rFonts w:ascii="方正仿宋_GBK" w:hAnsi="仿宋" w:eastAsia="方正仿宋_GBK"/>
          <w:color w:val="auto"/>
          <w:sz w:val="32"/>
          <w:szCs w:val="32"/>
          <w:highlight w:val="none"/>
        </w:rPr>
      </w:pPr>
    </w:p>
    <w:p>
      <w:pPr>
        <w:pStyle w:val="35"/>
        <w:spacing w:line="560" w:lineRule="exact"/>
        <w:ind w:firstLine="640"/>
        <w:jc w:val="center"/>
        <w:outlineLvl w:val="0"/>
        <w:rPr>
          <w:rFonts w:ascii="方正黑体_GBK" w:hAnsi="方正黑体_GBK" w:eastAsia="方正黑体_GBK" w:cs="方正黑体_GBK"/>
          <w:b/>
          <w:bCs/>
          <w:color w:val="auto"/>
          <w:sz w:val="32"/>
          <w:szCs w:val="32"/>
          <w:highlight w:val="none"/>
        </w:rPr>
      </w:pPr>
      <w:bookmarkStart w:id="224" w:name="_Toc979"/>
      <w:bookmarkStart w:id="225" w:name="_Toc2376"/>
      <w:bookmarkStart w:id="226" w:name="_Toc20135"/>
      <w:bookmarkStart w:id="227" w:name="_Toc31436"/>
      <w:bookmarkStart w:id="228" w:name="_Toc5129"/>
      <w:bookmarkStart w:id="229" w:name="_Toc31929"/>
      <w:bookmarkStart w:id="230" w:name="_Toc15398635"/>
      <w:r>
        <w:rPr>
          <w:rFonts w:hint="eastAsia" w:ascii="方正黑体_GBK" w:hAnsi="方正黑体_GBK" w:eastAsia="方正黑体_GBK" w:cs="方正黑体_GBK"/>
          <w:b/>
          <w:bCs/>
          <w:color w:val="auto"/>
          <w:sz w:val="32"/>
          <w:szCs w:val="32"/>
          <w:highlight w:val="none"/>
        </w:rPr>
        <w:t>第四章  校方责任险</w:t>
      </w:r>
      <w:bookmarkEnd w:id="224"/>
      <w:bookmarkEnd w:id="225"/>
      <w:bookmarkEnd w:id="226"/>
      <w:bookmarkEnd w:id="227"/>
      <w:bookmarkEnd w:id="228"/>
      <w:bookmarkEnd w:id="229"/>
      <w:bookmarkEnd w:id="230"/>
    </w:p>
    <w:p>
      <w:pPr>
        <w:spacing w:line="560" w:lineRule="exact"/>
        <w:ind w:left="2873"/>
        <w:rPr>
          <w:rFonts w:ascii="方正黑体_GBK" w:eastAsia="方正黑体_GBK"/>
          <w:color w:val="auto"/>
          <w:sz w:val="32"/>
          <w:szCs w:val="32"/>
          <w:highlight w:val="none"/>
        </w:rPr>
      </w:pPr>
    </w:p>
    <w:p>
      <w:pPr>
        <w:spacing w:line="560" w:lineRule="exact"/>
        <w:jc w:val="left"/>
        <w:rPr>
          <w:rFonts w:ascii="方正仿宋_GBK" w:hAnsi="仿宋" w:eastAsia="方正仿宋_GBK"/>
          <w:color w:val="auto"/>
          <w:sz w:val="32"/>
          <w:szCs w:val="32"/>
          <w:highlight w:val="none"/>
        </w:rPr>
      </w:pPr>
      <w:r>
        <w:rPr>
          <w:rFonts w:hint="eastAsia" w:ascii="方正仿宋_GBK" w:hAnsi="仿宋" w:eastAsia="方正仿宋_GBK"/>
          <w:color w:val="auto"/>
          <w:sz w:val="32"/>
          <w:szCs w:val="32"/>
          <w:highlight w:val="none"/>
        </w:rPr>
        <w:t xml:space="preserve">   </w:t>
      </w:r>
      <w:r>
        <w:rPr>
          <w:rFonts w:hint="eastAsia" w:ascii="方正仿宋_GBK" w:hAnsi="仿宋" w:eastAsia="方正仿宋_GBK"/>
          <w:b/>
          <w:color w:val="auto"/>
          <w:sz w:val="32"/>
          <w:szCs w:val="32"/>
          <w:highlight w:val="none"/>
        </w:rPr>
        <w:t xml:space="preserve"> </w:t>
      </w:r>
      <w:r>
        <w:rPr>
          <w:rFonts w:hint="eastAsia" w:ascii="方正楷体_GBK" w:hAnsi="仿宋" w:eastAsia="方正楷体_GBK"/>
          <w:b/>
          <w:color w:val="auto"/>
          <w:sz w:val="32"/>
          <w:szCs w:val="32"/>
          <w:highlight w:val="none"/>
        </w:rPr>
        <w:t>第十四条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校方责任险是由保险公司对因校方过失导致学生伤亡或财产损失等情况来赔偿的一种责任保险。投保人为学校。</w:t>
      </w:r>
    </w:p>
    <w:p>
      <w:pPr>
        <w:spacing w:line="560" w:lineRule="exact"/>
        <w:ind w:firstLine="643" w:firstLineChars="200"/>
        <w:jc w:val="left"/>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第十五条</w:t>
      </w:r>
      <w:r>
        <w:rPr>
          <w:rFonts w:hint="eastAsia" w:ascii="方正楷体_GBK" w:hAnsi="仿宋" w:eastAsia="方正楷体_GBK"/>
          <w:color w:val="auto"/>
          <w:sz w:val="32"/>
          <w:szCs w:val="32"/>
          <w:highlight w:val="none"/>
        </w:rPr>
        <w:t xml:space="preserve">  </w:t>
      </w:r>
      <w:r>
        <w:rPr>
          <w:rFonts w:hint="eastAsia" w:ascii="方正仿宋_GBK" w:hAnsi="仿宋" w:eastAsia="方正仿宋_GBK"/>
          <w:color w:val="auto"/>
          <w:sz w:val="32"/>
          <w:szCs w:val="32"/>
          <w:highlight w:val="none"/>
        </w:rPr>
        <w:t>学校保卫处会同学生工作处按照省级</w:t>
      </w:r>
      <w:r>
        <w:rPr>
          <w:rFonts w:hint="eastAsia" w:ascii="方正仿宋_GBK" w:hAnsi="方正仿宋_GBK" w:eastAsia="方正仿宋_GBK" w:cs="方正仿宋_GBK"/>
          <w:color w:val="auto"/>
          <w:sz w:val="32"/>
          <w:szCs w:val="32"/>
          <w:highlight w:val="none"/>
          <w:shd w:val="clear" w:color="auto" w:fill="FFFFFF"/>
        </w:rPr>
        <w:t>教育部门的要求确定</w:t>
      </w:r>
      <w:r>
        <w:rPr>
          <w:rFonts w:hint="eastAsia" w:ascii="方正仿宋_GBK" w:hAnsi="仿宋" w:eastAsia="方正仿宋_GBK"/>
          <w:color w:val="auto"/>
          <w:sz w:val="32"/>
          <w:szCs w:val="32"/>
          <w:highlight w:val="none"/>
        </w:rPr>
        <w:t>投保单位，由学校向投保单位统一购买，保险受益方为学校。</w:t>
      </w:r>
    </w:p>
    <w:p>
      <w:pPr>
        <w:spacing w:line="560" w:lineRule="exact"/>
        <w:rPr>
          <w:rFonts w:ascii="方正仿宋_GBK" w:hAnsi="方正仿宋_GBK" w:eastAsia="方正仿宋_GBK" w:cs="方正仿宋_GBK"/>
          <w:b/>
          <w:bCs/>
          <w:color w:val="auto"/>
          <w:sz w:val="32"/>
          <w:szCs w:val="32"/>
          <w:highlight w:val="none"/>
          <w:shd w:val="clear" w:color="auto" w:fill="FFFFFF"/>
        </w:rPr>
      </w:pPr>
    </w:p>
    <w:p>
      <w:pPr>
        <w:pStyle w:val="3"/>
        <w:spacing w:line="560" w:lineRule="exact"/>
        <w:rPr>
          <w:rFonts w:ascii="方正黑体_GBK" w:hAnsi="方正黑体_GBK" w:eastAsia="方正黑体_GBK" w:cs="方正黑体_GBK"/>
          <w:b/>
          <w:color w:val="auto"/>
          <w:highlight w:val="none"/>
        </w:rPr>
      </w:pPr>
      <w:bookmarkStart w:id="231" w:name="_Toc2573"/>
      <w:bookmarkStart w:id="232" w:name="_Toc15398636"/>
      <w:r>
        <w:rPr>
          <w:rFonts w:hint="eastAsia" w:ascii="方正黑体_GBK" w:hAnsi="方正黑体_GBK" w:eastAsia="方正黑体_GBK" w:cs="方正黑体_GBK"/>
          <w:b/>
          <w:color w:val="auto"/>
          <w:highlight w:val="none"/>
        </w:rPr>
        <w:t>第五章  附则</w:t>
      </w:r>
      <w:bookmarkEnd w:id="231"/>
      <w:bookmarkEnd w:id="232"/>
    </w:p>
    <w:p>
      <w:pPr>
        <w:spacing w:line="560" w:lineRule="exact"/>
        <w:rPr>
          <w:rFonts w:ascii="方正黑体_GBK" w:eastAsia="方正黑体_GBK"/>
          <w:color w:val="auto"/>
          <w:sz w:val="32"/>
          <w:szCs w:val="32"/>
          <w:highlight w:val="none"/>
        </w:rPr>
      </w:pP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第十六条</w:t>
      </w:r>
      <w:r>
        <w:rPr>
          <w:rFonts w:hint="eastAsia" w:ascii="方正楷体_GBK" w:hAnsi="仿宋" w:eastAsia="方正楷体_GBK"/>
          <w:b/>
          <w:color w:val="auto"/>
          <w:sz w:val="32"/>
          <w:szCs w:val="32"/>
          <w:highlight w:val="none"/>
          <w:lang w:val="en-US" w:eastAsia="zh-CN"/>
        </w:rPr>
        <w:t xml:space="preserve">  </w:t>
      </w:r>
      <w:r>
        <w:rPr>
          <w:rFonts w:hint="eastAsia" w:ascii="方正仿宋_GBK" w:hAnsi="仿宋" w:eastAsia="方正仿宋_GBK"/>
          <w:color w:val="auto"/>
          <w:sz w:val="32"/>
          <w:szCs w:val="32"/>
          <w:highlight w:val="none"/>
        </w:rPr>
        <w:t>本细则由学生工作处负责解释。</w:t>
      </w:r>
    </w:p>
    <w:p>
      <w:pPr>
        <w:spacing w:line="560" w:lineRule="exact"/>
        <w:ind w:firstLine="643" w:firstLineChars="200"/>
        <w:rPr>
          <w:rFonts w:ascii="方正仿宋_GBK" w:hAnsi="仿宋" w:eastAsia="方正仿宋_GBK"/>
          <w:color w:val="auto"/>
          <w:sz w:val="32"/>
          <w:szCs w:val="32"/>
          <w:highlight w:val="none"/>
        </w:rPr>
      </w:pPr>
      <w:r>
        <w:rPr>
          <w:rFonts w:hint="eastAsia" w:ascii="方正楷体_GBK" w:hAnsi="仿宋" w:eastAsia="方正楷体_GBK"/>
          <w:b/>
          <w:color w:val="auto"/>
          <w:sz w:val="32"/>
          <w:szCs w:val="32"/>
          <w:highlight w:val="none"/>
        </w:rPr>
        <w:t>第十七条</w:t>
      </w:r>
      <w:r>
        <w:rPr>
          <w:rFonts w:hint="eastAsia" w:ascii="方正仿宋_GBK" w:hAnsi="仿宋" w:eastAsia="方正仿宋_GBK"/>
          <w:color w:val="auto"/>
          <w:sz w:val="32"/>
          <w:szCs w:val="32"/>
          <w:highlight w:val="none"/>
        </w:rPr>
        <w:t xml:space="preserve">  本细则自202</w:t>
      </w:r>
      <w:r>
        <w:rPr>
          <w:rFonts w:hint="eastAsia" w:ascii="方正仿宋_GBK" w:hAnsi="仿宋" w:eastAsia="方正仿宋_GBK"/>
          <w:color w:val="auto"/>
          <w:sz w:val="32"/>
          <w:szCs w:val="32"/>
          <w:highlight w:val="none"/>
          <w:lang w:val="en-US" w:eastAsia="zh-CN"/>
        </w:rPr>
        <w:t>2</w:t>
      </w:r>
      <w:r>
        <w:rPr>
          <w:rFonts w:hint="eastAsia" w:ascii="方正仿宋_GBK" w:hAnsi="仿宋" w:eastAsia="方正仿宋_GBK"/>
          <w:color w:val="auto"/>
          <w:sz w:val="32"/>
          <w:szCs w:val="32"/>
          <w:highlight w:val="none"/>
        </w:rPr>
        <w:t>年9月1日起</w:t>
      </w:r>
      <w:r>
        <w:rPr>
          <w:rFonts w:hint="eastAsia" w:ascii="方正仿宋_GBK" w:hAnsi="仿宋" w:eastAsia="方正仿宋_GBK"/>
          <w:color w:val="auto"/>
          <w:sz w:val="32"/>
          <w:szCs w:val="32"/>
          <w:highlight w:val="none"/>
          <w:lang w:val="en-US" w:eastAsia="zh-CN"/>
        </w:rPr>
        <w:t>实施</w:t>
      </w:r>
      <w:r>
        <w:rPr>
          <w:rFonts w:hint="eastAsia" w:ascii="方正仿宋_GBK" w:hAnsi="仿宋" w:eastAsia="方正仿宋_GBK"/>
          <w:color w:val="auto"/>
          <w:sz w:val="32"/>
          <w:szCs w:val="32"/>
          <w:highlight w:val="none"/>
        </w:rPr>
        <w:t>。</w:t>
      </w:r>
    </w:p>
    <w:p>
      <w:pPr>
        <w:pStyle w:val="2"/>
        <w:pageBreakBefore w:val="0"/>
        <w:kinsoku/>
        <w:wordWrap/>
        <w:overflowPunct/>
        <w:topLinePunct w:val="0"/>
        <w:autoSpaceDE/>
        <w:autoSpaceDN/>
        <w:bidi w:val="0"/>
        <w:adjustRightInd/>
        <w:spacing w:before="156" w:line="560" w:lineRule="exact"/>
        <w:ind w:left="0" w:leftChars="0" w:firstLine="0" w:firstLineChars="0"/>
        <w:jc w:val="center"/>
        <w:textAlignment w:val="auto"/>
        <w:rPr>
          <w:rFonts w:hint="eastAsia" w:ascii="方正小标宋_GBK" w:hAnsi="方正小标宋_GBK" w:eastAsia="方正小标宋_GBK" w:cs="方正小标宋_GBK"/>
          <w:b/>
          <w:bCs/>
          <w:color w:val="auto"/>
          <w:kern w:val="2"/>
          <w:sz w:val="32"/>
          <w:szCs w:val="32"/>
          <w:highlight w:val="none"/>
          <w:lang w:val="en-US" w:eastAsia="zh-CN" w:bidi="ar-SA"/>
        </w:rPr>
      </w:pPr>
      <w:bookmarkStart w:id="233" w:name="_Toc11774"/>
    </w:p>
    <w:p>
      <w:pPr>
        <w:pStyle w:val="2"/>
        <w:pageBreakBefore w:val="0"/>
        <w:kinsoku/>
        <w:wordWrap/>
        <w:overflowPunct/>
        <w:topLinePunct w:val="0"/>
        <w:autoSpaceDE/>
        <w:autoSpaceDN/>
        <w:bidi w:val="0"/>
        <w:adjustRightInd/>
        <w:spacing w:before="156" w:line="560" w:lineRule="exact"/>
        <w:ind w:left="0" w:leftChars="0" w:firstLine="0" w:firstLineChars="0"/>
        <w:jc w:val="center"/>
        <w:textAlignment w:val="auto"/>
        <w:rPr>
          <w:rFonts w:hint="eastAsia" w:ascii="方正小标宋_GBK" w:hAnsi="方正小标宋_GBK" w:eastAsia="方正小标宋_GBK" w:cs="方正小标宋_GBK"/>
          <w:b/>
          <w:bCs/>
          <w:color w:val="auto"/>
          <w:kern w:val="2"/>
          <w:sz w:val="44"/>
          <w:szCs w:val="44"/>
          <w:highlight w:val="none"/>
          <w:lang w:val="en-US" w:eastAsia="zh-CN" w:bidi="ar-SA"/>
        </w:rPr>
      </w:pPr>
      <w:bookmarkStart w:id="234" w:name="_Toc14886"/>
      <w:r>
        <w:rPr>
          <w:rFonts w:hint="eastAsia" w:ascii="方正小标宋_GBK" w:hAnsi="方正小标宋_GBK" w:eastAsia="方正小标宋_GBK" w:cs="方正小标宋_GBK"/>
          <w:b/>
          <w:bCs/>
          <w:color w:val="auto"/>
          <w:kern w:val="2"/>
          <w:sz w:val="36"/>
          <w:szCs w:val="36"/>
          <w:highlight w:val="none"/>
          <w:lang w:val="en-US" w:eastAsia="zh-CN" w:bidi="ar-SA"/>
        </w:rPr>
        <w:t>云南城市建设职业学院学生兵役登记及应征入伍工作实施办法（修订）</w:t>
      </w:r>
      <w:bookmarkEnd w:id="233"/>
      <w:bookmarkEnd w:id="234"/>
    </w:p>
    <w:p>
      <w:pPr>
        <w:pStyle w:val="35"/>
        <w:pageBreakBefore w:val="0"/>
        <w:widowControl/>
        <w:kinsoku/>
        <w:wordWrap/>
        <w:overflowPunct/>
        <w:topLinePunct w:val="0"/>
        <w:autoSpaceDE/>
        <w:autoSpaceDN/>
        <w:bidi w:val="0"/>
        <w:adjustRightInd/>
        <w:spacing w:line="560" w:lineRule="exact"/>
        <w:ind w:left="1320" w:firstLine="0" w:firstLineChars="0"/>
        <w:textAlignment w:val="auto"/>
        <w:rPr>
          <w:rFonts w:hint="eastAsia" w:ascii="方正小标宋_GBK" w:hAnsi="方正小标宋_GBK" w:eastAsia="方正小标宋_GBK" w:cs="方正小标宋_GBK"/>
          <w:b w:val="0"/>
          <w:bCs w:val="0"/>
          <w:color w:val="auto"/>
          <w:kern w:val="2"/>
          <w:sz w:val="44"/>
          <w:szCs w:val="44"/>
          <w:highlight w:val="none"/>
          <w:lang w:val="en-US" w:eastAsia="zh-CN" w:bidi="ar-SA"/>
        </w:rPr>
      </w:pPr>
    </w:p>
    <w:p>
      <w:pPr>
        <w:spacing w:line="560" w:lineRule="exact"/>
        <w:jc w:val="left"/>
        <w:outlineLvl w:val="0"/>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 xml:space="preserve"> </w:t>
      </w:r>
      <w:r>
        <w:rPr>
          <w:rFonts w:hint="eastAsia" w:ascii="方正仿宋_GBK" w:hAnsi="宋体" w:eastAsia="方正仿宋_GBK" w:cs="宋体"/>
          <w:color w:val="auto"/>
          <w:sz w:val="32"/>
          <w:szCs w:val="32"/>
          <w:highlight w:val="none"/>
          <w:lang w:val="en-US" w:eastAsia="zh-CN"/>
        </w:rPr>
        <w:t xml:space="preserve">   </w:t>
      </w:r>
      <w:bookmarkStart w:id="235" w:name="_Toc16734"/>
      <w:bookmarkStart w:id="236" w:name="_Toc28692"/>
      <w:bookmarkStart w:id="237" w:name="_Toc10487"/>
      <w:bookmarkStart w:id="238" w:name="_Toc31798"/>
      <w:bookmarkStart w:id="239" w:name="_Toc4205"/>
      <w:r>
        <w:rPr>
          <w:rFonts w:hint="eastAsia" w:ascii="方正仿宋_GBK" w:hAnsi="宋体" w:eastAsia="方正仿宋_GBK" w:cs="宋体"/>
          <w:color w:val="auto"/>
          <w:sz w:val="32"/>
          <w:szCs w:val="32"/>
          <w:highlight w:val="none"/>
        </w:rPr>
        <w:t>为规范和加强</w:t>
      </w:r>
      <w:r>
        <w:rPr>
          <w:rFonts w:hint="eastAsia" w:ascii="方正仿宋_GBK" w:hAnsi="宋体" w:eastAsia="方正仿宋_GBK" w:cs="宋体"/>
          <w:color w:val="auto"/>
          <w:sz w:val="32"/>
          <w:szCs w:val="32"/>
          <w:highlight w:val="none"/>
          <w:lang w:val="en-US" w:eastAsia="zh-CN"/>
        </w:rPr>
        <w:t>学校</w:t>
      </w:r>
      <w:r>
        <w:rPr>
          <w:rFonts w:hint="eastAsia" w:ascii="方正仿宋_GBK" w:hAnsi="宋体" w:eastAsia="方正仿宋_GBK" w:cs="宋体"/>
          <w:color w:val="auto"/>
          <w:sz w:val="32"/>
          <w:szCs w:val="32"/>
          <w:highlight w:val="none"/>
        </w:rPr>
        <w:t>兵役</w:t>
      </w:r>
      <w:r>
        <w:rPr>
          <w:rFonts w:hint="eastAsia" w:ascii="方正仿宋_GBK" w:hAnsi="宋体" w:eastAsia="方正仿宋_GBK" w:cs="宋体"/>
          <w:color w:val="auto"/>
          <w:sz w:val="32"/>
          <w:szCs w:val="32"/>
          <w:highlight w:val="none"/>
          <w:lang w:val="en-US" w:eastAsia="zh-CN"/>
        </w:rPr>
        <w:t>管理</w:t>
      </w:r>
      <w:r>
        <w:rPr>
          <w:rFonts w:hint="eastAsia" w:ascii="方正仿宋_GBK" w:hAnsi="宋体" w:eastAsia="方正仿宋_GBK" w:cs="宋体"/>
          <w:color w:val="auto"/>
          <w:sz w:val="32"/>
          <w:szCs w:val="32"/>
          <w:highlight w:val="none"/>
        </w:rPr>
        <w:t>工作，</w:t>
      </w:r>
      <w:r>
        <w:rPr>
          <w:rFonts w:hint="eastAsia" w:ascii="方正仿宋_GBK" w:hAnsi="宋体" w:eastAsia="方正仿宋_GBK" w:cs="宋体"/>
          <w:color w:val="auto"/>
          <w:sz w:val="32"/>
          <w:szCs w:val="32"/>
          <w:highlight w:val="none"/>
          <w:lang w:val="en-US" w:eastAsia="zh-CN"/>
        </w:rPr>
        <w:t>切实保证适龄青年依法服兵役，</w:t>
      </w:r>
      <w:r>
        <w:rPr>
          <w:rFonts w:hint="eastAsia" w:ascii="方正仿宋_GBK" w:hAnsi="宋体" w:eastAsia="方正仿宋_GBK" w:cs="宋体"/>
          <w:color w:val="auto"/>
          <w:sz w:val="32"/>
          <w:szCs w:val="32"/>
          <w:highlight w:val="none"/>
        </w:rPr>
        <w:t>根据《中华人民共和国国防法》、《中华人民共和国兵役法》</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《中华人民共和国国防教育法》、《征兵工作条例》</w:t>
      </w:r>
      <w:r>
        <w:rPr>
          <w:rFonts w:hint="eastAsia" w:ascii="方正仿宋_GBK" w:hAnsi="宋体" w:eastAsia="方正仿宋_GBK" w:cs="宋体"/>
          <w:color w:val="auto"/>
          <w:sz w:val="32"/>
          <w:szCs w:val="32"/>
          <w:highlight w:val="none"/>
          <w:lang w:val="en-US" w:eastAsia="zh-CN"/>
        </w:rPr>
        <w:t>及《</w:t>
      </w:r>
      <w:r>
        <w:rPr>
          <w:rFonts w:hint="eastAsia" w:ascii="方正仿宋_GBK" w:hAnsi="宋体" w:eastAsia="方正仿宋_GBK" w:cs="宋体"/>
          <w:color w:val="auto"/>
          <w:sz w:val="32"/>
          <w:szCs w:val="32"/>
          <w:highlight w:val="none"/>
        </w:rPr>
        <w:t>关于明确高校征兵工作几个事项的通知</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动【2021】25号</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文件</w:t>
      </w:r>
      <w:r>
        <w:rPr>
          <w:rFonts w:hint="eastAsia" w:ascii="方正仿宋_GBK" w:hAnsi="宋体" w:eastAsia="方正仿宋_GBK" w:cs="宋体"/>
          <w:color w:val="auto"/>
          <w:sz w:val="32"/>
          <w:szCs w:val="32"/>
          <w:highlight w:val="none"/>
        </w:rPr>
        <w:t>精神，结合学校实际，制定本办法。</w:t>
      </w:r>
      <w:bookmarkEnd w:id="235"/>
      <w:bookmarkEnd w:id="236"/>
      <w:bookmarkEnd w:id="237"/>
      <w:bookmarkEnd w:id="238"/>
      <w:bookmarkEnd w:id="239"/>
    </w:p>
    <w:p>
      <w:pPr>
        <w:pageBreakBefore w:val="0"/>
        <w:widowControl/>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宋体"/>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hint="eastAsia" w:eastAsia="方正黑体_GBK" w:asciiTheme="majorAscii" w:hAnsiTheme="majorAscii" w:cstheme="majorBidi"/>
          <w:b/>
          <w:bCs w:val="0"/>
          <w:color w:val="auto"/>
          <w:kern w:val="2"/>
          <w:sz w:val="32"/>
          <w:szCs w:val="32"/>
          <w:highlight w:val="none"/>
          <w:lang w:val="en-US" w:eastAsia="zh-CN" w:bidi="ar-SA"/>
        </w:rPr>
      </w:pPr>
      <w:bookmarkStart w:id="240" w:name="_Toc15398638"/>
      <w:bookmarkStart w:id="241" w:name="_Toc9288"/>
      <w:r>
        <w:rPr>
          <w:rFonts w:hint="eastAsia" w:eastAsia="方正黑体_GBK" w:asciiTheme="majorAscii" w:hAnsiTheme="majorAscii" w:cstheme="majorBidi"/>
          <w:b/>
          <w:bCs w:val="0"/>
          <w:color w:val="auto"/>
          <w:kern w:val="2"/>
          <w:sz w:val="32"/>
          <w:szCs w:val="32"/>
          <w:highlight w:val="none"/>
          <w:lang w:val="en-US" w:eastAsia="zh-CN" w:bidi="ar-SA"/>
        </w:rPr>
        <w:t xml:space="preserve">第一章 </w:t>
      </w:r>
      <w:r>
        <w:rPr>
          <w:rFonts w:hint="eastAsia"/>
          <w:b/>
          <w:bCs w:val="0"/>
          <w:color w:val="auto"/>
          <w:highlight w:val="none"/>
        </w:rPr>
        <w:t xml:space="preserve"> </w:t>
      </w:r>
      <w:r>
        <w:rPr>
          <w:rFonts w:hint="eastAsia" w:eastAsia="方正黑体_GBK" w:asciiTheme="majorAscii" w:hAnsiTheme="majorAscii" w:cstheme="majorBidi"/>
          <w:b/>
          <w:bCs w:val="0"/>
          <w:color w:val="auto"/>
          <w:kern w:val="2"/>
          <w:sz w:val="32"/>
          <w:szCs w:val="32"/>
          <w:highlight w:val="none"/>
          <w:lang w:val="en-US" w:eastAsia="zh-CN" w:bidi="ar-SA"/>
        </w:rPr>
        <w:t>总则</w:t>
      </w:r>
      <w:bookmarkEnd w:id="240"/>
      <w:bookmarkEnd w:id="241"/>
    </w:p>
    <w:p>
      <w:pPr>
        <w:pageBreakBefore w:val="0"/>
        <w:widowControl/>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宋体"/>
          <w:color w:val="auto"/>
          <w:sz w:val="32"/>
          <w:szCs w:val="32"/>
          <w:highlight w:val="none"/>
        </w:rPr>
      </w:pPr>
    </w:p>
    <w:p>
      <w:pPr>
        <w:pageBreakBefore w:val="0"/>
        <w:widowControl/>
        <w:kinsoku/>
        <w:wordWrap/>
        <w:overflowPunct/>
        <w:topLinePunct w:val="0"/>
        <w:autoSpaceDE/>
        <w:autoSpaceDN/>
        <w:bidi w:val="0"/>
        <w:adjustRightInd/>
        <w:spacing w:line="560" w:lineRule="exact"/>
        <w:textAlignment w:val="auto"/>
        <w:rPr>
          <w:rFonts w:ascii="方正楷体_GBK" w:hAnsi="楷体" w:eastAsia="方正楷体_GBK" w:cs="宋体"/>
          <w:color w:val="auto"/>
          <w:sz w:val="32"/>
          <w:szCs w:val="32"/>
          <w:highlight w:val="none"/>
        </w:rPr>
      </w:pPr>
      <w:r>
        <w:rPr>
          <w:rFonts w:hint="eastAsia" w:ascii="方正楷体_GBK" w:hAnsi="楷体" w:eastAsia="方正楷体_GBK" w:cs="宋体"/>
          <w:color w:val="auto"/>
          <w:sz w:val="32"/>
          <w:szCs w:val="32"/>
          <w:highlight w:val="none"/>
        </w:rPr>
        <w:t xml:space="preserve">   </w:t>
      </w:r>
      <w:r>
        <w:rPr>
          <w:rFonts w:hint="eastAsia" w:ascii="方正楷体_GBK" w:hAnsi="楷体" w:eastAsia="方正楷体_GBK" w:cs="宋体"/>
          <w:b/>
          <w:color w:val="auto"/>
          <w:sz w:val="32"/>
          <w:szCs w:val="32"/>
          <w:highlight w:val="none"/>
        </w:rPr>
        <w:t xml:space="preserve"> 第一条</w:t>
      </w:r>
      <w:r>
        <w:rPr>
          <w:rFonts w:hint="eastAsia" w:ascii="方正楷体_GBK" w:hAnsi="楷体" w:eastAsia="方正楷体_GBK" w:cs="宋体"/>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学校开展学生兵役登记和应征入伍工作，是加强国防和军队现代化建设的重要内容。学校相关部门应当强化全面依法履行兵役义务观念，积极鼓励广大适龄青年学生参军入伍。</w:t>
      </w: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第二条</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本办法所称</w:t>
      </w:r>
      <w:r>
        <w:rPr>
          <w:rFonts w:hint="eastAsia" w:ascii="方正仿宋_GBK" w:hAnsi="方正仿宋_GBK" w:eastAsia="方正仿宋_GBK" w:cs="方正仿宋_GBK"/>
          <w:color w:val="auto"/>
          <w:kern w:val="0"/>
          <w:sz w:val="32"/>
          <w:szCs w:val="32"/>
          <w:highlight w:val="none"/>
        </w:rPr>
        <w:t>学生是指学校依据国家有关政策招收的具有全日制学籍的</w:t>
      </w:r>
      <w:r>
        <w:rPr>
          <w:rFonts w:hint="eastAsia" w:ascii="方正仿宋_GBK" w:hAnsi="方正仿宋_GBK" w:eastAsia="方正仿宋_GBK" w:cs="方正仿宋_GBK"/>
          <w:color w:val="auto"/>
          <w:kern w:val="0"/>
          <w:sz w:val="32"/>
          <w:szCs w:val="32"/>
          <w:highlight w:val="none"/>
          <w:lang w:val="en-US" w:eastAsia="zh-CN"/>
        </w:rPr>
        <w:t>在校</w:t>
      </w:r>
      <w:r>
        <w:rPr>
          <w:rFonts w:hint="eastAsia" w:ascii="方正仿宋_GBK" w:hAnsi="方正仿宋_GBK" w:eastAsia="方正仿宋_GBK" w:cs="方正仿宋_GBK"/>
          <w:color w:val="auto"/>
          <w:kern w:val="0"/>
          <w:sz w:val="32"/>
          <w:szCs w:val="32"/>
          <w:highlight w:val="none"/>
        </w:rPr>
        <w:t>学生，包括三年制中专、五年制大专</w:t>
      </w:r>
      <w:r>
        <w:rPr>
          <w:rFonts w:hint="eastAsia" w:ascii="方正仿宋_GBK" w:hAnsi="方正仿宋_GBK" w:eastAsia="方正仿宋_GBK" w:cs="方正仿宋_GBK"/>
          <w:color w:val="auto"/>
          <w:kern w:val="0"/>
          <w:sz w:val="32"/>
          <w:szCs w:val="32"/>
          <w:highlight w:val="none"/>
          <w:lang w:eastAsia="zh-CN"/>
        </w:rPr>
        <w:t>、</w:t>
      </w:r>
      <w:r>
        <w:rPr>
          <w:rFonts w:hint="eastAsia" w:ascii="方正仿宋_GBK" w:hAnsi="方正仿宋_GBK" w:eastAsia="方正仿宋_GBK" w:cs="方正仿宋_GBK"/>
          <w:color w:val="auto"/>
          <w:kern w:val="0"/>
          <w:sz w:val="32"/>
          <w:szCs w:val="32"/>
          <w:highlight w:val="none"/>
        </w:rPr>
        <w:t>三年制大专</w:t>
      </w:r>
      <w:r>
        <w:rPr>
          <w:rFonts w:hint="eastAsia" w:ascii="方正仿宋_GBK" w:hAnsi="方正仿宋_GBK" w:eastAsia="方正仿宋_GBK" w:cs="方正仿宋_GBK"/>
          <w:color w:val="auto"/>
          <w:kern w:val="0"/>
          <w:sz w:val="32"/>
          <w:szCs w:val="32"/>
          <w:highlight w:val="none"/>
          <w:lang w:val="en-US" w:eastAsia="zh-CN"/>
        </w:rPr>
        <w:t>以及高职扩招学生</w:t>
      </w:r>
      <w:r>
        <w:rPr>
          <w:rFonts w:hint="eastAsia" w:ascii="方正仿宋_GBK" w:hAnsi="方正仿宋_GBK" w:eastAsia="方正仿宋_GBK" w:cs="方正仿宋_GBK"/>
          <w:color w:val="auto"/>
          <w:kern w:val="0"/>
          <w:sz w:val="32"/>
          <w:szCs w:val="32"/>
          <w:highlight w:val="none"/>
        </w:rPr>
        <w:t>（以下称学生）。</w:t>
      </w: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第三条</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学校坚持以习近平新时代中国特色社会主义思想和习近平强军思想为指导，坚持党管武装，坚持融合发展，注重建设实效，按照全面规范、依法建设的原则，独立设置人民武装部，按照规定配备相关人员。</w:t>
      </w: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第四条</w:t>
      </w:r>
      <w:r>
        <w:rPr>
          <w:rFonts w:hint="eastAsia" w:ascii="方正楷体_GBK" w:hAnsi="方正楷体_GBK" w:eastAsia="方正楷体_GBK" w:cs="方正楷体_GBK"/>
          <w:b/>
          <w:bCs/>
          <w:color w:val="auto"/>
          <w:sz w:val="32"/>
          <w:szCs w:val="32"/>
          <w:highlight w:val="none"/>
          <w:shd w:val="clear" w:color="auto" w:fill="FFFFFF"/>
        </w:rPr>
        <w:t xml:space="preserve"> </w:t>
      </w:r>
      <w:r>
        <w:rPr>
          <w:rFonts w:hint="eastAsia" w:ascii="方正仿宋_GBK" w:hAnsi="方正仿宋_GBK" w:eastAsia="方正仿宋_GBK" w:cs="方正仿宋_GBK"/>
          <w:b/>
          <w:bCs/>
          <w:color w:val="auto"/>
          <w:sz w:val="32"/>
          <w:szCs w:val="32"/>
          <w:highlight w:val="none"/>
          <w:shd w:val="clear" w:color="auto" w:fill="FFFFFF"/>
        </w:rPr>
        <w:t xml:space="preserve"> </w:t>
      </w:r>
      <w:r>
        <w:rPr>
          <w:rFonts w:hint="eastAsia" w:ascii="方正仿宋_GBK" w:hAnsi="宋体" w:eastAsia="方正仿宋_GBK" w:cs="宋体"/>
          <w:color w:val="auto"/>
          <w:sz w:val="32"/>
          <w:szCs w:val="32"/>
          <w:highlight w:val="none"/>
        </w:rPr>
        <w:t>学校人民武装部主要职责：</w:t>
      </w:r>
    </w:p>
    <w:p>
      <w:pPr>
        <w:pStyle w:val="35"/>
        <w:pageBreakBefore w:val="0"/>
        <w:widowControl/>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（一）负责民兵组织建设、政治教育和军事训练；</w:t>
      </w:r>
    </w:p>
    <w:p>
      <w:pPr>
        <w:pStyle w:val="35"/>
        <w:pageBreakBefore w:val="0"/>
        <w:widowControl/>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（二）组织开展兵员征集工作；</w:t>
      </w:r>
    </w:p>
    <w:p>
      <w:pPr>
        <w:pStyle w:val="35"/>
        <w:pageBreakBefore w:val="0"/>
        <w:widowControl/>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（三）负责筹划和组织学生军训；</w:t>
      </w:r>
    </w:p>
    <w:p>
      <w:pPr>
        <w:pStyle w:val="35"/>
        <w:pageBreakBefore w:val="0"/>
        <w:widowControl/>
        <w:kinsoku/>
        <w:wordWrap/>
        <w:overflowPunct/>
        <w:topLinePunct w:val="0"/>
        <w:autoSpaceDE/>
        <w:autoSpaceDN/>
        <w:bidi w:val="0"/>
        <w:adjustRightInd/>
        <w:spacing w:line="560" w:lineRule="exact"/>
        <w:ind w:firstLine="640"/>
        <w:textAlignment w:val="auto"/>
        <w:rPr>
          <w:rFonts w:hint="eastAsia"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（四）协助抓好学校国防教育工作；</w:t>
      </w:r>
    </w:p>
    <w:p>
      <w:pPr>
        <w:pStyle w:val="35"/>
        <w:pageBreakBefore w:val="0"/>
        <w:widowControl/>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lang w:val="en-US" w:eastAsia="zh-CN"/>
        </w:rPr>
        <w:t>五</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协调抓好人防工程维护和管理；</w:t>
      </w:r>
    </w:p>
    <w:p>
      <w:pPr>
        <w:pageBreakBefore w:val="0"/>
        <w:widowControl/>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（六）完成上级交办的其他工作。</w:t>
      </w:r>
    </w:p>
    <w:p>
      <w:pPr>
        <w:pageBreakBefore w:val="0"/>
        <w:widowControl/>
        <w:kinsoku/>
        <w:wordWrap/>
        <w:overflowPunct/>
        <w:topLinePunct w:val="0"/>
        <w:autoSpaceDE/>
        <w:autoSpaceDN/>
        <w:bidi w:val="0"/>
        <w:adjustRightInd/>
        <w:spacing w:line="560" w:lineRule="exact"/>
        <w:textAlignment w:val="auto"/>
        <w:rPr>
          <w:rFonts w:ascii="方正仿宋_GBK" w:hAnsi="宋体" w:eastAsia="方正仿宋_GBK" w:cs="宋体"/>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hint="eastAsia" w:eastAsia="方正黑体_GBK" w:asciiTheme="majorAscii" w:hAnsiTheme="majorAscii" w:cstheme="majorBidi"/>
          <w:b/>
          <w:bCs w:val="0"/>
          <w:color w:val="auto"/>
          <w:kern w:val="2"/>
          <w:sz w:val="32"/>
          <w:szCs w:val="32"/>
          <w:highlight w:val="none"/>
          <w:lang w:val="en-US" w:eastAsia="zh-CN" w:bidi="ar-SA"/>
        </w:rPr>
      </w:pPr>
      <w:bookmarkStart w:id="242" w:name="_Toc15398639"/>
      <w:bookmarkStart w:id="243" w:name="_Toc19375"/>
      <w:r>
        <w:rPr>
          <w:rFonts w:hint="eastAsia" w:eastAsia="方正黑体_GBK" w:asciiTheme="majorAscii" w:hAnsiTheme="majorAscii" w:cstheme="majorBidi"/>
          <w:b/>
          <w:bCs w:val="0"/>
          <w:color w:val="auto"/>
          <w:kern w:val="2"/>
          <w:sz w:val="32"/>
          <w:szCs w:val="32"/>
          <w:highlight w:val="none"/>
          <w:lang w:val="en-US" w:eastAsia="zh-CN" w:bidi="ar-SA"/>
        </w:rPr>
        <w:t>第二章  兵役登记管理</w:t>
      </w:r>
      <w:bookmarkEnd w:id="242"/>
      <w:bookmarkEnd w:id="243"/>
    </w:p>
    <w:p>
      <w:pPr>
        <w:pStyle w:val="35"/>
        <w:pageBreakBefore w:val="0"/>
        <w:widowControl/>
        <w:kinsoku/>
        <w:wordWrap/>
        <w:overflowPunct/>
        <w:topLinePunct w:val="0"/>
        <w:autoSpaceDE/>
        <w:autoSpaceDN/>
        <w:bidi w:val="0"/>
        <w:adjustRightInd/>
        <w:spacing w:line="560" w:lineRule="exact"/>
        <w:ind w:firstLine="0" w:firstLineChars="0"/>
        <w:textAlignment w:val="auto"/>
        <w:rPr>
          <w:rFonts w:ascii="方正黑体_GBK" w:hAnsi="宋体" w:eastAsia="方正黑体_GBK" w:cs="宋体"/>
          <w:color w:val="auto"/>
          <w:sz w:val="32"/>
          <w:szCs w:val="32"/>
          <w:highlight w:val="none"/>
        </w:rPr>
      </w:pP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hAnsi="方正楷体_GBK" w:eastAsia="方正楷体_GBK" w:cs="方正楷体_GBK"/>
          <w:b/>
          <w:color w:val="auto"/>
          <w:sz w:val="32"/>
          <w:szCs w:val="32"/>
          <w:highlight w:val="none"/>
        </w:rPr>
        <w:t>第五条</w:t>
      </w:r>
      <w:r>
        <w:rPr>
          <w:rFonts w:hint="eastAsia" w:ascii="方正仿宋_GBK" w:hAnsi="宋体" w:eastAsia="方正仿宋_GBK" w:cs="宋体"/>
          <w:color w:val="auto"/>
          <w:sz w:val="32"/>
          <w:szCs w:val="32"/>
          <w:highlight w:val="none"/>
        </w:rPr>
        <w:t xml:space="preserve">  学校人民武装部按照上级主管部门的要求指导二级学院配合兵役机关完成学校内适龄青年学生的兵役登记、宣传、动员、督导、检查工作。</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hAnsi="方正楷体_GBK" w:eastAsia="方正楷体_GBK" w:cs="方正楷体_GBK"/>
          <w:b/>
          <w:color w:val="auto"/>
          <w:sz w:val="32"/>
          <w:szCs w:val="32"/>
          <w:highlight w:val="none"/>
        </w:rPr>
        <w:t>第六条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宋体" w:eastAsia="方正仿宋_GBK" w:cs="宋体"/>
          <w:color w:val="auto"/>
          <w:sz w:val="32"/>
          <w:szCs w:val="32"/>
          <w:highlight w:val="none"/>
        </w:rPr>
        <w:t>二级学院应当督促本学院内符合兵役登记要求的男性学生进行兵役登记。</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hAnsi="方正楷体_GBK" w:eastAsia="方正楷体_GBK" w:cs="方正楷体_GBK"/>
          <w:b/>
          <w:color w:val="auto"/>
          <w:sz w:val="32"/>
          <w:szCs w:val="32"/>
          <w:highlight w:val="none"/>
        </w:rPr>
        <w:t>第七条</w:t>
      </w:r>
      <w:r>
        <w:rPr>
          <w:rFonts w:hint="eastAsia" w:ascii="方正仿宋_GBK" w:hAnsi="宋体" w:eastAsia="方正仿宋_GBK" w:cs="宋体"/>
          <w:color w:val="auto"/>
          <w:sz w:val="32"/>
          <w:szCs w:val="32"/>
          <w:highlight w:val="none"/>
        </w:rPr>
        <w:t xml:space="preserve">  凡</w:t>
      </w:r>
      <w:r>
        <w:rPr>
          <w:rFonts w:hint="eastAsia" w:ascii="方正仿宋_GBK" w:hAnsi="方正仿宋_GBK" w:eastAsia="方正仿宋_GBK" w:cs="方正仿宋_GBK"/>
          <w:color w:val="auto"/>
          <w:kern w:val="0"/>
          <w:sz w:val="32"/>
          <w:szCs w:val="32"/>
          <w:highlight w:val="none"/>
        </w:rPr>
        <w:t>学校依据国家有关政策招收的具有全日制学籍的男性学生，</w:t>
      </w:r>
      <w:r>
        <w:rPr>
          <w:rFonts w:hint="eastAsia" w:ascii="方正仿宋_GBK" w:hAnsi="宋体" w:eastAsia="方正仿宋_GBK" w:cs="宋体"/>
          <w:color w:val="auto"/>
          <w:sz w:val="32"/>
          <w:szCs w:val="32"/>
          <w:highlight w:val="none"/>
        </w:rPr>
        <w:t>当年12月31日以前年满18周岁的，</w:t>
      </w:r>
      <w:r>
        <w:rPr>
          <w:rFonts w:hint="eastAsia" w:ascii="方正仿宋_GBK" w:hAnsi="宋体" w:eastAsia="方正仿宋_GBK" w:cs="宋体"/>
          <w:color w:val="auto"/>
          <w:sz w:val="32"/>
          <w:szCs w:val="32"/>
          <w:highlight w:val="none"/>
          <w:lang w:val="en-US" w:eastAsia="zh-CN"/>
        </w:rPr>
        <w:t>都</w:t>
      </w:r>
      <w:r>
        <w:rPr>
          <w:rFonts w:hint="eastAsia" w:ascii="方正仿宋_GBK" w:hAnsi="宋体" w:eastAsia="方正仿宋_GBK" w:cs="宋体"/>
          <w:color w:val="auto"/>
          <w:sz w:val="32"/>
          <w:szCs w:val="32"/>
          <w:highlight w:val="none"/>
        </w:rPr>
        <w:t>应当进行兵役登记。</w:t>
      </w:r>
    </w:p>
    <w:p>
      <w:pPr>
        <w:pageBreakBefore w:val="0"/>
        <w:widowControl/>
        <w:kinsoku/>
        <w:wordWrap/>
        <w:overflowPunct/>
        <w:topLinePunct w:val="0"/>
        <w:autoSpaceDE/>
        <w:autoSpaceDN/>
        <w:bidi w:val="0"/>
        <w:adjustRightInd/>
        <w:spacing w:line="560" w:lineRule="exact"/>
        <w:ind w:firstLine="320" w:firstLineChars="10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 xml:space="preserve">  </w:t>
      </w:r>
      <w:r>
        <w:rPr>
          <w:rFonts w:hint="eastAsia" w:ascii="方正楷体_GBK" w:eastAsia="方正楷体_GBK"/>
          <w:b/>
          <w:color w:val="auto"/>
          <w:sz w:val="32"/>
          <w:szCs w:val="32"/>
          <w:highlight w:val="none"/>
        </w:rPr>
        <w:t>第八条</w:t>
      </w:r>
      <w:r>
        <w:rPr>
          <w:rFonts w:hint="eastAsia" w:ascii="方正楷体_GBK" w:eastAsia="方正楷体_GBK"/>
          <w:color w:val="auto"/>
          <w:sz w:val="32"/>
          <w:szCs w:val="32"/>
          <w:highlight w:val="none"/>
        </w:rPr>
        <w:t xml:space="preserve">  </w:t>
      </w:r>
      <w:r>
        <w:rPr>
          <w:rFonts w:hint="eastAsia" w:ascii="方正仿宋_GBK" w:hAnsi="宋体" w:eastAsia="方正仿宋_GBK" w:cs="宋体"/>
          <w:color w:val="auto"/>
          <w:sz w:val="32"/>
          <w:szCs w:val="32"/>
          <w:highlight w:val="none"/>
        </w:rPr>
        <w:t>学校招生部门在寄发三年制大专《录取通知书》时，应当在适当位置注明“凡年满18周岁的男性公民</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入学前必须进行兵役登记</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报名时须携带《公民兵役证》或兵役登记相关证明”</w:t>
      </w:r>
      <w:r>
        <w:rPr>
          <w:rFonts w:hint="eastAsia" w:ascii="方正仿宋_GBK" w:hAnsi="宋体" w:eastAsia="方正仿宋_GBK" w:cs="宋体"/>
          <w:color w:val="auto"/>
          <w:sz w:val="32"/>
          <w:szCs w:val="32"/>
          <w:highlight w:val="none"/>
          <w:lang w:val="en-US" w:eastAsia="zh-CN"/>
        </w:rPr>
        <w:t>材料</w:t>
      </w:r>
      <w:r>
        <w:rPr>
          <w:rFonts w:hint="eastAsia" w:ascii="方正仿宋_GBK" w:hAnsi="宋体" w:eastAsia="方正仿宋_GBK" w:cs="宋体"/>
          <w:color w:val="auto"/>
          <w:sz w:val="32"/>
          <w:szCs w:val="32"/>
          <w:highlight w:val="none"/>
        </w:rPr>
        <w:t>。</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eastAsia="方正楷体_GBK"/>
          <w:b/>
          <w:color w:val="auto"/>
          <w:sz w:val="32"/>
          <w:szCs w:val="32"/>
          <w:highlight w:val="none"/>
        </w:rPr>
        <w:t>第九条</w:t>
      </w:r>
      <w:r>
        <w:rPr>
          <w:rFonts w:hint="eastAsia" w:ascii="方正仿宋_GBK" w:hAnsi="宋体" w:eastAsia="方正仿宋_GBK" w:cs="宋体"/>
          <w:color w:val="auto"/>
          <w:sz w:val="32"/>
          <w:szCs w:val="32"/>
          <w:highlight w:val="none"/>
        </w:rPr>
        <w:t xml:space="preserve">  三年制大专新生报道期间，二级学院须安排专人检验新生的《公民兵役证》或兵役机关出具的兵役登记相关证明。</w:t>
      </w:r>
    </w:p>
    <w:p>
      <w:pPr>
        <w:pageBreakBefore w:val="0"/>
        <w:widowControl/>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宋体"/>
          <w:color w:val="auto"/>
          <w:sz w:val="32"/>
          <w:szCs w:val="32"/>
          <w:highlight w:val="none"/>
        </w:rPr>
      </w:pPr>
      <w:r>
        <w:rPr>
          <w:rFonts w:hint="eastAsia" w:ascii="方正仿宋_GBK" w:hAnsi="宋体" w:eastAsia="方正仿宋_GBK" w:cs="宋体"/>
          <w:color w:val="auto"/>
          <w:sz w:val="32"/>
          <w:szCs w:val="32"/>
          <w:highlight w:val="none"/>
        </w:rPr>
        <w:t>户籍为外省被我校录取的男性学生未进行兵役登记或不能出具相关证明的</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应在第二学年开学前返回原籍补办兵役登记手续。</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hAnsi="方正楷体_GBK" w:eastAsia="方正楷体_GBK" w:cs="方正楷体_GBK"/>
          <w:b/>
          <w:color w:val="auto"/>
          <w:sz w:val="32"/>
          <w:szCs w:val="32"/>
          <w:highlight w:val="none"/>
        </w:rPr>
        <w:t>第十条</w:t>
      </w:r>
      <w:r>
        <w:rPr>
          <w:rFonts w:hint="eastAsia" w:ascii="方正仿宋_GBK" w:hAnsi="宋体" w:eastAsia="方正仿宋_GBK" w:cs="宋体"/>
          <w:color w:val="auto"/>
          <w:sz w:val="32"/>
          <w:szCs w:val="32"/>
          <w:highlight w:val="none"/>
        </w:rPr>
        <w:t xml:space="preserve">  原则上户籍为本省内的学生未进行兵役登记或不能出具相关证明的</w:t>
      </w:r>
      <w:r>
        <w:rPr>
          <w:rFonts w:hint="eastAsia" w:ascii="方正仿宋_GBK" w:hAnsi="宋体" w:eastAsia="方正仿宋_GBK" w:cs="宋体"/>
          <w:color w:val="auto"/>
          <w:sz w:val="32"/>
          <w:szCs w:val="32"/>
          <w:highlight w:val="none"/>
          <w:lang w:eastAsia="zh-CN"/>
        </w:rPr>
        <w:t>，</w:t>
      </w:r>
      <w:r>
        <w:rPr>
          <w:rFonts w:hint="eastAsia" w:ascii="方正仿宋_GBK" w:hAnsi="宋体" w:eastAsia="方正仿宋_GBK" w:cs="宋体"/>
          <w:color w:val="auto"/>
          <w:sz w:val="32"/>
          <w:szCs w:val="32"/>
          <w:highlight w:val="none"/>
        </w:rPr>
        <w:t>学校学籍管理部门原则上一律不得为其办理入学登记手续。</w:t>
      </w:r>
    </w:p>
    <w:p>
      <w:pPr>
        <w:pageBreakBefore w:val="0"/>
        <w:widowControl/>
        <w:kinsoku/>
        <w:wordWrap/>
        <w:overflowPunct/>
        <w:topLinePunct w:val="0"/>
        <w:autoSpaceDE/>
        <w:autoSpaceDN/>
        <w:bidi w:val="0"/>
        <w:adjustRightInd/>
        <w:spacing w:line="560" w:lineRule="exact"/>
        <w:textAlignment w:val="auto"/>
        <w:rPr>
          <w:rFonts w:ascii="方正仿宋_GBK" w:hAnsi="宋体" w:eastAsia="方正仿宋_GBK" w:cs="宋体"/>
          <w:b/>
          <w:bCs/>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hint="eastAsia" w:eastAsia="方正黑体_GBK" w:asciiTheme="majorAscii" w:hAnsiTheme="majorAscii" w:cstheme="majorBidi"/>
          <w:b/>
          <w:bCs w:val="0"/>
          <w:color w:val="auto"/>
          <w:kern w:val="2"/>
          <w:sz w:val="32"/>
          <w:szCs w:val="32"/>
          <w:highlight w:val="none"/>
          <w:lang w:val="en-US" w:eastAsia="zh-CN" w:bidi="ar-SA"/>
        </w:rPr>
      </w:pPr>
      <w:bookmarkStart w:id="244" w:name="_Toc15398640"/>
      <w:bookmarkStart w:id="245" w:name="_Toc4060"/>
      <w:r>
        <w:rPr>
          <w:rFonts w:hint="eastAsia" w:eastAsia="方正黑体_GBK" w:asciiTheme="majorAscii" w:hAnsiTheme="majorAscii" w:cstheme="majorBidi"/>
          <w:b/>
          <w:bCs w:val="0"/>
          <w:color w:val="auto"/>
          <w:kern w:val="2"/>
          <w:sz w:val="32"/>
          <w:szCs w:val="32"/>
          <w:highlight w:val="none"/>
          <w:lang w:val="en-US" w:eastAsia="zh-CN" w:bidi="ar-SA"/>
        </w:rPr>
        <w:t>第三章  学生应征入伍管理</w:t>
      </w:r>
      <w:bookmarkEnd w:id="244"/>
      <w:bookmarkEnd w:id="245"/>
    </w:p>
    <w:p>
      <w:pPr>
        <w:pageBreakBefore w:val="0"/>
        <w:widowControl/>
        <w:kinsoku/>
        <w:wordWrap/>
        <w:overflowPunct/>
        <w:topLinePunct w:val="0"/>
        <w:autoSpaceDE/>
        <w:autoSpaceDN/>
        <w:bidi w:val="0"/>
        <w:adjustRightInd/>
        <w:spacing w:line="560" w:lineRule="exact"/>
        <w:jc w:val="center"/>
        <w:textAlignment w:val="auto"/>
        <w:rPr>
          <w:rFonts w:ascii="方正黑体_GBK" w:hAnsi="宋体" w:eastAsia="方正黑体_GBK" w:cs="宋体"/>
          <w:b/>
          <w:color w:val="auto"/>
          <w:sz w:val="32"/>
          <w:szCs w:val="32"/>
          <w:highlight w:val="none"/>
        </w:rPr>
      </w:pPr>
    </w:p>
    <w:p>
      <w:pPr>
        <w:pageBreakBefore w:val="0"/>
        <w:widowControl/>
        <w:kinsoku/>
        <w:wordWrap/>
        <w:overflowPunct/>
        <w:topLinePunct w:val="0"/>
        <w:autoSpaceDE/>
        <w:autoSpaceDN/>
        <w:bidi w:val="0"/>
        <w:adjustRightInd/>
        <w:spacing w:line="560" w:lineRule="exact"/>
        <w:ind w:firstLine="643" w:firstLineChars="200"/>
        <w:textAlignment w:val="auto"/>
        <w:rPr>
          <w:rFonts w:ascii="方正黑体_GBK" w:hAnsi="宋体" w:eastAsia="方正黑体_GBK" w:cs="宋体"/>
          <w:b/>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楷体_GBK" w:eastAsia="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学校人民武装部（大学生征兵工作站）是学校征兵工作的主管部门，在上级兵役机关和学校党委的领导下，负责计划、组织、协调、指导和监督二级学院按照规定开展</w:t>
      </w:r>
      <w:r>
        <w:rPr>
          <w:rFonts w:hint="eastAsia" w:ascii="方正仿宋_GBK" w:hAnsi="方正仿宋_GBK" w:eastAsia="方正仿宋_GBK" w:cs="方正仿宋_GBK"/>
          <w:color w:val="auto"/>
          <w:sz w:val="32"/>
          <w:szCs w:val="32"/>
          <w:highlight w:val="none"/>
          <w:lang w:val="en-US" w:eastAsia="zh-CN"/>
        </w:rPr>
        <w:t>大学生</w:t>
      </w:r>
      <w:r>
        <w:rPr>
          <w:rFonts w:hint="eastAsia" w:ascii="方正仿宋_GBK" w:hAnsi="方正仿宋_GBK" w:eastAsia="方正仿宋_GBK" w:cs="方正仿宋_GBK"/>
          <w:color w:val="auto"/>
          <w:sz w:val="32"/>
          <w:szCs w:val="32"/>
          <w:highlight w:val="none"/>
        </w:rPr>
        <w:t>征兵工作。</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楷体_GBK" w:eastAsia="方正楷体_GBK"/>
          <w:color w:val="auto"/>
          <w:sz w:val="32"/>
          <w:szCs w:val="32"/>
          <w:highlight w:val="none"/>
        </w:rPr>
      </w:pPr>
      <w:r>
        <w:rPr>
          <w:rFonts w:hint="eastAsia" w:ascii="方正楷体_GBK" w:eastAsia="方正楷体_GBK"/>
          <w:b/>
          <w:color w:val="auto"/>
          <w:sz w:val="32"/>
          <w:szCs w:val="32"/>
          <w:highlight w:val="none"/>
        </w:rPr>
        <w:t>第十二条</w:t>
      </w:r>
      <w:r>
        <w:rPr>
          <w:rFonts w:hint="eastAsia" w:ascii="方正仿宋_GBK" w:hAnsi="方正仿宋_GBK" w:eastAsia="方正仿宋_GBK" w:cs="方正仿宋_GBK"/>
          <w:color w:val="auto"/>
          <w:sz w:val="32"/>
          <w:szCs w:val="32"/>
          <w:highlight w:val="none"/>
        </w:rPr>
        <w:t xml:space="preserve">  学校宣传部门负责征兵宣传工作。要以爱国主义精神为主线，按照弘扬主旋律，注重实效性的原则，推动征兵宣传工作全覆盖、常态化。</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楷体_GBK" w:eastAsia="方正楷体_GBK"/>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仿宋_GBK" w:hAnsi="方正仿宋_GBK" w:eastAsia="方正仿宋_GBK" w:cs="方正仿宋_GBK"/>
          <w:color w:val="auto"/>
          <w:sz w:val="32"/>
          <w:szCs w:val="32"/>
          <w:highlight w:val="none"/>
        </w:rPr>
        <w:t xml:space="preserve">  二级学院应当配合学校人民武装部组织学生应征入伍等工作；协助学生做好入伍手续办理、学籍</w:t>
      </w:r>
      <w:r>
        <w:rPr>
          <w:rFonts w:hint="eastAsia" w:ascii="方正仿宋_GBK" w:hAnsi="方正仿宋_GBK" w:eastAsia="方正仿宋_GBK" w:cs="方正仿宋_GBK"/>
          <w:color w:val="auto"/>
          <w:sz w:val="32"/>
          <w:szCs w:val="32"/>
          <w:highlight w:val="none"/>
          <w:lang w:val="en-US" w:eastAsia="zh-CN"/>
        </w:rPr>
        <w:t>保留、</w:t>
      </w:r>
      <w:r>
        <w:rPr>
          <w:rFonts w:hint="eastAsia" w:ascii="方正仿宋_GBK" w:hAnsi="方正仿宋_GBK" w:eastAsia="方正仿宋_GBK" w:cs="方正仿宋_GBK"/>
          <w:color w:val="auto"/>
          <w:sz w:val="32"/>
          <w:szCs w:val="32"/>
          <w:highlight w:val="none"/>
        </w:rPr>
        <w:t>入学资格保留、学费补偿（减免）、贷款代偿、退役复学、就业创业指导、专升本等相关工作。</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楷体_GBK" w:eastAsia="方正楷体_GBK"/>
          <w:color w:val="auto"/>
          <w:sz w:val="32"/>
          <w:szCs w:val="32"/>
          <w:highlight w:val="none"/>
        </w:rPr>
      </w:pPr>
      <w:r>
        <w:rPr>
          <w:rFonts w:hint="eastAsia" w:ascii="方正楷体_GBK" w:eastAsia="方正楷体_GBK"/>
          <w:b/>
          <w:color w:val="auto"/>
          <w:sz w:val="32"/>
          <w:szCs w:val="32"/>
          <w:highlight w:val="none"/>
        </w:rPr>
        <w:t xml:space="preserve">第十四条  </w:t>
      </w:r>
      <w:r>
        <w:rPr>
          <w:rFonts w:hint="eastAsia" w:ascii="方正仿宋_GBK" w:hAnsi="方正仿宋_GBK" w:eastAsia="方正仿宋_GBK" w:cs="方正仿宋_GBK"/>
          <w:color w:val="auto"/>
          <w:sz w:val="32"/>
          <w:szCs w:val="32"/>
          <w:highlight w:val="none"/>
        </w:rPr>
        <w:t>二级学院应当以本学院适龄男性学生数为基准，按照学校下达的征兵任务计划数，认真开展征兵宣传和</w:t>
      </w:r>
      <w:r>
        <w:rPr>
          <w:rFonts w:hint="eastAsia" w:ascii="方正仿宋_GBK" w:hAnsi="方正仿宋_GBK" w:eastAsia="方正仿宋_GBK" w:cs="方正仿宋_GBK"/>
          <w:color w:val="auto"/>
          <w:sz w:val="32"/>
          <w:szCs w:val="32"/>
          <w:highlight w:val="none"/>
          <w:lang w:val="en-US" w:eastAsia="zh-CN"/>
        </w:rPr>
        <w:t>兵员征集</w:t>
      </w:r>
      <w:r>
        <w:rPr>
          <w:rFonts w:hint="eastAsia" w:ascii="方正仿宋_GBK" w:hAnsi="方正仿宋_GBK" w:eastAsia="方正仿宋_GBK" w:cs="方正仿宋_GBK"/>
          <w:color w:val="auto"/>
          <w:sz w:val="32"/>
          <w:szCs w:val="32"/>
          <w:highlight w:val="none"/>
        </w:rPr>
        <w:t>工作，组织学生网上报名、体格检查和政治考核等工作。</w:t>
      </w:r>
    </w:p>
    <w:p>
      <w:pPr>
        <w:pageBreakBefore w:val="0"/>
        <w:widowControl/>
        <w:kinsoku/>
        <w:wordWrap/>
        <w:overflowPunct/>
        <w:topLinePunct w:val="0"/>
        <w:autoSpaceDE/>
        <w:autoSpaceDN/>
        <w:bidi w:val="0"/>
        <w:adjustRightInd/>
        <w:spacing w:line="560" w:lineRule="exact"/>
        <w:textAlignment w:val="auto"/>
        <w:rPr>
          <w:rFonts w:ascii="方正楷体_GBK" w:eastAsia="方正楷体_GBK"/>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hint="eastAsia" w:eastAsia="方正黑体_GBK" w:asciiTheme="majorAscii" w:hAnsiTheme="majorAscii" w:cstheme="majorBidi"/>
          <w:b/>
          <w:bCs w:val="0"/>
          <w:color w:val="auto"/>
          <w:kern w:val="2"/>
          <w:sz w:val="32"/>
          <w:szCs w:val="32"/>
          <w:highlight w:val="none"/>
          <w:lang w:val="en-US" w:eastAsia="zh-CN" w:bidi="ar-SA"/>
        </w:rPr>
      </w:pPr>
      <w:bookmarkStart w:id="246" w:name="_Toc15398641"/>
      <w:bookmarkStart w:id="247" w:name="_Toc18590"/>
      <w:r>
        <w:rPr>
          <w:rFonts w:hint="eastAsia" w:eastAsia="方正黑体_GBK" w:asciiTheme="majorAscii" w:hAnsiTheme="majorAscii" w:cstheme="majorBidi"/>
          <w:b/>
          <w:bCs w:val="0"/>
          <w:color w:val="auto"/>
          <w:kern w:val="2"/>
          <w:sz w:val="32"/>
          <w:szCs w:val="32"/>
          <w:highlight w:val="none"/>
          <w:lang w:val="en-US" w:eastAsia="zh-CN" w:bidi="ar-SA"/>
        </w:rPr>
        <w:t>第四章  监督与考核</w:t>
      </w:r>
      <w:bookmarkEnd w:id="246"/>
      <w:bookmarkEnd w:id="247"/>
    </w:p>
    <w:p>
      <w:pPr>
        <w:pStyle w:val="35"/>
        <w:pageBreakBefore w:val="0"/>
        <w:widowControl/>
        <w:kinsoku/>
        <w:wordWrap/>
        <w:overflowPunct/>
        <w:topLinePunct w:val="0"/>
        <w:autoSpaceDE/>
        <w:autoSpaceDN/>
        <w:bidi w:val="0"/>
        <w:adjustRightInd/>
        <w:spacing w:line="560" w:lineRule="exact"/>
        <w:ind w:firstLine="0" w:firstLineChars="0"/>
        <w:textAlignment w:val="auto"/>
        <w:rPr>
          <w:rFonts w:ascii="方正仿宋_GBK" w:hAnsi="方正仿宋_GBK" w:eastAsia="方正仿宋_GBK" w:cs="方正仿宋_GBK"/>
          <w:color w:val="auto"/>
          <w:sz w:val="32"/>
          <w:szCs w:val="32"/>
          <w:highlight w:val="none"/>
        </w:rPr>
      </w:pP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第十五条</w:t>
      </w:r>
      <w:r>
        <w:rPr>
          <w:rFonts w:hint="eastAsia" w:ascii="方正仿宋_GBK" w:hAnsi="方正仿宋_GBK" w:eastAsia="方正仿宋_GBK" w:cs="方正仿宋_GBK"/>
          <w:color w:val="auto"/>
          <w:sz w:val="32"/>
          <w:szCs w:val="32"/>
          <w:highlight w:val="none"/>
        </w:rPr>
        <w:t xml:space="preserve">  学校严格落实目标责任考核制度。根据上级主管部门和兵役机关下达的工作任务，与</w:t>
      </w:r>
      <w:r>
        <w:rPr>
          <w:rFonts w:hint="eastAsia" w:ascii="方正仿宋_GBK" w:hAnsi="方正仿宋_GBK" w:eastAsia="方正仿宋_GBK" w:cs="方正仿宋_GBK"/>
          <w:color w:val="auto"/>
          <w:sz w:val="32"/>
          <w:szCs w:val="32"/>
          <w:highlight w:val="none"/>
          <w:lang w:val="en-US" w:eastAsia="zh-CN"/>
        </w:rPr>
        <w:t>二级学院</w:t>
      </w:r>
      <w:r>
        <w:rPr>
          <w:rFonts w:hint="eastAsia" w:ascii="方正仿宋_GBK" w:hAnsi="方正仿宋_GBK" w:eastAsia="方正仿宋_GBK" w:cs="方正仿宋_GBK"/>
          <w:color w:val="auto"/>
          <w:sz w:val="32"/>
          <w:szCs w:val="32"/>
          <w:highlight w:val="none"/>
        </w:rPr>
        <w:t>签订</w:t>
      </w:r>
      <w:r>
        <w:rPr>
          <w:rFonts w:hint="eastAsia" w:ascii="方正仿宋_GBK" w:hAnsi="方正仿宋_GBK" w:eastAsia="方正仿宋_GBK" w:cs="方正仿宋_GBK"/>
          <w:color w:val="auto"/>
          <w:sz w:val="32"/>
          <w:szCs w:val="32"/>
          <w:highlight w:val="none"/>
          <w:lang w:val="en-US" w:eastAsia="zh-CN"/>
        </w:rPr>
        <w:t>征兵</w:t>
      </w:r>
      <w:r>
        <w:rPr>
          <w:rFonts w:hint="eastAsia" w:ascii="方正仿宋_GBK" w:hAnsi="方正仿宋_GBK" w:eastAsia="方正仿宋_GBK" w:cs="方正仿宋_GBK"/>
          <w:color w:val="auto"/>
          <w:sz w:val="32"/>
          <w:szCs w:val="32"/>
          <w:highlight w:val="none"/>
        </w:rPr>
        <w:t>工作目标责任书。</w:t>
      </w: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第十六条</w:t>
      </w:r>
      <w:r>
        <w:rPr>
          <w:rFonts w:hint="eastAsia" w:ascii="方正仿宋_GBK" w:hAnsi="方正仿宋_GBK" w:eastAsia="方正仿宋_GBK" w:cs="方正仿宋_GBK"/>
          <w:color w:val="auto"/>
          <w:sz w:val="32"/>
          <w:szCs w:val="32"/>
          <w:highlight w:val="none"/>
        </w:rPr>
        <w:t xml:space="preserve">  学校对在学生兵役登记和应征入伍相关工作中表现突出的单位和个人给予表彰。</w:t>
      </w:r>
    </w:p>
    <w:p>
      <w:pPr>
        <w:pStyle w:val="35"/>
        <w:pageBreakBefore w:val="0"/>
        <w:widowControl/>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第十七条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学校各有关部门要按照上级主管部门和兵役机关的要求，加强对工作人员纪律教育，建立健全监督机制。对工作中组织不得力、措施不到位、工作不尽责的部门和个人</w:t>
      </w:r>
      <w:r>
        <w:rPr>
          <w:rFonts w:hint="eastAsia" w:ascii="方正仿宋_GBK" w:hAnsi="方正仿宋_GBK" w:eastAsia="方正仿宋_GBK" w:cs="方正仿宋_GBK"/>
          <w:color w:val="auto"/>
          <w:sz w:val="32"/>
          <w:szCs w:val="32"/>
          <w:highlight w:val="none"/>
          <w:lang w:val="en-US" w:eastAsia="zh-CN"/>
        </w:rPr>
        <w:t>追责问责</w:t>
      </w:r>
      <w:r>
        <w:rPr>
          <w:rFonts w:hint="eastAsia" w:ascii="方正仿宋_GBK" w:hAnsi="方正仿宋_GBK" w:eastAsia="方正仿宋_GBK" w:cs="方正仿宋_GBK"/>
          <w:color w:val="auto"/>
          <w:sz w:val="32"/>
          <w:szCs w:val="32"/>
          <w:highlight w:val="none"/>
        </w:rPr>
        <w:t>。</w:t>
      </w:r>
    </w:p>
    <w:p>
      <w:pPr>
        <w:pageBreakBefore w:val="0"/>
        <w:widowControl/>
        <w:kinsoku/>
        <w:wordWrap/>
        <w:overflowPunct/>
        <w:topLinePunct w:val="0"/>
        <w:autoSpaceDE/>
        <w:autoSpaceDN/>
        <w:bidi w:val="0"/>
        <w:adjustRightInd/>
        <w:spacing w:line="560" w:lineRule="exact"/>
        <w:jc w:val="center"/>
        <w:textAlignment w:val="auto"/>
        <w:rPr>
          <w:rFonts w:ascii="方正黑体_GBK" w:hAnsi="宋体" w:eastAsia="方正黑体_GBK" w:cs="宋体"/>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hint="eastAsia" w:eastAsia="方正黑体_GBK" w:asciiTheme="majorAscii" w:hAnsiTheme="majorAscii" w:cstheme="majorBidi"/>
          <w:b/>
          <w:bCs w:val="0"/>
          <w:color w:val="auto"/>
          <w:kern w:val="2"/>
          <w:sz w:val="32"/>
          <w:szCs w:val="32"/>
          <w:highlight w:val="none"/>
          <w:lang w:val="en-US" w:eastAsia="zh-CN" w:bidi="ar-SA"/>
        </w:rPr>
      </w:pPr>
      <w:bookmarkStart w:id="248" w:name="_Toc15398642"/>
      <w:bookmarkStart w:id="249" w:name="_Toc12589"/>
      <w:r>
        <w:rPr>
          <w:rFonts w:hint="eastAsia" w:eastAsia="方正黑体_GBK" w:asciiTheme="majorAscii" w:hAnsiTheme="majorAscii" w:cstheme="majorBidi"/>
          <w:b/>
          <w:bCs w:val="0"/>
          <w:color w:val="auto"/>
          <w:kern w:val="2"/>
          <w:sz w:val="32"/>
          <w:szCs w:val="32"/>
          <w:highlight w:val="none"/>
          <w:lang w:val="en-US" w:eastAsia="zh-CN" w:bidi="ar-SA"/>
        </w:rPr>
        <w:t>第五章  附则</w:t>
      </w:r>
      <w:bookmarkEnd w:id="248"/>
      <w:bookmarkEnd w:id="249"/>
    </w:p>
    <w:p>
      <w:pPr>
        <w:pStyle w:val="35"/>
        <w:pageBreakBefore w:val="0"/>
        <w:widowControl/>
        <w:shd w:val="clear" w:color="auto" w:fill="FFFFFF"/>
        <w:kinsoku/>
        <w:wordWrap/>
        <w:overflowPunct/>
        <w:topLinePunct w:val="0"/>
        <w:autoSpaceDE/>
        <w:autoSpaceDN/>
        <w:bidi w:val="0"/>
        <w:adjustRightInd/>
        <w:spacing w:line="560" w:lineRule="exact"/>
        <w:ind w:left="1320" w:firstLine="0" w:firstLineChars="0"/>
        <w:textAlignment w:val="auto"/>
        <w:rPr>
          <w:rFonts w:ascii="方正仿宋_GBK" w:hAnsi="宋体" w:eastAsia="方正仿宋_GBK" w:cs="宋体"/>
          <w:color w:val="auto"/>
          <w:sz w:val="32"/>
          <w:szCs w:val="32"/>
          <w:highlight w:val="none"/>
        </w:rPr>
      </w:pPr>
    </w:p>
    <w:p>
      <w:pPr>
        <w:pageBreakBefore w:val="0"/>
        <w:widowControl/>
        <w:shd w:val="clear" w:color="auto" w:fill="FFFFFF"/>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sz w:val="32"/>
          <w:szCs w:val="32"/>
          <w:highlight w:val="none"/>
        </w:rPr>
      </w:pPr>
      <w:r>
        <w:rPr>
          <w:rFonts w:hint="eastAsia" w:ascii="方正楷体_GBK" w:hAnsi="宋体" w:eastAsia="方正楷体_GBK" w:cs="宋体"/>
          <w:b/>
          <w:color w:val="auto"/>
          <w:sz w:val="32"/>
          <w:szCs w:val="32"/>
          <w:highlight w:val="none"/>
        </w:rPr>
        <w:t xml:space="preserve">第十八条 </w:t>
      </w:r>
      <w:r>
        <w:rPr>
          <w:rFonts w:hint="eastAsia" w:ascii="方正楷体_GBK" w:hAnsi="宋体" w:eastAsia="方正楷体_GBK" w:cs="宋体"/>
          <w:color w:val="auto"/>
          <w:sz w:val="32"/>
          <w:szCs w:val="32"/>
          <w:highlight w:val="none"/>
        </w:rPr>
        <w:t xml:space="preserve"> </w:t>
      </w:r>
      <w:r>
        <w:rPr>
          <w:rFonts w:hint="eastAsia" w:ascii="方正仿宋_GBK" w:hAnsi="宋体" w:eastAsia="方正仿宋_GBK" w:cs="宋体"/>
          <w:color w:val="auto"/>
          <w:sz w:val="32"/>
          <w:szCs w:val="32"/>
          <w:highlight w:val="none"/>
        </w:rPr>
        <w:t>本办法由学生工作处负责解释。</w:t>
      </w:r>
    </w:p>
    <w:p>
      <w:pPr>
        <w:pageBreakBefore w:val="0"/>
        <w:widowControl/>
        <w:shd w:val="clear" w:color="auto" w:fill="FFFFFF"/>
        <w:kinsoku/>
        <w:wordWrap/>
        <w:overflowPunct/>
        <w:topLinePunct w:val="0"/>
        <w:autoSpaceDE/>
        <w:autoSpaceDN/>
        <w:bidi w:val="0"/>
        <w:adjustRightInd/>
        <w:spacing w:line="560" w:lineRule="exact"/>
        <w:ind w:firstLine="643" w:firstLineChars="200"/>
        <w:textAlignment w:val="auto"/>
        <w:rPr>
          <w:rFonts w:hint="eastAsia" w:ascii="方正仿宋_GBK" w:hAnsi="宋体" w:eastAsia="方正仿宋_GBK" w:cs="宋体"/>
          <w:color w:val="auto"/>
          <w:sz w:val="32"/>
          <w:szCs w:val="32"/>
          <w:highlight w:val="none"/>
        </w:rPr>
      </w:pPr>
      <w:r>
        <w:rPr>
          <w:rFonts w:hint="eastAsia" w:ascii="方正楷体_GBK" w:hAnsi="楷体" w:eastAsia="方正楷体_GBK" w:cs="宋体"/>
          <w:b/>
          <w:color w:val="auto"/>
          <w:sz w:val="32"/>
          <w:szCs w:val="32"/>
          <w:highlight w:val="none"/>
        </w:rPr>
        <w:t>第十九条</w:t>
      </w:r>
      <w:r>
        <w:rPr>
          <w:rFonts w:hint="eastAsia" w:ascii="方正楷体_GBK" w:hAnsi="楷体" w:eastAsia="方正楷体_GBK" w:cs="宋体"/>
          <w:color w:val="auto"/>
          <w:sz w:val="32"/>
          <w:szCs w:val="32"/>
          <w:highlight w:val="none"/>
        </w:rPr>
        <w:t xml:space="preserve">  </w:t>
      </w:r>
      <w:r>
        <w:rPr>
          <w:rFonts w:hint="eastAsia" w:ascii="方正仿宋_GBK" w:hAnsi="宋体" w:eastAsia="方正仿宋_GBK" w:cs="宋体"/>
          <w:color w:val="auto"/>
          <w:sz w:val="32"/>
          <w:szCs w:val="32"/>
          <w:highlight w:val="none"/>
        </w:rPr>
        <w:t>本办法自</w:t>
      </w:r>
      <w:r>
        <w:rPr>
          <w:rFonts w:hint="eastAsia" w:ascii="方正仿宋_GBK" w:hAnsi="宋体" w:eastAsia="方正仿宋_GBK" w:cs="宋体"/>
          <w:color w:val="auto"/>
          <w:sz w:val="32"/>
          <w:szCs w:val="32"/>
          <w:highlight w:val="none"/>
          <w:lang w:val="en-US" w:eastAsia="zh-CN"/>
        </w:rPr>
        <w:t>2022</w:t>
      </w:r>
      <w:r>
        <w:rPr>
          <w:rFonts w:hint="eastAsia" w:ascii="方正仿宋_GBK" w:hAnsi="宋体" w:eastAsia="方正仿宋_GBK" w:cs="宋体"/>
          <w:color w:val="auto"/>
          <w:sz w:val="32"/>
          <w:szCs w:val="32"/>
          <w:highlight w:val="none"/>
        </w:rPr>
        <w:t>年9月1日</w:t>
      </w:r>
      <w:r>
        <w:rPr>
          <w:rFonts w:hint="eastAsia" w:ascii="方正仿宋_GBK" w:hAnsi="宋体" w:eastAsia="方正仿宋_GBK" w:cs="宋体"/>
          <w:color w:val="auto"/>
          <w:sz w:val="32"/>
          <w:szCs w:val="32"/>
          <w:highlight w:val="none"/>
          <w:lang w:val="en-US" w:eastAsia="zh-CN"/>
        </w:rPr>
        <w:t>起实施</w:t>
      </w:r>
      <w:r>
        <w:rPr>
          <w:rFonts w:hint="eastAsia" w:ascii="方正仿宋_GBK" w:hAnsi="宋体" w:eastAsia="方正仿宋_GBK" w:cs="宋体"/>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 w:val="32"/>
          <w:szCs w:val="32"/>
          <w:highlight w:val="none"/>
          <w:lang w:val="en-US" w:eastAsia="zh-CN"/>
        </w:rPr>
      </w:pPr>
    </w:p>
    <w:p>
      <w:pPr>
        <w:pStyle w:val="2"/>
        <w:bidi w:val="0"/>
        <w:rPr>
          <w:rFonts w:hint="eastAsia"/>
          <w:lang w:val="en-US" w:eastAsia="zh-CN"/>
        </w:rPr>
      </w:pPr>
      <w:bookmarkStart w:id="250" w:name="_Toc19826"/>
      <w:r>
        <w:rPr>
          <w:rFonts w:hint="eastAsia" w:ascii="方正公文小标宋" w:hAnsi="方正公文小标宋" w:eastAsia="方正公文小标宋" w:cs="方正公文小标宋"/>
          <w:lang w:val="en-US" w:eastAsia="zh-CN"/>
        </w:rPr>
        <w:t>云南城市建设职业学院学生心理健康教育工作条例（试行）</w:t>
      </w:r>
      <w:bookmarkEnd w:id="250"/>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第一条 </w:t>
      </w:r>
      <w:r>
        <w:rPr>
          <w:rFonts w:hint="eastAsia" w:ascii="方正黑体_GBK" w:hAnsi="方正黑体_GBK" w:eastAsia="方正黑体_GBK" w:cs="方正黑体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为贯彻落实《教育部办公厅关于加强学生心理健康管理工作的通知》（教思政厅函[2021]10号）、《高等学校学生心理健康教育指导纲要》（教党[2018]41号）、《普通高等学校学生心理健康教育工作基本建设标准（试行）》（教思政厅[2011]1号）等文件精神和《云南省高校学生心理健康教育工作评价与督导指标体系（试行）》的要求</w:t>
      </w:r>
      <w:r>
        <w:rPr>
          <w:rFonts w:hint="eastAsia" w:ascii="方正仿宋_GBK" w:hAnsi="方正仿宋_GBK" w:eastAsia="方正仿宋_GBK" w:cs="方正仿宋_GBK"/>
          <w:color w:val="auto"/>
          <w:sz w:val="32"/>
          <w:szCs w:val="32"/>
          <w:highlight w:val="none"/>
        </w:rPr>
        <w:t>，进一步规范</w:t>
      </w:r>
      <w:r>
        <w:rPr>
          <w:rFonts w:hint="eastAsia" w:ascii="方正仿宋_GBK" w:hAnsi="方正仿宋_GBK" w:eastAsia="方正仿宋_GBK" w:cs="方正仿宋_GBK"/>
          <w:color w:val="auto"/>
          <w:sz w:val="32"/>
          <w:szCs w:val="32"/>
          <w:highlight w:val="none"/>
          <w:lang w:val="en-US" w:eastAsia="zh-CN"/>
        </w:rPr>
        <w:t>学校心理健康教育工作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充分发挥</w:t>
      </w:r>
      <w:r>
        <w:rPr>
          <w:rFonts w:hint="eastAsia" w:ascii="方正仿宋_GBK" w:hAnsi="方正仿宋_GBK" w:eastAsia="方正仿宋_GBK" w:cs="方正仿宋_GBK"/>
          <w:color w:val="auto"/>
          <w:sz w:val="32"/>
          <w:szCs w:val="32"/>
          <w:highlight w:val="none"/>
          <w:lang w:val="en-US" w:eastAsia="zh-CN"/>
        </w:rPr>
        <w:t>四级心理健康教育网络作用</w:t>
      </w:r>
      <w:r>
        <w:rPr>
          <w:rFonts w:hint="eastAsia" w:ascii="方正仿宋_GBK" w:hAnsi="方正仿宋_GBK" w:eastAsia="方正仿宋_GBK" w:cs="方正仿宋_GBK"/>
          <w:color w:val="auto"/>
          <w:sz w:val="32"/>
          <w:szCs w:val="32"/>
          <w:highlight w:val="none"/>
        </w:rPr>
        <w:t>，结合</w:t>
      </w:r>
      <w:r>
        <w:rPr>
          <w:rFonts w:hint="eastAsia" w:ascii="方正仿宋_GBK" w:hAnsi="方正仿宋_GBK" w:eastAsia="方正仿宋_GBK" w:cs="方正仿宋_GBK"/>
          <w:color w:val="auto"/>
          <w:sz w:val="32"/>
          <w:szCs w:val="32"/>
          <w:highlight w:val="none"/>
          <w:lang w:eastAsia="zh-CN"/>
        </w:rPr>
        <w:t>学校</w:t>
      </w:r>
      <w:r>
        <w:rPr>
          <w:rFonts w:hint="eastAsia" w:ascii="方正仿宋_GBK" w:hAnsi="方正仿宋_GBK" w:eastAsia="方正仿宋_GBK" w:cs="方正仿宋_GBK"/>
          <w:color w:val="auto"/>
          <w:sz w:val="32"/>
          <w:szCs w:val="32"/>
          <w:highlight w:val="none"/>
        </w:rPr>
        <w:t>实际，制定</w:t>
      </w:r>
      <w:r>
        <w:rPr>
          <w:rFonts w:hint="eastAsia" w:ascii="方正仿宋_GBK" w:hAnsi="方正仿宋_GBK" w:eastAsia="方正仿宋_GBK" w:cs="方正仿宋_GBK"/>
          <w:color w:val="auto"/>
          <w:sz w:val="32"/>
          <w:szCs w:val="32"/>
          <w:highlight w:val="none"/>
          <w:lang w:eastAsia="zh-CN"/>
        </w:rPr>
        <w:t>本</w:t>
      </w:r>
      <w:r>
        <w:rPr>
          <w:rFonts w:hint="eastAsia" w:ascii="方正仿宋_GBK" w:hAnsi="方正仿宋_GBK" w:eastAsia="方正仿宋_GBK" w:cs="方正仿宋_GBK"/>
          <w:color w:val="auto"/>
          <w:sz w:val="32"/>
          <w:szCs w:val="32"/>
          <w:highlight w:val="none"/>
          <w:lang w:val="en-US" w:eastAsia="zh-CN"/>
        </w:rPr>
        <w:t>条例。</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第二条</w:t>
      </w:r>
      <w:r>
        <w:rPr>
          <w:rFonts w:hint="eastAsia" w:ascii="方正仿宋_GBK" w:hAnsi="方正仿宋_GBK" w:eastAsia="方正仿宋_GBK" w:cs="方正仿宋_GBK"/>
          <w:color w:val="auto"/>
          <w:sz w:val="32"/>
          <w:szCs w:val="32"/>
          <w:highlight w:val="none"/>
          <w:lang w:val="en-US" w:eastAsia="zh-CN"/>
        </w:rPr>
        <w:t xml:space="preserve"> 以习近平新时代中国特色社会主义思想为指导，深入贯彻科学发展观，遵循思想政治教育和学生身心发展规律，开展学生心理健康教育，做好心理健康教育工作，促进学生身心协调发展。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第三条 </w:t>
      </w:r>
      <w:r>
        <w:rPr>
          <w:rFonts w:hint="eastAsia" w:ascii="方正仿宋_GBK" w:hAnsi="方正仿宋_GBK" w:eastAsia="方正仿宋_GBK" w:cs="方正仿宋_GBK"/>
          <w:color w:val="auto"/>
          <w:sz w:val="32"/>
          <w:szCs w:val="32"/>
          <w:highlight w:val="none"/>
          <w:lang w:val="en-US" w:eastAsia="zh-CN"/>
        </w:rPr>
        <w:t>本《条例》中的“学生”是指具有云南城市建设职业学院学籍的学生。</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第二章  机构</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第四条  </w:t>
      </w:r>
      <w:r>
        <w:rPr>
          <w:rFonts w:hint="eastAsia" w:ascii="方正仿宋_GBK" w:hAnsi="方正仿宋_GBK" w:eastAsia="方正仿宋_GBK" w:cs="方正仿宋_GBK"/>
          <w:color w:val="auto"/>
          <w:sz w:val="32"/>
          <w:szCs w:val="40"/>
          <w:highlight w:val="none"/>
          <w:lang w:val="en-US" w:eastAsia="zh-CN"/>
        </w:rPr>
        <w:t>学生心理健康教育工作网络体系分为校-院-班-宿舍四级，学校成立心理健康教育工作领导小组，领导小组下设办公室，办公室设在学生工作处，学生工作处负责人兼任办公室主任，学生工作处心理健康教育中心负责日常事务。各二级学院成立以负责人为组长，分管学生工作的负责人为副组长，辅导员（班主任）、专职教师和学生代表为成员的二级学院心理工作站，各行政班级设立心理委员，各宿舍长兼任宿舍心理联络员，负责本学院的学生心理健康工作。</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rPr>
          <w:rFonts w:hint="eastAsia" w:ascii="方正仿宋_GBK" w:hAnsi="方正仿宋_GBK" w:eastAsia="方正仿宋_GBK" w:cs="方正仿宋_GBK"/>
          <w:color w:val="auto"/>
          <w:sz w:val="32"/>
          <w:szCs w:val="40"/>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第三章  人员组成</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第五条  </w:t>
      </w:r>
      <w:r>
        <w:rPr>
          <w:rFonts w:hint="eastAsia" w:ascii="方正仿宋_GBK" w:hAnsi="方正仿宋_GBK" w:eastAsia="方正仿宋_GBK" w:cs="方正仿宋_GBK"/>
          <w:color w:val="auto"/>
          <w:sz w:val="32"/>
          <w:szCs w:val="32"/>
          <w:highlight w:val="none"/>
          <w:lang w:val="en-US" w:eastAsia="zh-CN"/>
        </w:rPr>
        <w:t>开展日常心理健康工作的人员</w:t>
      </w:r>
      <w:r>
        <w:rPr>
          <w:rFonts w:hint="eastAsia" w:ascii="方正仿宋_GBK" w:hAnsi="方正仿宋_GBK" w:eastAsia="方正仿宋_GBK" w:cs="方正仿宋_GBK"/>
          <w:color w:val="auto"/>
          <w:sz w:val="32"/>
          <w:szCs w:val="40"/>
          <w:highlight w:val="none"/>
          <w:lang w:val="en-US" w:eastAsia="zh-CN"/>
        </w:rPr>
        <w:t>由专、兼职两部分组成，主要包括：</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（一）学生工作处心理健康教育中心教师；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（二）心理健康教育专职教师、辅导员（班主任）、班级心理委员、宿舍心理联络员和其他能够胜任此项工作的人员。</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第四章  工作任务和内容</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第六条  </w:t>
      </w:r>
      <w:r>
        <w:rPr>
          <w:rFonts w:hint="eastAsia" w:ascii="方正仿宋_GBK" w:hAnsi="方正仿宋_GBK" w:eastAsia="方正仿宋_GBK" w:cs="方正仿宋_GBK"/>
          <w:color w:val="auto"/>
          <w:sz w:val="32"/>
          <w:szCs w:val="40"/>
          <w:highlight w:val="none"/>
          <w:lang w:val="en-US" w:eastAsia="zh-CN"/>
        </w:rPr>
        <w:t>学校心理健康教育工作的主要任务：</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（一）结合学生的心理特点，有针对性地提供心理健康服务，帮助学生树立心理健康意识，增强心理调适能力，培养积极的心理品质，预防和缓解心理问题；</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（二）帮助学生缓解环境适应、自我管理、人际交往、生涯发展、人格发展、情绪调节等方面的心理困惑，提高心理健康水平，促进学生全面发展。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第七条  </w:t>
      </w:r>
      <w:r>
        <w:rPr>
          <w:rFonts w:hint="eastAsia" w:ascii="方正仿宋_GBK" w:hAnsi="方正仿宋_GBK" w:eastAsia="方正仿宋_GBK" w:cs="方正仿宋_GBK"/>
          <w:color w:val="auto"/>
          <w:sz w:val="32"/>
          <w:szCs w:val="40"/>
          <w:highlight w:val="none"/>
          <w:lang w:val="en-US" w:eastAsia="zh-CN"/>
        </w:rPr>
        <w:t>学校学生心理健康教育工作的主要内容：</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（一）宣传普及心理健康知识，树立心理健康意识，正确看待心理问题和心理障碍；</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（二）介绍提升心理健康水平的途径，使学生掌握科学有效的学习方法，养成良好的学习习惯，自觉地开发智力潜能，培养创新精神和实践能力；</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（三）传授心理调适的方法，使学生学会自我心理调适，有效消除心理困惑，自觉培养坚韧不拔的意志品质和艰苦奋斗的精神，提高应对挫折和适应社会生活的能力。</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40"/>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40"/>
          <w:highlight w:val="none"/>
          <w:lang w:val="en-US" w:eastAsia="zh-CN"/>
        </w:rPr>
      </w:pPr>
      <w:r>
        <w:rPr>
          <w:rFonts w:hint="eastAsia" w:ascii="方正黑体_GBK" w:hAnsi="方正黑体_GBK" w:eastAsia="方正黑体_GBK" w:cs="方正黑体_GBK"/>
          <w:b/>
          <w:bCs/>
          <w:color w:val="auto"/>
          <w:sz w:val="32"/>
          <w:szCs w:val="40"/>
          <w:highlight w:val="none"/>
          <w:lang w:val="en-US" w:eastAsia="zh-CN"/>
        </w:rPr>
        <w:t>第五章  工作职责</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第八条  </w:t>
      </w:r>
      <w:r>
        <w:rPr>
          <w:rFonts w:hint="eastAsia" w:ascii="方正仿宋_GBK" w:hAnsi="方正仿宋_GBK" w:eastAsia="方正仿宋_GBK" w:cs="方正仿宋_GBK"/>
          <w:color w:val="auto"/>
          <w:sz w:val="32"/>
          <w:szCs w:val="40"/>
          <w:highlight w:val="none"/>
          <w:lang w:val="en-US" w:eastAsia="zh-CN"/>
        </w:rPr>
        <w:t>学生工作处心理健康教育中心的工作职责：</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（一）对学生心理健康教育工作进行中、长期规划，以学年制定学生心理健康教育工作计划并组织实施；</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（二）指导、协调二级学院开展心理健康教育工作；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（三）负责心理健康教育专、兼职工作人员的培训工作；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（四）负责对全体学生心理健康状况进行普查，建立学生心理健康档案；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（五）宣传普及心理健康知识，提供心理咨询服务和其他心理健康服务，组织团体心理辅导活动；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sans-serif" w:hAnsi="sans-serif" w:eastAsia="sans-serif" w:cs="sans-serif"/>
          <w:i w:val="0"/>
          <w:iCs w:val="0"/>
          <w:caps w:val="0"/>
          <w:color w:val="auto"/>
          <w:spacing w:val="0"/>
          <w:kern w:val="0"/>
          <w:sz w:val="27"/>
          <w:szCs w:val="27"/>
          <w:highlight w:val="none"/>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（六）负责组织开展各类心理健康教育活动（心理健康教育月系列活动、校园心理情景剧、心理健康教育论文评选、心理健康教育教师职业能力大赛等）和心理健康教育讲座；</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（七）负责学生心理危机排查和干预工作，对发生心理危机事件的学生及时进行心理干预，必要时进行转介和转诊处理；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rPr>
        <w:t>（八）</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负责学生心理健康教育社团指导工作；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（九）负责学校心理健康教育中心建设，指导二级学院心理工作站建设；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rPr>
        <w:t>（十）积极开展科学研究，</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组织个案研讨，培育校级心理健康优秀案例；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（十一）完成</w:t>
      </w:r>
      <w:r>
        <w:rPr>
          <w:rFonts w:hint="eastAsia" w:ascii="方正仿宋_GBK" w:hAnsi="方正仿宋_GBK" w:eastAsia="方正仿宋_GBK" w:cs="方正仿宋_GBK"/>
          <w:color w:val="auto"/>
          <w:sz w:val="32"/>
          <w:szCs w:val="40"/>
          <w:highlight w:val="none"/>
          <w:lang w:val="en-US" w:eastAsia="zh-CN"/>
        </w:rPr>
        <w:t>学校心理健康教育工作领导小组</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交办的其他工作任务。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第九条  </w:t>
      </w:r>
      <w:r>
        <w:rPr>
          <w:rFonts w:hint="eastAsia" w:ascii="方正仿宋_GBK" w:hAnsi="方正仿宋_GBK" w:eastAsia="方正仿宋_GBK" w:cs="方正仿宋_GBK"/>
          <w:color w:val="auto"/>
          <w:sz w:val="32"/>
          <w:szCs w:val="40"/>
          <w:highlight w:val="none"/>
          <w:lang w:val="en-US" w:eastAsia="zh-CN"/>
        </w:rPr>
        <w:t>二级学院心理工作站工作职责:</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（一）制定二级学院学生心理健康教育工作的计划并组织实施;</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（二）指导二级学院辅导员（班主任）开展心理健康教育工作;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（三）在学生工作处心理健康教育中心指导下，对二级学院学生心理健康状况进行普查，做好学生心理健康档案的管理工作；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（四）宣传普及学生心理健康知识，组织开展心理健康活动；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（五）开展学生心理危机排查和干预工作，对发生心理危机事件的学生及时进行心理辅导和上报，必要时进行转介和转诊处理；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（六）推进二级学院心理工作站建设；</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（七）组织二级学院心理健康教育专、兼职工作人员参加心理健康培训；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rPr>
        <w:t>（八）积极开展科学研究，</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组织个案研讨，培育院级心理健康优秀案例；</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（九）完成学校心理健康教育工作领导小组交办的其他工作任务。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第十条  </w:t>
      </w:r>
      <w:r>
        <w:rPr>
          <w:rFonts w:hint="eastAsia" w:ascii="方正仿宋_GBK" w:hAnsi="方正仿宋_GBK" w:eastAsia="方正仿宋_GBK" w:cs="方正仿宋_GBK"/>
          <w:color w:val="auto"/>
          <w:sz w:val="32"/>
          <w:szCs w:val="40"/>
          <w:highlight w:val="none"/>
          <w:lang w:val="en-US" w:eastAsia="zh-CN"/>
        </w:rPr>
        <w:t>班级心理委员的工作职责:</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 xml:space="preserve">    （一）根据学生工作处心理健康教育中心和二级学院心理工作站关于心理健康工作的安排，做好班级学生心理健康知识的普及工作;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二）切实发挥四级心理健康教育网络体系的作用，深入班级开展朋辈心理辅导工作，排查班级存在心理危机的学生，在保护好学生隐私的情况下，将必要情况及时上报二级学院心理工作站和学生工作处心理健康教育中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（三）动员学生参加学校和二级学院组织的学生心理健康活动，积极组织班级心理健康活动；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（四）完成学生工作处心理健康教育中心和二级学院心理工作站交办的其他工作任务。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40"/>
          <w:highlight w:val="none"/>
          <w:lang w:val="en-US" w:eastAsia="zh-CN"/>
        </w:rPr>
        <w:t>第十一条</w:t>
      </w:r>
      <w:r>
        <w:rPr>
          <w:rFonts w:hint="eastAsia" w:ascii="方正仿宋_GBK" w:hAnsi="方正仿宋_GBK" w:eastAsia="方正仿宋_GBK" w:cs="方正仿宋_GBK"/>
          <w:color w:val="auto"/>
          <w:sz w:val="32"/>
          <w:szCs w:val="40"/>
          <w:highlight w:val="none"/>
          <w:lang w:val="en-US" w:eastAsia="zh-CN"/>
        </w:rPr>
        <w:t xml:space="preserve">  宿舍心理联络员的工作职责：</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（一）宿舍心理联络员一般由宿舍长担任；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 xml:space="preserve">    （二）根据学生工作处心理健康教育中心、二级学院心理工作站和班级关于心理健康工作的安排，做好宿舍学生心理健康知识的普及工作;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三）切实发挥四级心理健康教育网络体系的作用，深入宿舍开展朋辈心理辅导工作，排查宿舍存在心理危机的学生，在保护好学生隐私的情况下，将必要情况及时上报班级、二级学院心理工作站和学生工作处心理健康教育中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仿宋_GBK" w:hAnsi="方正仿宋_GBK" w:eastAsia="方正仿宋_GBK" w:cs="方正仿宋_GBK"/>
          <w:color w:val="auto"/>
          <w:sz w:val="32"/>
          <w:szCs w:val="40"/>
          <w:highlight w:val="none"/>
          <w:lang w:val="en-US" w:eastAsia="zh-CN"/>
        </w:rPr>
        <w:t>（四）完成学生工作处心理健康教育中心、二级学院心理工作站和班级交办的其他工作任务。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方正仿宋_GBK" w:hAnsi="方正仿宋_GBK" w:eastAsia="方正仿宋_GBK" w:cs="方正仿宋_GBK"/>
          <w:color w:val="auto"/>
          <w:sz w:val="32"/>
          <w:szCs w:val="40"/>
          <w:highlight w:val="none"/>
          <w:lang w:val="en-US" w:eastAsia="zh-CN"/>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default" w:ascii="方正黑体_GBK" w:hAnsi="方正黑体_GBK" w:eastAsia="方正黑体_GBK" w:cs="方正黑体_GBK"/>
          <w:b/>
          <w:bCs/>
          <w:color w:val="auto"/>
          <w:sz w:val="32"/>
          <w:szCs w:val="40"/>
          <w:highlight w:val="none"/>
          <w:lang w:val="en-US" w:eastAsia="zh-CN"/>
        </w:rPr>
      </w:pPr>
      <w:r>
        <w:rPr>
          <w:rFonts w:hint="eastAsia" w:ascii="方正黑体_GBK" w:hAnsi="方正黑体_GBK" w:eastAsia="方正黑体_GBK" w:cs="方正黑体_GBK"/>
          <w:b/>
          <w:bCs/>
          <w:color w:val="auto"/>
          <w:sz w:val="32"/>
          <w:szCs w:val="40"/>
          <w:highlight w:val="none"/>
          <w:lang w:val="en-US" w:eastAsia="zh-CN"/>
        </w:rPr>
        <w:t>第五章  工作原则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z w:val="32"/>
          <w:szCs w:val="40"/>
          <w:highlight w:val="none"/>
          <w:lang w:val="en-US" w:eastAsia="zh-CN"/>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第十二条  </w:t>
      </w:r>
      <w:r>
        <w:rPr>
          <w:rFonts w:hint="eastAsia" w:ascii="方正仿宋_GBK" w:hAnsi="方正仿宋_GBK" w:eastAsia="方正仿宋_GBK" w:cs="方正仿宋_GBK"/>
          <w:color w:val="auto"/>
          <w:sz w:val="32"/>
          <w:szCs w:val="40"/>
          <w:highlight w:val="none"/>
          <w:lang w:val="en-US" w:eastAsia="zh-CN"/>
        </w:rPr>
        <w:t>科学准确地把握高等学校心理健康教育工作的任务和内容，以课堂教学、课外教育指导为主要渠道和基本环节，形成课内与课外、教育与指导、自助与互助紧密结合的四级心理健康教育工作网络体系。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default" w:ascii="方正楷体_GBK" w:hAnsi="方正楷体_GBK" w:eastAsia="方正楷体_GBK" w:cs="方正楷体_GBK"/>
          <w:b/>
          <w:bCs/>
          <w:color w:val="auto"/>
          <w:sz w:val="32"/>
          <w:szCs w:val="32"/>
          <w:highlight w:val="none"/>
          <w:lang w:val="en-US" w:eastAsia="zh-CN"/>
        </w:rPr>
        <w:t>第十</w:t>
      </w:r>
      <w:r>
        <w:rPr>
          <w:rFonts w:hint="eastAsia" w:ascii="方正楷体_GBK" w:hAnsi="方正楷体_GBK" w:eastAsia="方正楷体_GBK" w:cs="方正楷体_GBK"/>
          <w:b/>
          <w:bCs/>
          <w:color w:val="auto"/>
          <w:sz w:val="32"/>
          <w:szCs w:val="32"/>
          <w:highlight w:val="none"/>
          <w:lang w:val="en-US" w:eastAsia="zh-CN"/>
        </w:rPr>
        <w:t>三</w:t>
      </w:r>
      <w:r>
        <w:rPr>
          <w:rFonts w:hint="default" w:ascii="方正楷体_GBK" w:hAnsi="方正楷体_GBK" w:eastAsia="方正楷体_GBK" w:cs="方正楷体_GBK"/>
          <w:b/>
          <w:bCs/>
          <w:color w:val="auto"/>
          <w:sz w:val="32"/>
          <w:szCs w:val="32"/>
          <w:highlight w:val="none"/>
          <w:lang w:val="en-US" w:eastAsia="zh-CN"/>
        </w:rPr>
        <w:t xml:space="preserve">条 </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40"/>
          <w:highlight w:val="none"/>
          <w:lang w:val="en-US" w:eastAsia="zh-CN"/>
        </w:rPr>
        <w:t>保密原则：在开展心理健康工作的过程中，向学生说明并严守保密原则。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color w:val="auto"/>
          <w:sz w:val="32"/>
          <w:szCs w:val="40"/>
          <w:highlight w:val="none"/>
          <w:lang w:val="en-US" w:eastAsia="zh-CN"/>
        </w:rPr>
      </w:pPr>
      <w:r>
        <w:rPr>
          <w:rFonts w:hint="eastAsia" w:ascii="方正楷体_GBK" w:hAnsi="方正楷体_GBK" w:eastAsia="方正楷体_GBK" w:cs="方正楷体_GBK"/>
          <w:b/>
          <w:bCs/>
          <w:color w:val="auto"/>
          <w:sz w:val="32"/>
          <w:szCs w:val="40"/>
          <w:highlight w:val="none"/>
          <w:lang w:val="en-US" w:eastAsia="zh-CN"/>
        </w:rPr>
        <w:t>第十四条</w:t>
      </w:r>
      <w:r>
        <w:rPr>
          <w:rFonts w:hint="eastAsia" w:ascii="方正楷体_GBK" w:hAnsi="方正楷体_GBK" w:eastAsia="方正楷体_GBK" w:cs="方正楷体_GBK"/>
          <w:color w:val="auto"/>
          <w:sz w:val="32"/>
          <w:szCs w:val="40"/>
          <w:highlight w:val="none"/>
          <w:lang w:val="en-US" w:eastAsia="zh-CN"/>
        </w:rPr>
        <w:t xml:space="preserve"> </w:t>
      </w:r>
      <w:r>
        <w:rPr>
          <w:rFonts w:hint="eastAsia" w:ascii="方正仿宋_GBK" w:hAnsi="方正仿宋_GBK" w:eastAsia="方正仿宋_GBK" w:cs="方正仿宋_GBK"/>
          <w:color w:val="auto"/>
          <w:sz w:val="32"/>
          <w:szCs w:val="40"/>
          <w:highlight w:val="none"/>
          <w:lang w:val="en-US" w:eastAsia="zh-CN"/>
        </w:rPr>
        <w:t xml:space="preserve"> 保密例外情况：学生本人同意将信息透露给他人；司法机关要求提供保密信息；出现针对心理工作人员的伦理或法律诉讼；心理咨询中出现法律规定的保密问题限制，如报告虐待老人、儿童等；学生可能对自身或他人造成伤害或死亡威胁的；学生患有危及生命的传染性疾病；当遇到以上保密例外情况时，心理工作者应将泄密程度控制在最小范围内。</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color w:val="auto"/>
          <w:sz w:val="32"/>
          <w:szCs w:val="40"/>
          <w:highlight w:val="none"/>
          <w:lang w:val="en-US" w:eastAsia="zh-CN"/>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z w:val="32"/>
          <w:szCs w:val="40"/>
          <w:highlight w:val="none"/>
          <w:lang w:val="en-US" w:eastAsia="zh-CN"/>
        </w:rPr>
      </w:pPr>
      <w:r>
        <w:rPr>
          <w:rFonts w:hint="eastAsia" w:ascii="方正黑体_GBK" w:hAnsi="方正黑体_GBK" w:eastAsia="方正黑体_GBK" w:cs="方正黑体_GBK"/>
          <w:b/>
          <w:bCs/>
          <w:color w:val="auto"/>
          <w:sz w:val="32"/>
          <w:szCs w:val="40"/>
          <w:highlight w:val="none"/>
          <w:lang w:val="en-US" w:eastAsia="zh-CN"/>
        </w:rPr>
        <w:t>第六章  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楷体_GBK" w:hAnsi="楷体" w:eastAsia="方正楷体_GBK" w:cs="宋体"/>
          <w:b/>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楷体" w:eastAsia="方正楷体_GBK" w:cs="宋体"/>
          <w:b/>
          <w:color w:val="auto"/>
          <w:sz w:val="32"/>
          <w:szCs w:val="32"/>
          <w:highlight w:val="none"/>
          <w:lang w:val="en-US" w:eastAsia="zh-CN"/>
        </w:rPr>
        <w:t>第十五条</w:t>
      </w:r>
      <w:r>
        <w:rPr>
          <w:rFonts w:hint="eastAsia" w:ascii="方正仿宋_GBK" w:hAnsi="方正仿宋_GBK" w:eastAsia="方正仿宋_GBK" w:cs="方正仿宋_GBK"/>
          <w:color w:val="auto"/>
          <w:sz w:val="32"/>
          <w:szCs w:val="32"/>
          <w:highlight w:val="none"/>
          <w:lang w:val="en-US" w:eastAsia="zh-CN"/>
        </w:rPr>
        <w:t xml:space="preserve">  本条例由学生工作处负责解释。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楷体_GBK" w:hAnsi="楷体" w:eastAsia="方正楷体_GBK" w:cs="宋体"/>
          <w:b/>
          <w:color w:val="auto"/>
          <w:sz w:val="32"/>
          <w:szCs w:val="32"/>
          <w:highlight w:val="none"/>
          <w:lang w:val="en-US" w:eastAsia="zh-CN"/>
        </w:rPr>
        <w:t>第十六条</w:t>
      </w:r>
      <w:r>
        <w:rPr>
          <w:rFonts w:hint="eastAsia" w:ascii="方正仿宋_GBK" w:hAnsi="方正仿宋_GBK" w:eastAsia="方正仿宋_GBK" w:cs="方正仿宋_GBK"/>
          <w:color w:val="auto"/>
          <w:sz w:val="32"/>
          <w:szCs w:val="32"/>
          <w:highlight w:val="none"/>
          <w:lang w:val="en-US" w:eastAsia="zh-CN"/>
        </w:rPr>
        <w:t xml:space="preserve">  本条例自2022年9月1日起实施。</w:t>
      </w:r>
    </w:p>
    <w:p>
      <w:pPr>
        <w:rPr>
          <w:rFonts w:hint="eastAsia" w:ascii="方正小标宋_GBK" w:hAnsi="方正小标宋_GBK" w:eastAsia="方正小标宋_GBK" w:cs="方正小标宋_GBK"/>
          <w:b/>
          <w:bCs/>
          <w:color w:val="auto"/>
          <w:kern w:val="2"/>
          <w:sz w:val="36"/>
          <w:szCs w:val="36"/>
          <w:highlight w:val="none"/>
          <w:lang w:val="en-US" w:eastAsia="zh-CN" w:bidi="ar-SA"/>
        </w:rPr>
      </w:pPr>
    </w:p>
    <w:p>
      <w:pPr>
        <w:ind w:left="3614" w:hanging="3614" w:hangingChars="1000"/>
        <w:jc w:val="left"/>
        <w:rPr>
          <w:rFonts w:hint="eastAsia" w:ascii="方正小标宋_GBK" w:hAnsi="方正小标宋_GBK" w:eastAsia="方正小标宋_GBK" w:cs="方正小标宋_GBK"/>
          <w:b/>
          <w:bCs/>
          <w:color w:val="auto"/>
          <w:kern w:val="2"/>
          <w:sz w:val="36"/>
          <w:szCs w:val="36"/>
          <w:highlight w:val="none"/>
          <w:lang w:val="en-US" w:eastAsia="zh-CN" w:bidi="ar-SA"/>
        </w:rPr>
      </w:pPr>
      <w:r>
        <w:rPr>
          <w:rFonts w:hint="eastAsia" w:ascii="方正小标宋_GBK" w:hAnsi="方正小标宋_GBK" w:eastAsia="方正小标宋_GBK" w:cs="方正小标宋_GBK"/>
          <w:b/>
          <w:bCs/>
          <w:color w:val="auto"/>
          <w:kern w:val="2"/>
          <w:sz w:val="36"/>
          <w:szCs w:val="36"/>
          <w:highlight w:val="none"/>
          <w:lang w:val="en-US" w:eastAsia="zh-CN" w:bidi="ar-SA"/>
        </w:rPr>
        <w:t>云南城市建设职业学院学生军事技能训练管理办法（试行）</w:t>
      </w:r>
    </w:p>
    <w:p>
      <w:pPr>
        <w:widowControl/>
        <w:numPr>
          <w:ilvl w:val="0"/>
          <w:numId w:val="0"/>
        </w:numPr>
        <w:shd w:val="clear" w:color="auto" w:fill="FFFFFF"/>
        <w:spacing w:line="560" w:lineRule="exact"/>
        <w:rPr>
          <w:rFonts w:hint="eastAsia" w:ascii="方正仿宋_GBK" w:hAnsi="方正仿宋_GBK" w:eastAsia="方正仿宋_GBK" w:cs="方正仿宋_GBK"/>
          <w:color w:val="auto"/>
          <w:kern w:val="0"/>
          <w:sz w:val="32"/>
          <w:szCs w:val="32"/>
          <w:lang w:val="en-US" w:eastAsia="zh-CN" w:bidi="ar-SA"/>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kern w:val="0"/>
          <w:sz w:val="32"/>
          <w:szCs w:val="32"/>
          <w:lang w:val="en-US" w:eastAsia="zh-CN" w:bidi="ar-SA"/>
        </w:rPr>
      </w:pPr>
      <w:r>
        <w:rPr>
          <w:rFonts w:hint="eastAsia" w:ascii="方正楷体_GBK" w:hAnsi="楷体" w:eastAsia="方正楷体_GBK" w:cs="宋体"/>
          <w:b/>
          <w:color w:val="auto"/>
          <w:sz w:val="32"/>
          <w:szCs w:val="32"/>
          <w:lang w:val="en-US" w:eastAsia="zh-CN"/>
        </w:rPr>
        <w:t xml:space="preserve">第一条 </w:t>
      </w:r>
      <w:r>
        <w:rPr>
          <w:rFonts w:hint="eastAsia" w:ascii="方正仿宋_GBK" w:hAnsi="方正仿宋_GBK" w:eastAsia="方正仿宋_GBK" w:cs="方正仿宋_GBK"/>
          <w:color w:val="auto"/>
          <w:kern w:val="0"/>
          <w:sz w:val="32"/>
          <w:szCs w:val="32"/>
          <w:lang w:val="en-US" w:eastAsia="zh-CN" w:bidi="ar-SA"/>
        </w:rPr>
        <w:t xml:space="preserve"> 为深入贯彻习近平新时代中国特色社会主义思想，全面加强新时代学生军事技能训练（以下简称学生军训）工作，为加强和规范学校学生军训工作，根据《中华人民共和国国防法》、《中华人民共和国国防教育法》、《普通高等学校军事课教学大纲》文件精神，结合学校实际，特制定本办法。</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lang w:eastAsia="zh-CN"/>
        </w:rPr>
      </w:pPr>
      <w:r>
        <w:rPr>
          <w:rFonts w:hint="eastAsia" w:ascii="方正楷体_GBK" w:hAnsi="楷体" w:eastAsia="方正楷体_GBK" w:cs="宋体"/>
          <w:b/>
          <w:color w:val="auto"/>
          <w:sz w:val="32"/>
          <w:szCs w:val="32"/>
          <w:lang w:val="en-US" w:eastAsia="zh-CN"/>
        </w:rPr>
        <w:t xml:space="preserve">第二条  </w:t>
      </w:r>
      <w:r>
        <w:rPr>
          <w:rFonts w:hint="eastAsia" w:ascii="方正仿宋_GBK" w:hAnsi="方正仿宋_GBK" w:eastAsia="方正仿宋_GBK" w:cs="方正仿宋_GBK"/>
          <w:sz w:val="32"/>
          <w:szCs w:val="32"/>
          <w:lang w:val="en-US" w:eastAsia="zh-CN"/>
        </w:rPr>
        <w:t>开展</w:t>
      </w:r>
      <w:r>
        <w:rPr>
          <w:rFonts w:hint="eastAsia" w:ascii="方正仿宋_GBK" w:hAnsi="方正仿宋_GBK" w:eastAsia="方正仿宋_GBK" w:cs="方正仿宋_GBK"/>
          <w:color w:val="auto"/>
          <w:kern w:val="0"/>
          <w:sz w:val="32"/>
          <w:szCs w:val="32"/>
          <w:lang w:val="en-US" w:eastAsia="zh-CN" w:bidi="ar-SA"/>
        </w:rPr>
        <w:t>学生军事技能训练，旨在使学生掌握基本的军事知识及技能，</w:t>
      </w:r>
      <w:r>
        <w:rPr>
          <w:rFonts w:hint="eastAsia" w:ascii="方正仿宋_GBK" w:hAnsi="方正仿宋_GBK" w:eastAsia="方正仿宋_GBK" w:cs="方正仿宋_GBK"/>
          <w:sz w:val="32"/>
          <w:szCs w:val="32"/>
        </w:rPr>
        <w:t>增强学生国防观念、国家安全意识和忧患危机意识，提高学生综合国防素质和社会适应能力，培育学生组织纪律观念和顽强奋斗作风</w:t>
      </w:r>
      <w:r>
        <w:rPr>
          <w:rFonts w:hint="eastAsia" w:ascii="方正仿宋_GBK" w:hAnsi="方正仿宋_GBK" w:eastAsia="方正仿宋_GBK" w:cs="方正仿宋_GBK"/>
          <w:sz w:val="32"/>
          <w:szCs w:val="32"/>
          <w:lang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kern w:val="0"/>
          <w:sz w:val="32"/>
          <w:szCs w:val="32"/>
          <w:lang w:val="en-US" w:eastAsia="zh-CN" w:bidi="ar-SA"/>
        </w:rPr>
      </w:pPr>
      <w:r>
        <w:rPr>
          <w:rFonts w:hint="eastAsia" w:ascii="方正楷体_GBK" w:hAnsi="楷体" w:eastAsia="方正楷体_GBK" w:cs="宋体"/>
          <w:b/>
          <w:color w:val="auto"/>
          <w:sz w:val="32"/>
          <w:szCs w:val="32"/>
          <w:lang w:val="en-US" w:eastAsia="zh-CN"/>
        </w:rPr>
        <w:t xml:space="preserve">第三条 </w:t>
      </w:r>
      <w:r>
        <w:rPr>
          <w:rFonts w:hint="eastAsia" w:ascii="方正仿宋_GBK" w:hAnsi="方正仿宋_GBK" w:eastAsia="方正仿宋_GBK" w:cs="方正仿宋_GBK"/>
          <w:color w:val="auto"/>
          <w:kern w:val="0"/>
          <w:sz w:val="32"/>
          <w:szCs w:val="32"/>
          <w:lang w:val="en-US" w:eastAsia="zh-CN" w:bidi="ar-SA"/>
        </w:rPr>
        <w:t xml:space="preserve"> 重视和加强学生军训工作，是全面贯彻党的教育方针，推进素质教育，</w:t>
      </w:r>
      <w:r>
        <w:rPr>
          <w:rFonts w:hint="eastAsia" w:ascii="方正仿宋_GBK" w:hAnsi="方正仿宋_GBK" w:eastAsia="方正仿宋_GBK" w:cs="方正仿宋_GBK"/>
          <w:sz w:val="32"/>
          <w:szCs w:val="32"/>
          <w:lang w:val="en-US" w:eastAsia="zh-CN"/>
        </w:rPr>
        <w:t>落实</w:t>
      </w:r>
      <w:r>
        <w:rPr>
          <w:rFonts w:hint="eastAsia" w:ascii="方正仿宋_GBK" w:hAnsi="方正仿宋_GBK" w:eastAsia="方正仿宋_GBK" w:cs="方正仿宋_GBK"/>
          <w:sz w:val="32"/>
          <w:szCs w:val="32"/>
        </w:rPr>
        <w:t>立德树人根本任务和强军目标根本要求，服务军民融合发展战略实施和国防后备力量建设，</w:t>
      </w:r>
      <w:r>
        <w:rPr>
          <w:rFonts w:hint="eastAsia" w:ascii="方正仿宋_GBK" w:hAnsi="方正仿宋_GBK" w:eastAsia="方正仿宋_GBK" w:cs="方正仿宋_GBK"/>
          <w:color w:val="auto"/>
          <w:kern w:val="0"/>
          <w:sz w:val="32"/>
          <w:szCs w:val="32"/>
          <w:lang w:val="en-US" w:eastAsia="zh-CN" w:bidi="ar-SA"/>
        </w:rPr>
        <w:t>培养有理想、有道德、有文化、有纪律的社会主义建设者的有效途径，是培养国防和军队建设高素质后备力量的重要措施，也是学生教育管理工作的客观要求。</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kern w:val="0"/>
          <w:sz w:val="32"/>
          <w:szCs w:val="32"/>
          <w:lang w:val="en-US" w:eastAsia="zh-CN" w:bidi="ar-SA"/>
        </w:rPr>
      </w:pPr>
      <w:r>
        <w:rPr>
          <w:rFonts w:hint="eastAsia" w:ascii="方正楷体_GBK" w:hAnsi="楷体" w:eastAsia="方正楷体_GBK" w:cs="宋体"/>
          <w:b/>
          <w:color w:val="auto"/>
          <w:sz w:val="32"/>
          <w:szCs w:val="32"/>
          <w:lang w:val="en-US" w:eastAsia="zh-CN"/>
        </w:rPr>
        <w:t xml:space="preserve">第四条  </w:t>
      </w:r>
      <w:r>
        <w:rPr>
          <w:rFonts w:hint="eastAsia" w:ascii="方正仿宋_GBK" w:hAnsi="方正仿宋_GBK" w:eastAsia="方正仿宋_GBK" w:cs="方正仿宋_GBK"/>
          <w:color w:val="auto"/>
          <w:kern w:val="0"/>
          <w:sz w:val="32"/>
          <w:szCs w:val="32"/>
          <w:lang w:val="en-US" w:eastAsia="zh-CN" w:bidi="ar-SA"/>
        </w:rPr>
        <w:t>学生军训是学校的一项综合性、系统性工作，涉及学校教学、管理、后勤等工作。学校有关部门要从为国家培养高素质人才和加强国防后备力量建设的战略高度，充分认识做好学生军训工作的重要性，科学制定军训工作计划，严密组织，主动协调，搞好保障，确保学生军训工作的顺利进行。</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楷体_GBK" w:hAnsi="楷体" w:eastAsia="方正楷体_GBK" w:cs="宋体"/>
          <w:b/>
          <w:color w:val="auto"/>
          <w:sz w:val="32"/>
          <w:szCs w:val="32"/>
          <w:lang w:val="en-US" w:eastAsia="zh-CN"/>
        </w:rPr>
        <w:t>第五条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为加强对学校学生军事技能训练工作的组织领导，学校在上级学生军事技能训练主管部门的</w:t>
      </w:r>
      <w:r>
        <w:rPr>
          <w:rFonts w:hint="eastAsia" w:ascii="方正仿宋_GBK" w:hAnsi="方正仿宋_GBK" w:eastAsia="方正仿宋_GBK" w:cs="方正仿宋_GBK"/>
          <w:sz w:val="32"/>
          <w:szCs w:val="32"/>
          <w:lang w:val="en-US" w:eastAsia="zh-CN"/>
        </w:rPr>
        <w:t>领导</w:t>
      </w:r>
      <w:r>
        <w:rPr>
          <w:rFonts w:hint="eastAsia" w:ascii="方正仿宋_GBK" w:hAnsi="方正仿宋_GBK" w:eastAsia="方正仿宋_GBK" w:cs="方正仿宋_GBK"/>
          <w:sz w:val="32"/>
          <w:szCs w:val="32"/>
        </w:rPr>
        <w:t>下，成立学校学生军训工作领导小组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成员名单如下：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方正仿宋_GBK" w:hAnsi="仿宋" w:eastAsia="方正仿宋_GBK" w:cs="仿宋"/>
          <w:sz w:val="32"/>
          <w:szCs w:val="32"/>
        </w:rPr>
      </w:pPr>
      <w:r>
        <w:rPr>
          <w:rFonts w:hint="eastAsia" w:ascii="方正仿宋_GBK" w:hAnsi="仿宋" w:eastAsia="方正仿宋_GBK" w:cs="仿宋"/>
          <w:sz w:val="32"/>
          <w:szCs w:val="32"/>
        </w:rPr>
        <w:t xml:space="preserve">组 </w:t>
      </w:r>
      <w:r>
        <w:rPr>
          <w:rFonts w:hint="eastAsia" w:ascii="方正仿宋_GBK" w:hAnsi="仿宋" w:eastAsia="方正仿宋_GBK" w:cs="仿宋"/>
          <w:sz w:val="32"/>
          <w:szCs w:val="32"/>
          <w:lang w:val="en-US" w:eastAsia="zh-CN"/>
        </w:rPr>
        <w:t xml:space="preserve"> </w:t>
      </w:r>
      <w:r>
        <w:rPr>
          <w:rFonts w:hint="eastAsia" w:ascii="方正仿宋_GBK" w:hAnsi="仿宋" w:eastAsia="方正仿宋_GBK" w:cs="仿宋"/>
          <w:sz w:val="32"/>
          <w:szCs w:val="32"/>
        </w:rPr>
        <w:t>长:分管学生工作校领导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方正仿宋_GBK" w:hAnsi="仿宋" w:eastAsia="方正仿宋_GBK" w:cs="仿宋"/>
          <w:sz w:val="32"/>
          <w:szCs w:val="32"/>
        </w:rPr>
      </w:pPr>
      <w:r>
        <w:rPr>
          <w:rFonts w:hint="eastAsia" w:ascii="方正仿宋_GBK" w:hAnsi="仿宋" w:eastAsia="方正仿宋_GBK" w:cs="仿宋"/>
          <w:sz w:val="32"/>
          <w:szCs w:val="32"/>
        </w:rPr>
        <w:t>副组长:学生工作处（人民武装部）、保卫处负责人。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lang w:eastAsia="zh-CN"/>
        </w:rPr>
      </w:pPr>
      <w:r>
        <w:rPr>
          <w:rFonts w:hint="eastAsia" w:ascii="方正仿宋_GBK" w:hAnsi="仿宋" w:eastAsia="方正仿宋_GBK" w:cs="仿宋"/>
          <w:sz w:val="32"/>
          <w:szCs w:val="32"/>
        </w:rPr>
        <w:t xml:space="preserve">成 </w:t>
      </w:r>
      <w:r>
        <w:rPr>
          <w:rFonts w:hint="eastAsia" w:ascii="方正仿宋_GBK" w:hAnsi="仿宋" w:eastAsia="方正仿宋_GBK" w:cs="仿宋"/>
          <w:sz w:val="32"/>
          <w:szCs w:val="32"/>
          <w:lang w:val="en-US" w:eastAsia="zh-CN"/>
        </w:rPr>
        <w:t xml:space="preserve"> </w:t>
      </w:r>
      <w:r>
        <w:rPr>
          <w:rFonts w:hint="eastAsia" w:ascii="方正仿宋_GBK" w:hAnsi="仿宋" w:eastAsia="方正仿宋_GBK" w:cs="仿宋"/>
          <w:sz w:val="32"/>
          <w:szCs w:val="32"/>
        </w:rPr>
        <w:t>员: 学校办公室、学生工作处（人民武装部）、校团委、</w:t>
      </w:r>
      <w:r>
        <w:rPr>
          <w:rFonts w:hint="eastAsia" w:ascii="方正仿宋_GBK" w:hAnsi="仿宋" w:eastAsia="方正仿宋_GBK" w:cs="仿宋"/>
          <w:sz w:val="32"/>
          <w:szCs w:val="32"/>
          <w:lang w:val="en-US" w:eastAsia="zh-CN"/>
        </w:rPr>
        <w:t>招生处、</w:t>
      </w:r>
      <w:r>
        <w:rPr>
          <w:rFonts w:hint="eastAsia" w:ascii="方正仿宋_GBK" w:hAnsi="仿宋" w:eastAsia="方正仿宋_GBK" w:cs="仿宋"/>
          <w:sz w:val="32"/>
          <w:szCs w:val="32"/>
        </w:rPr>
        <w:t>保卫处、后勤管理处、二级学院学生工作负责人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lang w:eastAsia="zh-CN"/>
        </w:rPr>
      </w:pPr>
      <w:r>
        <w:rPr>
          <w:rFonts w:hint="eastAsia" w:ascii="方正仿宋_GBK" w:hAnsi="仿宋" w:eastAsia="方正仿宋_GBK" w:cs="仿宋"/>
          <w:sz w:val="32"/>
          <w:szCs w:val="32"/>
        </w:rPr>
        <w:t>办公室设在学生工作处（人民武装部），学生工作处</w:t>
      </w:r>
      <w:r>
        <w:rPr>
          <w:rFonts w:hint="eastAsia" w:ascii="方正仿宋_GBK" w:hAnsi="仿宋" w:eastAsia="方正仿宋_GBK" w:cs="仿宋"/>
          <w:sz w:val="32"/>
          <w:szCs w:val="32"/>
          <w:lang w:val="en-US" w:eastAsia="zh-CN"/>
        </w:rPr>
        <w:t>负责人兼任办公室主任，</w:t>
      </w:r>
      <w:r>
        <w:rPr>
          <w:rFonts w:hint="eastAsia" w:ascii="方正仿宋_GBK" w:hAnsi="仿宋" w:eastAsia="方正仿宋_GBK" w:cs="仿宋"/>
          <w:sz w:val="32"/>
          <w:szCs w:val="32"/>
        </w:rPr>
        <w:t>负责日常事务。学生军训工作领导小组主要工作职责</w:t>
      </w:r>
      <w:r>
        <w:rPr>
          <w:rFonts w:hint="eastAsia" w:ascii="方正仿宋_GBK" w:hAnsi="仿宋" w:eastAsia="方正仿宋_GBK" w:cs="仿宋"/>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rPr>
      </w:pPr>
      <w:r>
        <w:rPr>
          <w:rFonts w:hint="eastAsia" w:ascii="方正仿宋_GBK" w:hAnsi="仿宋" w:eastAsia="方正仿宋_GBK" w:cs="仿宋"/>
          <w:sz w:val="32"/>
          <w:szCs w:val="32"/>
        </w:rPr>
        <w:t>1.研究制定学生军事技能训练计划，与承训单位签订军事技能训练协议书，做好学生军事技能训练的各项保障工作；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rPr>
      </w:pPr>
      <w:r>
        <w:rPr>
          <w:rFonts w:hint="eastAsia" w:ascii="方正仿宋_GBK" w:hAnsi="仿宋" w:eastAsia="方正仿宋_GBK" w:cs="仿宋"/>
          <w:sz w:val="32"/>
          <w:szCs w:val="32"/>
        </w:rPr>
        <w:t>2.掌握学生军事技能训练情况，及时解决学生军事技能训练中出现的问题；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rPr>
      </w:pPr>
      <w:r>
        <w:rPr>
          <w:rFonts w:hint="eastAsia" w:ascii="方正仿宋_GBK" w:hAnsi="仿宋" w:eastAsia="方正仿宋_GBK" w:cs="仿宋"/>
          <w:sz w:val="32"/>
          <w:szCs w:val="32"/>
        </w:rPr>
        <w:t>3.检查督促学生军事技能训练工作中各岗位工作人员的情况，确保学生军事技能训练利进行；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仿宋" w:eastAsia="方正仿宋_GBK" w:cs="仿宋"/>
          <w:sz w:val="32"/>
          <w:szCs w:val="32"/>
        </w:rPr>
      </w:pPr>
      <w:r>
        <w:rPr>
          <w:rFonts w:hint="eastAsia" w:ascii="方正仿宋_GBK" w:hAnsi="仿宋" w:eastAsia="方正仿宋_GBK" w:cs="仿宋"/>
          <w:sz w:val="32"/>
          <w:szCs w:val="32"/>
        </w:rPr>
        <w:t>4.协助组织学生军事技能训练汇报表演。</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Cs/>
          <w:sz w:val="32"/>
          <w:szCs w:val="32"/>
        </w:rPr>
      </w:pPr>
      <w:r>
        <w:rPr>
          <w:rFonts w:hint="eastAsia" w:ascii="方正楷体_GBK" w:hAnsi="楷体" w:eastAsia="方正楷体_GBK" w:cs="宋体"/>
          <w:b/>
          <w:color w:val="auto"/>
          <w:sz w:val="32"/>
          <w:szCs w:val="32"/>
          <w:lang w:val="en-US" w:eastAsia="zh-CN"/>
        </w:rPr>
        <w:t xml:space="preserve">第六条  </w:t>
      </w:r>
      <w:r>
        <w:rPr>
          <w:rFonts w:hint="eastAsia" w:ascii="方正仿宋_GBK" w:hAnsi="仿宋" w:eastAsia="方正仿宋_GBK" w:cs="仿宋"/>
          <w:sz w:val="32"/>
          <w:szCs w:val="32"/>
        </w:rPr>
        <w:t>为确保</w:t>
      </w:r>
      <w:r>
        <w:rPr>
          <w:rFonts w:hint="eastAsia" w:ascii="方正仿宋_GBK" w:hAnsi="仿宋" w:eastAsia="方正仿宋_GBK" w:cs="仿宋"/>
          <w:sz w:val="32"/>
          <w:szCs w:val="32"/>
          <w:lang w:val="en-US" w:eastAsia="zh-CN"/>
        </w:rPr>
        <w:t>学</w:t>
      </w:r>
      <w:r>
        <w:rPr>
          <w:rFonts w:hint="eastAsia" w:ascii="方正仿宋_GBK" w:hAnsi="仿宋" w:eastAsia="方正仿宋_GBK" w:cs="仿宋"/>
          <w:sz w:val="32"/>
          <w:szCs w:val="32"/>
        </w:rPr>
        <w:t>生军事技能训练工作顺利开展，</w:t>
      </w:r>
      <w:r>
        <w:rPr>
          <w:rFonts w:hint="eastAsia" w:ascii="仿宋" w:hAnsi="仿宋" w:eastAsia="仿宋" w:cs="仿宋"/>
          <w:sz w:val="32"/>
          <w:szCs w:val="32"/>
        </w:rPr>
        <w:t>学校和承训单位参照部队建制，建立健全军训团、营、连、排、班</w:t>
      </w:r>
      <w:r>
        <w:rPr>
          <w:rFonts w:hint="eastAsia" w:ascii="仿宋" w:hAnsi="仿宋" w:eastAsia="仿宋" w:cs="仿宋"/>
          <w:bCs/>
          <w:sz w:val="32"/>
          <w:szCs w:val="32"/>
        </w:rPr>
        <w:t>，负责军事技能训练的组织实施。其中，军事领导由承训单位派出，政治领导由学校派出，后勤领导由学校和承训单位共同派出。建立临时党（团）组织及驻训机构，有组织、有计划地开展文体娱乐、宣传报道、评比表彰等活动。</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s="仿宋"/>
          <w:sz w:val="32"/>
          <w:szCs w:val="32"/>
        </w:rPr>
      </w:pPr>
      <w:r>
        <w:rPr>
          <w:rFonts w:hint="eastAsia" w:ascii="方正楷体_GBK" w:hAnsi="楷体" w:eastAsia="方正楷体_GBK" w:cs="宋体"/>
          <w:b/>
          <w:color w:val="auto"/>
          <w:sz w:val="32"/>
          <w:szCs w:val="32"/>
          <w:lang w:val="en-US" w:eastAsia="zh-CN"/>
        </w:rPr>
        <w:t xml:space="preserve">第七条  </w:t>
      </w:r>
      <w:r>
        <w:rPr>
          <w:rFonts w:hint="eastAsia" w:ascii="方正仿宋_GBK" w:hAnsi="方正仿宋_GBK" w:eastAsia="方正仿宋_GBK" w:cs="方正仿宋_GBK"/>
          <w:bCs/>
          <w:sz w:val="32"/>
          <w:szCs w:val="32"/>
          <w:lang w:val="en-US" w:eastAsia="zh-CN"/>
        </w:rPr>
        <w:t>学生军事技能训练</w:t>
      </w:r>
      <w:r>
        <w:rPr>
          <w:rFonts w:hint="eastAsia" w:ascii="方正仿宋_GBK" w:hAnsi="方正仿宋_GBK" w:eastAsia="方正仿宋_GBK" w:cs="方正仿宋_GBK"/>
          <w:bCs/>
          <w:sz w:val="32"/>
          <w:szCs w:val="32"/>
        </w:rPr>
        <w:t>军训目标</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bCs/>
          <w:sz w:val="32"/>
          <w:szCs w:val="32"/>
        </w:rPr>
        <w:t>通过参加军事技能训练，让学生了解掌握军事基础知识和基本军事技能，增强国防观念、国家安全意识和忧患危机意识，弘扬爱国主义精神、传承红色基因、提高学生综合国防素质。</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第八条</w:t>
      </w:r>
      <w:r>
        <w:rPr>
          <w:rFonts w:hint="eastAsia" w:ascii="方正楷体_GBK" w:hAnsi="方正楷体_GBK" w:eastAsia="方正楷体_GBK" w:cs="方正楷体_GBK"/>
          <w:bCs/>
          <w:sz w:val="32"/>
          <w:szCs w:val="32"/>
          <w:lang w:val="en-US" w:eastAsia="zh-CN"/>
        </w:rPr>
        <w:t xml:space="preserve">  </w:t>
      </w:r>
      <w:r>
        <w:rPr>
          <w:rFonts w:hint="eastAsia" w:ascii="方正仿宋_GBK" w:hAnsi="方正仿宋_GBK" w:eastAsia="方正仿宋_GBK" w:cs="方正仿宋_GBK"/>
          <w:bCs/>
          <w:sz w:val="32"/>
          <w:szCs w:val="32"/>
          <w:lang w:val="en-US" w:eastAsia="zh-CN"/>
        </w:rPr>
        <w:t>学生军事技能训练内容。学校与承训单位协商，按教育部《普通高等学校军事课教学大纲》的要求拟定教学计划和训练实施方案，经学校学生军训工作领导小组确定后，由承训单位组织实施。</w:t>
      </w:r>
    </w:p>
    <w:p>
      <w:pPr>
        <w:keepNext w:val="0"/>
        <w:keepLines w:val="0"/>
        <w:pageBreakBefore w:val="0"/>
        <w:kinsoku/>
        <w:wordWrap/>
        <w:overflowPunct/>
        <w:topLinePunct w:val="0"/>
        <w:autoSpaceDE/>
        <w:autoSpaceDN/>
        <w:bidi w:val="0"/>
        <w:adjustRightInd/>
        <w:snapToGrid/>
        <w:spacing w:line="560" w:lineRule="exact"/>
        <w:ind w:firstLine="626" w:firstLineChars="195"/>
        <w:textAlignment w:val="auto"/>
        <w:rPr>
          <w:rFonts w:hint="eastAsia"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第九条</w:t>
      </w:r>
      <w:r>
        <w:rPr>
          <w:rFonts w:hint="eastAsia" w:ascii="方正仿宋_GBK" w:hAnsi="仿宋" w:eastAsia="方正仿宋_GBK" w:cs="仿宋"/>
          <w:sz w:val="32"/>
          <w:szCs w:val="32"/>
          <w:lang w:val="en-US" w:eastAsia="zh-CN"/>
        </w:rPr>
        <w:t xml:space="preserve">  </w:t>
      </w:r>
      <w:r>
        <w:rPr>
          <w:rFonts w:hint="eastAsia" w:ascii="方正仿宋_GBK" w:hAnsi="方正仿宋_GBK" w:eastAsia="方正仿宋_GBK" w:cs="方正仿宋_GBK"/>
          <w:bCs/>
          <w:sz w:val="32"/>
          <w:szCs w:val="32"/>
          <w:lang w:val="en-US" w:eastAsia="zh-CN"/>
        </w:rPr>
        <w:t>军训是高等学校学生的必修课，应纳入学校教学计划，学生军训包括军事技能训练和军事理论课教学两部分。军事技能训练以中国人民解放军的条令、条例为依据，按照训练时间为2～3周，实际训练时间不少于14天（或120学时）；军事理论课教学按《普通高等学校军事课教学大纲》规定的内容进行，不少于36学时。</w:t>
      </w:r>
    </w:p>
    <w:p>
      <w:pPr>
        <w:keepNext w:val="0"/>
        <w:keepLines w:val="0"/>
        <w:pageBreakBefore w:val="0"/>
        <w:kinsoku/>
        <w:wordWrap/>
        <w:overflowPunct/>
        <w:topLinePunct w:val="0"/>
        <w:autoSpaceDE/>
        <w:autoSpaceDN/>
        <w:bidi w:val="0"/>
        <w:adjustRightInd/>
        <w:snapToGrid/>
        <w:spacing w:line="560" w:lineRule="exact"/>
        <w:ind w:firstLine="626" w:firstLineChars="195"/>
        <w:textAlignment w:val="auto"/>
        <w:rPr>
          <w:rFonts w:hint="eastAsia"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 xml:space="preserve">第十条  </w:t>
      </w:r>
      <w:r>
        <w:rPr>
          <w:rFonts w:hint="eastAsia" w:ascii="方正仿宋_GBK" w:hAnsi="方正仿宋_GBK" w:eastAsia="方正仿宋_GBK" w:cs="方正仿宋_GBK"/>
          <w:bCs/>
          <w:sz w:val="32"/>
          <w:szCs w:val="32"/>
          <w:lang w:val="en-US" w:eastAsia="zh-CN"/>
        </w:rPr>
        <w:t>学生军事技能训练作为学分为2分的教学任务，考核合格后的成绩由教务处统一录入，成绩鉴定合格者由人民武装部发放《军事技能鉴定表》。军事技能训练期间实行点名考勤制度。具体由承训教官负责学生考勤，呈报学生军训办公室（学生工作处）。军训成绩纳入学生学分管理，存入学生个人成绩档案。</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default"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 xml:space="preserve">第十一条 </w:t>
      </w:r>
      <w:r>
        <w:rPr>
          <w:rFonts w:hint="eastAsia" w:ascii="方正仿宋_GBK" w:hAnsi="仿宋" w:eastAsia="方正仿宋_GBK" w:cs="仿宋"/>
          <w:sz w:val="32"/>
          <w:szCs w:val="32"/>
          <w:lang w:val="en-US" w:eastAsia="zh-CN"/>
        </w:rPr>
        <w:t xml:space="preserve"> </w:t>
      </w:r>
      <w:r>
        <w:rPr>
          <w:rFonts w:hint="eastAsia" w:ascii="方正仿宋_GBK" w:hAnsi="方正仿宋_GBK" w:eastAsia="方正仿宋_GBK" w:cs="方正仿宋_GBK"/>
          <w:bCs/>
          <w:sz w:val="32"/>
          <w:szCs w:val="32"/>
          <w:lang w:val="en-US" w:eastAsia="zh-CN"/>
        </w:rPr>
        <w:t>军容风纪规定。</w:t>
      </w:r>
      <w:r>
        <w:rPr>
          <w:rFonts w:hint="default" w:ascii="方正仿宋_GBK" w:hAnsi="方正仿宋_GBK" w:eastAsia="方正仿宋_GBK" w:cs="方正仿宋_GBK"/>
          <w:bCs/>
          <w:sz w:val="32"/>
          <w:szCs w:val="32"/>
          <w:lang w:val="en-US" w:eastAsia="zh-CN"/>
        </w:rPr>
        <w:t>军训期间</w:t>
      </w:r>
      <w:r>
        <w:rPr>
          <w:rFonts w:hint="eastAsia" w:ascii="方正仿宋_GBK" w:hAnsi="方正仿宋_GBK" w:eastAsia="方正仿宋_GBK" w:cs="方正仿宋_GBK"/>
          <w:bCs/>
          <w:sz w:val="32"/>
          <w:szCs w:val="32"/>
          <w:lang w:val="en-US" w:eastAsia="zh-CN"/>
        </w:rPr>
        <w:t>严格学生军事技能训练着装管理，学校原则上不得购买使用现行军服及其仿制品。</w:t>
      </w:r>
      <w:r>
        <w:rPr>
          <w:rFonts w:hint="default" w:ascii="方正仿宋_GBK" w:hAnsi="方正仿宋_GBK" w:eastAsia="方正仿宋_GBK" w:cs="方正仿宋_GBK"/>
          <w:bCs/>
          <w:sz w:val="32"/>
          <w:szCs w:val="32"/>
          <w:lang w:val="en-US" w:eastAsia="zh-CN"/>
        </w:rPr>
        <w:t>操课时须统一着装，非操课时</w:t>
      </w:r>
      <w:r>
        <w:rPr>
          <w:rFonts w:hint="eastAsia" w:ascii="方正仿宋_GBK" w:hAnsi="方正仿宋_GBK" w:eastAsia="方正仿宋_GBK" w:cs="方正仿宋_GBK"/>
          <w:bCs/>
          <w:sz w:val="32"/>
          <w:szCs w:val="32"/>
          <w:lang w:val="en-US" w:eastAsia="zh-CN"/>
        </w:rPr>
        <w:t>学生</w:t>
      </w:r>
      <w:r>
        <w:rPr>
          <w:rFonts w:hint="default" w:ascii="方正仿宋_GBK" w:hAnsi="方正仿宋_GBK" w:eastAsia="方正仿宋_GBK" w:cs="方正仿宋_GBK"/>
          <w:bCs/>
          <w:sz w:val="32"/>
          <w:szCs w:val="32"/>
          <w:lang w:val="en-US" w:eastAsia="zh-CN"/>
        </w:rPr>
        <w:t>不准</w:t>
      </w:r>
      <w:r>
        <w:rPr>
          <w:rFonts w:hint="eastAsia" w:ascii="方正仿宋_GBK" w:hAnsi="方正仿宋_GBK" w:eastAsia="方正仿宋_GBK" w:cs="方正仿宋_GBK"/>
          <w:bCs/>
          <w:sz w:val="32"/>
          <w:szCs w:val="32"/>
          <w:lang w:val="en-US" w:eastAsia="zh-CN"/>
        </w:rPr>
        <w:t>训练服、</w:t>
      </w:r>
      <w:r>
        <w:rPr>
          <w:rFonts w:hint="default" w:ascii="方正仿宋_GBK" w:hAnsi="方正仿宋_GBK" w:eastAsia="方正仿宋_GBK" w:cs="方正仿宋_GBK"/>
          <w:bCs/>
          <w:sz w:val="32"/>
          <w:szCs w:val="32"/>
          <w:lang w:val="en-US" w:eastAsia="zh-CN"/>
        </w:rPr>
        <w:t>便服混穿，不准在宿舍以外穿拖鞋。头发应当整洁，男生不准留长发、大鬓角和胡须；举止端正，精神振奋，姿态良好。</w:t>
      </w:r>
      <w:r>
        <w:rPr>
          <w:rFonts w:hint="eastAsia" w:ascii="方正仿宋_GBK" w:hAnsi="方正仿宋_GBK" w:eastAsia="方正仿宋_GBK" w:cs="方正仿宋_GBK"/>
          <w:bCs/>
          <w:sz w:val="32"/>
          <w:szCs w:val="32"/>
          <w:lang w:val="en-US" w:eastAsia="zh-CN"/>
        </w:rPr>
        <w:t>训练场所</w:t>
      </w:r>
      <w:r>
        <w:rPr>
          <w:rFonts w:hint="default" w:ascii="方正仿宋_GBK" w:hAnsi="方正仿宋_GBK" w:eastAsia="方正仿宋_GBK" w:cs="方正仿宋_GBK"/>
          <w:bCs/>
          <w:sz w:val="32"/>
          <w:szCs w:val="32"/>
          <w:lang w:val="en-US" w:eastAsia="zh-CN"/>
        </w:rPr>
        <w:t>不吸烟、不喝酒、不起哄、不打架斗殴。</w:t>
      </w:r>
    </w:p>
    <w:p>
      <w:pPr>
        <w:keepNext w:val="0"/>
        <w:keepLines w:val="0"/>
        <w:pageBreakBefore w:val="0"/>
        <w:kinsoku/>
        <w:wordWrap/>
        <w:overflowPunct/>
        <w:topLinePunct w:val="0"/>
        <w:autoSpaceDE/>
        <w:autoSpaceDN/>
        <w:bidi w:val="0"/>
        <w:adjustRightInd/>
        <w:snapToGrid/>
        <w:spacing w:line="560" w:lineRule="exact"/>
        <w:ind w:firstLine="626" w:firstLineChars="195"/>
        <w:textAlignment w:val="auto"/>
        <w:rPr>
          <w:rFonts w:hint="eastAsia"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 xml:space="preserve">第十二条 </w:t>
      </w:r>
      <w:r>
        <w:rPr>
          <w:rFonts w:hint="eastAsia" w:ascii="方正仿宋_GBK" w:hAnsi="方正仿宋_GBK" w:eastAsia="方正仿宋_GBK" w:cs="方正仿宋_GBK"/>
          <w:bCs/>
          <w:sz w:val="32"/>
          <w:szCs w:val="32"/>
          <w:lang w:val="en-US" w:eastAsia="zh-CN"/>
        </w:rPr>
        <w:t xml:space="preserve"> 请、销假制度。军事技能训练期间缺勤达1/3以上（包括请假）者军事技能训练成绩认定为不合格，并以缺训处理。请假期满应按时销假。因特殊情况不能按时销假的，要申请续假，经批准后方可，未经批准，逾期不归者，按旷课论处。</w:t>
      </w:r>
    </w:p>
    <w:p>
      <w:pPr>
        <w:keepNext w:val="0"/>
        <w:keepLines w:val="0"/>
        <w:pageBreakBefore w:val="0"/>
        <w:kinsoku/>
        <w:wordWrap/>
        <w:overflowPunct/>
        <w:topLinePunct w:val="0"/>
        <w:autoSpaceDE/>
        <w:autoSpaceDN/>
        <w:bidi w:val="0"/>
        <w:adjustRightInd/>
        <w:snapToGrid/>
        <w:spacing w:line="560" w:lineRule="exact"/>
        <w:ind w:firstLine="626" w:firstLineChars="195"/>
        <w:textAlignment w:val="auto"/>
        <w:rPr>
          <w:rFonts w:hint="default"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 xml:space="preserve">第十三条 </w:t>
      </w:r>
      <w:r>
        <w:rPr>
          <w:rFonts w:hint="eastAsia" w:ascii="方正楷体_GBK" w:hAnsi="楷体" w:eastAsia="方正楷体_GBK" w:cs="宋体"/>
          <w:b/>
          <w:color w:val="00B0F0"/>
          <w:sz w:val="32"/>
          <w:szCs w:val="32"/>
          <w:lang w:val="en-US" w:eastAsia="zh-CN"/>
        </w:rPr>
        <w:t xml:space="preserve"> </w:t>
      </w:r>
      <w:r>
        <w:rPr>
          <w:rFonts w:hint="eastAsia" w:ascii="方正仿宋_GBK" w:hAnsi="方正仿宋_GBK" w:eastAsia="方正仿宋_GBK" w:cs="方正仿宋_GBK"/>
          <w:bCs/>
          <w:sz w:val="32"/>
          <w:szCs w:val="32"/>
          <w:lang w:val="en-US" w:eastAsia="zh-CN"/>
        </w:rPr>
        <w:t>因故当年不能参加军事技能训练或军事技能训练考核成绩不合格的学生将参加补训。参军入伍退役后复学或入学学生，可免修军事技能训练，直接获得学分。</w:t>
      </w:r>
    </w:p>
    <w:p>
      <w:pPr>
        <w:keepNext w:val="0"/>
        <w:keepLines w:val="0"/>
        <w:pageBreakBefore w:val="0"/>
        <w:kinsoku/>
        <w:wordWrap/>
        <w:overflowPunct/>
        <w:topLinePunct w:val="0"/>
        <w:autoSpaceDE/>
        <w:autoSpaceDN/>
        <w:bidi w:val="0"/>
        <w:adjustRightInd/>
        <w:snapToGrid/>
        <w:spacing w:line="560" w:lineRule="exact"/>
        <w:ind w:firstLine="626" w:firstLineChars="195"/>
        <w:textAlignment w:val="auto"/>
        <w:rPr>
          <w:rFonts w:hint="eastAsia" w:ascii="方正仿宋_GBK" w:hAnsi="方正仿宋_GBK" w:eastAsia="方正仿宋_GBK" w:cs="方正仿宋_GBK"/>
          <w:bCs/>
          <w:sz w:val="32"/>
          <w:szCs w:val="32"/>
          <w:lang w:val="en-US" w:eastAsia="zh-CN"/>
        </w:rPr>
      </w:pPr>
      <w:r>
        <w:rPr>
          <w:rFonts w:hint="eastAsia" w:ascii="方正楷体_GBK" w:hAnsi="楷体" w:eastAsia="方正楷体_GBK" w:cs="宋体"/>
          <w:b/>
          <w:color w:val="auto"/>
          <w:sz w:val="32"/>
          <w:szCs w:val="32"/>
          <w:lang w:val="en-US" w:eastAsia="zh-CN"/>
        </w:rPr>
        <w:t xml:space="preserve">第十四条 </w:t>
      </w:r>
      <w:r>
        <w:rPr>
          <w:rFonts w:hint="eastAsia" w:ascii="方正楷体_GBK" w:hAnsi="楷体" w:eastAsia="方正楷体_GBK" w:cs="宋体"/>
          <w:b/>
          <w:color w:val="00B0F0"/>
          <w:sz w:val="32"/>
          <w:szCs w:val="32"/>
          <w:lang w:val="en-US" w:eastAsia="zh-CN"/>
        </w:rPr>
        <w:t xml:space="preserve"> </w:t>
      </w:r>
      <w:r>
        <w:rPr>
          <w:rFonts w:hint="eastAsia" w:ascii="方正仿宋_GBK" w:hAnsi="方正仿宋_GBK" w:eastAsia="方正仿宋_GBK" w:cs="方正仿宋_GBK"/>
          <w:bCs/>
          <w:sz w:val="32"/>
          <w:szCs w:val="32"/>
          <w:lang w:val="en-US" w:eastAsia="zh-CN"/>
        </w:rPr>
        <w:t>评比制度。学生军事技能训练结束后，按照落实参训当年疫情防控措施要求，灵活组织学生军训汇报表演，对训练期间表现优异的集体及个人予以表彰。</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default" w:ascii="方正仿宋_GBK" w:hAnsi="方正仿宋_GBK" w:eastAsia="方正仿宋_GBK" w:cs="方正仿宋_GBK"/>
          <w:bCs/>
          <w:kern w:val="2"/>
          <w:sz w:val="32"/>
          <w:szCs w:val="32"/>
          <w:lang w:val="en-US" w:eastAsia="zh-CN" w:bidi="ar-SA"/>
        </w:rPr>
      </w:pPr>
      <w:r>
        <w:rPr>
          <w:rFonts w:hint="eastAsia" w:ascii="方正楷体_GBK" w:hAnsi="楷体" w:eastAsia="方正楷体_GBK" w:cs="宋体"/>
          <w:b/>
          <w:color w:val="auto"/>
          <w:sz w:val="32"/>
          <w:szCs w:val="32"/>
          <w:lang w:val="en-US" w:eastAsia="zh-CN"/>
        </w:rPr>
        <w:t xml:space="preserve">第十五条  </w:t>
      </w:r>
      <w:r>
        <w:rPr>
          <w:rFonts w:hint="default" w:ascii="方正仿宋_GBK" w:hAnsi="方正仿宋_GBK" w:eastAsia="方正仿宋_GBK" w:cs="方正仿宋_GBK"/>
          <w:bCs/>
          <w:kern w:val="2"/>
          <w:sz w:val="32"/>
          <w:szCs w:val="32"/>
          <w:lang w:val="en-US" w:eastAsia="zh-CN" w:bidi="ar-SA"/>
        </w:rPr>
        <w:t>为保证军训工作顺利进行，学</w:t>
      </w:r>
      <w:r>
        <w:rPr>
          <w:rFonts w:hint="eastAsia" w:ascii="方正仿宋_GBK" w:hAnsi="方正仿宋_GBK" w:eastAsia="方正仿宋_GBK" w:cs="方正仿宋_GBK"/>
          <w:bCs/>
          <w:kern w:val="2"/>
          <w:sz w:val="32"/>
          <w:szCs w:val="32"/>
          <w:lang w:val="en-US" w:eastAsia="zh-CN" w:bidi="ar-SA"/>
        </w:rPr>
        <w:t>校</w:t>
      </w:r>
      <w:r>
        <w:rPr>
          <w:rFonts w:hint="default" w:ascii="方正仿宋_GBK" w:hAnsi="方正仿宋_GBK" w:eastAsia="方正仿宋_GBK" w:cs="方正仿宋_GBK"/>
          <w:bCs/>
          <w:kern w:val="2"/>
          <w:sz w:val="32"/>
          <w:szCs w:val="32"/>
          <w:lang w:val="en-US" w:eastAsia="zh-CN" w:bidi="ar-SA"/>
        </w:rPr>
        <w:t>有关部门</w:t>
      </w:r>
      <w:r>
        <w:rPr>
          <w:rFonts w:hint="eastAsia" w:ascii="方正仿宋_GBK" w:hAnsi="方正仿宋_GBK" w:eastAsia="方正仿宋_GBK" w:cs="方正仿宋_GBK"/>
          <w:bCs/>
          <w:kern w:val="2"/>
          <w:sz w:val="32"/>
          <w:szCs w:val="32"/>
          <w:lang w:val="en-US" w:eastAsia="zh-CN" w:bidi="ar-SA"/>
        </w:rPr>
        <w:t>及承训单位</w:t>
      </w:r>
      <w:r>
        <w:rPr>
          <w:rFonts w:hint="default" w:ascii="方正仿宋_GBK" w:hAnsi="方正仿宋_GBK" w:eastAsia="方正仿宋_GBK" w:cs="方正仿宋_GBK"/>
          <w:bCs/>
          <w:kern w:val="2"/>
          <w:sz w:val="32"/>
          <w:szCs w:val="32"/>
          <w:lang w:val="en-US" w:eastAsia="zh-CN" w:bidi="ar-SA"/>
        </w:rPr>
        <w:t>应积</w:t>
      </w:r>
      <w:r>
        <w:rPr>
          <w:rFonts w:hint="eastAsia" w:ascii="方正仿宋_GBK" w:hAnsi="方正仿宋_GBK" w:eastAsia="方正仿宋_GBK" w:cs="方正仿宋_GBK"/>
          <w:bCs/>
          <w:kern w:val="2"/>
          <w:sz w:val="32"/>
          <w:szCs w:val="32"/>
          <w:lang w:val="en-US" w:eastAsia="zh-CN" w:bidi="ar-SA"/>
        </w:rPr>
        <w:t>级</w:t>
      </w:r>
      <w:r>
        <w:rPr>
          <w:rFonts w:hint="default" w:ascii="方正仿宋_GBK" w:hAnsi="方正仿宋_GBK" w:eastAsia="方正仿宋_GBK" w:cs="方正仿宋_GBK"/>
          <w:bCs/>
          <w:kern w:val="2"/>
          <w:sz w:val="32"/>
          <w:szCs w:val="32"/>
          <w:lang w:val="en-US" w:eastAsia="zh-CN" w:bidi="ar-SA"/>
        </w:rPr>
        <w:t>做好军训期间的后勤保障工作。安排好教官住宿、就餐、洗澡事宜，提供必要的学习、生活、办公、医疗条件；发放学生的军训服装，划定军训学生就餐窗口，安排军训学生训练期间的饮用水，安排军训医护人员现场值班和医疗救护专车，做好军训期间学生体检等工作。有关部门要主动深入学生宿舍，积极做好学生宿舍生活设备检修、维修及跟踪服务工作，注意解决新生生活上的实际困难，营造良好的军训生活环境。</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方正仿宋_GBK" w:hAnsi="方正仿宋_GBK" w:eastAsia="方正仿宋_GBK" w:cs="方正仿宋_GBK"/>
          <w:bCs/>
          <w:kern w:val="2"/>
          <w:sz w:val="32"/>
          <w:szCs w:val="32"/>
          <w:lang w:val="en-US" w:eastAsia="zh-CN" w:bidi="ar-SA"/>
        </w:rPr>
      </w:pPr>
      <w:r>
        <w:rPr>
          <w:rFonts w:hint="eastAsia" w:ascii="方正楷体_GBK" w:hAnsi="楷体" w:eastAsia="方正楷体_GBK" w:cs="宋体"/>
          <w:b/>
          <w:color w:val="auto"/>
          <w:sz w:val="32"/>
          <w:szCs w:val="32"/>
          <w:lang w:val="en-US" w:eastAsia="zh-CN"/>
        </w:rPr>
        <w:t xml:space="preserve">第十六条  </w:t>
      </w:r>
      <w:r>
        <w:rPr>
          <w:rFonts w:hint="default" w:ascii="方正仿宋_GBK" w:hAnsi="方正仿宋_GBK" w:eastAsia="方正仿宋_GBK" w:cs="方正仿宋_GBK"/>
          <w:bCs/>
          <w:kern w:val="2"/>
          <w:sz w:val="32"/>
          <w:szCs w:val="32"/>
          <w:lang w:val="en-US" w:eastAsia="zh-CN" w:bidi="ar-SA"/>
        </w:rPr>
        <w:t>学生军训经费应列入学校经费预算，建立军训经费专项科目予以保障，根据学校实际，还要提供必要的军训设备、教材、教研、活动等费用。</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textAlignment w:val="auto"/>
        <w:rPr>
          <w:rFonts w:ascii="方正仿宋_GBK" w:hAnsi="宋体" w:eastAsia="方正仿宋_GBK" w:cs="宋体"/>
          <w:color w:val="auto"/>
          <w:sz w:val="32"/>
          <w:szCs w:val="32"/>
        </w:rPr>
      </w:pPr>
      <w:r>
        <w:rPr>
          <w:rFonts w:hint="eastAsia" w:ascii="方正楷体_GBK" w:hAnsi="楷体" w:eastAsia="方正楷体_GBK" w:cs="宋体"/>
          <w:b/>
          <w:color w:val="auto"/>
          <w:sz w:val="32"/>
          <w:szCs w:val="32"/>
        </w:rPr>
        <w:t>第</w:t>
      </w:r>
      <w:r>
        <w:rPr>
          <w:rFonts w:hint="eastAsia" w:ascii="方正楷体_GBK" w:hAnsi="楷体" w:eastAsia="方正楷体_GBK" w:cs="宋体"/>
          <w:b/>
          <w:color w:val="auto"/>
          <w:sz w:val="32"/>
          <w:szCs w:val="32"/>
          <w:lang w:val="en-US" w:eastAsia="zh-CN"/>
        </w:rPr>
        <w:t>十七</w:t>
      </w:r>
      <w:r>
        <w:rPr>
          <w:rFonts w:hint="eastAsia" w:ascii="方正楷体_GBK" w:hAnsi="楷体" w:eastAsia="方正楷体_GBK" w:cs="宋体"/>
          <w:b/>
          <w:color w:val="auto"/>
          <w:sz w:val="32"/>
          <w:szCs w:val="32"/>
        </w:rPr>
        <w:t>条</w:t>
      </w:r>
      <w:r>
        <w:rPr>
          <w:rFonts w:hint="eastAsia" w:ascii="方正楷体_GBK" w:hAnsi="楷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本办法由学生工作处负责解释。</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textAlignment w:val="auto"/>
        <w:rPr>
          <w:rFonts w:ascii="方正仿宋_GBK" w:hAnsi="宋体" w:eastAsia="方正仿宋_GBK" w:cs="宋体"/>
          <w:color w:val="auto"/>
          <w:sz w:val="32"/>
          <w:szCs w:val="32"/>
        </w:rPr>
      </w:pPr>
      <w:r>
        <w:rPr>
          <w:rFonts w:hint="eastAsia" w:ascii="方正楷体_GBK" w:hAnsi="楷体" w:eastAsia="方正楷体_GBK" w:cs="宋体"/>
          <w:b/>
          <w:color w:val="auto"/>
          <w:sz w:val="32"/>
          <w:szCs w:val="32"/>
        </w:rPr>
        <w:t>第</w:t>
      </w:r>
      <w:r>
        <w:rPr>
          <w:rFonts w:hint="eastAsia" w:ascii="方正楷体_GBK" w:hAnsi="楷体" w:eastAsia="方正楷体_GBK" w:cs="宋体"/>
          <w:b/>
          <w:color w:val="auto"/>
          <w:sz w:val="32"/>
          <w:szCs w:val="32"/>
          <w:lang w:val="en-US" w:eastAsia="zh-CN"/>
        </w:rPr>
        <w:t>十八</w:t>
      </w:r>
      <w:r>
        <w:rPr>
          <w:rFonts w:hint="eastAsia" w:ascii="方正楷体_GBK" w:hAnsi="楷体" w:eastAsia="方正楷体_GBK" w:cs="宋体"/>
          <w:b/>
          <w:color w:val="auto"/>
          <w:sz w:val="32"/>
          <w:szCs w:val="32"/>
        </w:rPr>
        <w:t>条</w:t>
      </w:r>
      <w:r>
        <w:rPr>
          <w:rFonts w:hint="eastAsia" w:ascii="方正楷体_GBK" w:hAnsi="楷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本办法自202</w:t>
      </w:r>
      <w:r>
        <w:rPr>
          <w:rFonts w:hint="eastAsia" w:ascii="方正仿宋_GBK" w:hAnsi="宋体" w:eastAsia="方正仿宋_GBK" w:cs="宋体"/>
          <w:color w:val="auto"/>
          <w:sz w:val="32"/>
          <w:szCs w:val="32"/>
          <w:lang w:val="en-US" w:eastAsia="zh-CN"/>
        </w:rPr>
        <w:t>2</w:t>
      </w:r>
      <w:r>
        <w:rPr>
          <w:rFonts w:hint="eastAsia" w:ascii="方正仿宋_GBK" w:hAnsi="宋体" w:eastAsia="方正仿宋_GBK" w:cs="宋体"/>
          <w:color w:val="auto"/>
          <w:sz w:val="32"/>
          <w:szCs w:val="32"/>
        </w:rPr>
        <w:t>年9月1日起</w:t>
      </w:r>
      <w:r>
        <w:rPr>
          <w:rFonts w:hint="eastAsia" w:ascii="方正仿宋_GBK" w:hAnsi="宋体" w:eastAsia="方正仿宋_GBK" w:cs="宋体"/>
          <w:color w:val="auto"/>
          <w:sz w:val="32"/>
          <w:szCs w:val="32"/>
          <w:lang w:val="en-US" w:eastAsia="zh-CN"/>
        </w:rPr>
        <w:t>试行</w:t>
      </w:r>
      <w:r>
        <w:rPr>
          <w:rFonts w:hint="eastAsia" w:ascii="方正仿宋_GBK" w:hAnsi="宋体" w:eastAsia="方正仿宋_GBK" w:cs="宋体"/>
          <w:color w:val="auto"/>
          <w:sz w:val="32"/>
          <w:szCs w:val="32"/>
        </w:rPr>
        <w:t>。</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i w:val="0"/>
          <w:iCs w:val="0"/>
          <w:caps w:val="0"/>
          <w:color w:val="auto"/>
          <w:spacing w:val="0"/>
          <w:sz w:val="36"/>
          <w:szCs w:val="36"/>
          <w:highlight w:val="none"/>
          <w:shd w:val="clear" w:fill="FFFFFF"/>
          <w:lang w:val="en-US" w:eastAsia="zh-CN"/>
        </w:rPr>
      </w:pPr>
    </w:p>
    <w:p>
      <w:pPr>
        <w:pStyle w:val="2"/>
        <w:pageBreakBefore w:val="0"/>
        <w:kinsoku/>
        <w:wordWrap/>
        <w:overflowPunct/>
        <w:topLinePunct w:val="0"/>
        <w:autoSpaceDE/>
        <w:autoSpaceDN/>
        <w:bidi w:val="0"/>
        <w:adjustRightInd/>
        <w:spacing w:before="156" w:line="560" w:lineRule="exact"/>
        <w:ind w:left="0" w:leftChars="0" w:firstLine="0" w:firstLineChars="0"/>
        <w:jc w:val="center"/>
        <w:textAlignment w:val="auto"/>
        <w:rPr>
          <w:rFonts w:hint="eastAsia" w:ascii="方正小标宋_GBK" w:hAnsi="方正小标宋_GBK" w:eastAsia="方正小标宋_GBK" w:cs="方正小标宋_GBK"/>
          <w:b/>
          <w:bCs/>
          <w:color w:val="auto"/>
          <w:kern w:val="2"/>
          <w:sz w:val="36"/>
          <w:szCs w:val="36"/>
          <w:highlight w:val="none"/>
          <w:lang w:val="en-US" w:eastAsia="zh-CN" w:bidi="ar-SA"/>
        </w:rPr>
      </w:pPr>
      <w:bookmarkStart w:id="251" w:name="_Toc4038"/>
      <w:r>
        <w:rPr>
          <w:rFonts w:hint="eastAsia" w:ascii="方正小标宋_GBK" w:hAnsi="方正小标宋_GBK" w:eastAsia="方正小标宋_GBK" w:cs="方正小标宋_GBK"/>
          <w:b/>
          <w:bCs/>
          <w:color w:val="auto"/>
          <w:kern w:val="2"/>
          <w:sz w:val="36"/>
          <w:szCs w:val="36"/>
          <w:highlight w:val="none"/>
          <w:lang w:val="en-US" w:eastAsia="zh-CN" w:bidi="ar-SA"/>
        </w:rPr>
        <w:t>云南城市建设职业学院学生心理危机干预工作</w:t>
      </w:r>
      <w:bookmarkStart w:id="252" w:name="_Toc8891"/>
      <w:r>
        <w:rPr>
          <w:rFonts w:hint="eastAsia" w:ascii="方正小标宋_GBK" w:hAnsi="方正小标宋_GBK" w:eastAsia="方正小标宋_GBK" w:cs="方正小标宋_GBK"/>
          <w:b/>
          <w:bCs/>
          <w:color w:val="auto"/>
          <w:kern w:val="2"/>
          <w:sz w:val="36"/>
          <w:szCs w:val="36"/>
          <w:highlight w:val="none"/>
          <w:lang w:val="en-US" w:eastAsia="zh-CN" w:bidi="ar-SA"/>
        </w:rPr>
        <w:t>预案</w:t>
      </w:r>
      <w:bookmarkStart w:id="253" w:name="_Toc5773"/>
      <w:r>
        <w:rPr>
          <w:rFonts w:hint="eastAsia" w:ascii="方正小标宋_GBK" w:hAnsi="方正小标宋_GBK" w:eastAsia="方正小标宋_GBK" w:cs="方正小标宋_GBK"/>
          <w:b/>
          <w:bCs/>
          <w:color w:val="auto"/>
          <w:kern w:val="2"/>
          <w:sz w:val="36"/>
          <w:szCs w:val="36"/>
          <w:highlight w:val="none"/>
          <w:lang w:val="en-US" w:eastAsia="zh-CN" w:bidi="ar-SA"/>
        </w:rPr>
        <w:t>（试行）</w:t>
      </w:r>
      <w:bookmarkEnd w:id="251"/>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54" w:name="_Toc23005"/>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方正黑体_GBK" w:hAnsi="方正黑体_GBK" w:eastAsia="方正黑体_GBK" w:cs="方正黑体_GBK"/>
          <w:b/>
          <w:bCs w:val="0"/>
          <w:color w:val="auto"/>
          <w:sz w:val="32"/>
          <w:szCs w:val="32"/>
          <w:highlight w:val="none"/>
          <w:lang w:val="en-US" w:eastAsia="zh-CN"/>
        </w:rPr>
      </w:pPr>
      <w:r>
        <w:rPr>
          <w:rFonts w:hint="eastAsia" w:ascii="方正黑体_GBK" w:hAnsi="方正黑体_GBK" w:eastAsia="方正黑体_GBK" w:cs="方正黑体_GBK"/>
          <w:b/>
          <w:bCs w:val="0"/>
          <w:color w:val="auto"/>
          <w:sz w:val="32"/>
          <w:szCs w:val="32"/>
          <w:highlight w:val="none"/>
          <w:lang w:val="en-US" w:eastAsia="zh-CN"/>
        </w:rPr>
        <w:t>第一章  总则</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方正仿宋_GBK" w:hAnsi="方正仿宋_GBK" w:eastAsia="方正仿宋_GBK" w:cs="方正仿宋_GBK"/>
          <w:b/>
          <w:bCs w:val="0"/>
          <w:color w:val="auto"/>
          <w:sz w:val="32"/>
          <w:szCs w:val="32"/>
          <w:highlight w:val="none"/>
          <w:lang w:val="en-US" w:eastAsia="zh-CN"/>
        </w:rPr>
      </w:pPr>
      <w:r>
        <w:rPr>
          <w:rFonts w:hint="eastAsia" w:ascii="方正楷体_GBK" w:hAnsi="方正楷体_GBK" w:eastAsia="方正楷体_GBK" w:cs="方正楷体_GBK"/>
          <w:b/>
          <w:bCs w:val="0"/>
          <w:color w:val="auto"/>
          <w:sz w:val="32"/>
          <w:szCs w:val="32"/>
          <w:highlight w:val="none"/>
          <w:lang w:val="en-US" w:eastAsia="zh-CN"/>
        </w:rPr>
        <w:t xml:space="preserve">第一条  </w:t>
      </w:r>
      <w:r>
        <w:rPr>
          <w:rFonts w:hint="eastAsia" w:ascii="方正仿宋_GBK" w:hAnsi="方正仿宋_GBK" w:eastAsia="方正仿宋_GBK" w:cs="方正仿宋_GBK"/>
          <w:b w:val="0"/>
          <w:bCs/>
          <w:color w:val="auto"/>
          <w:kern w:val="0"/>
          <w:sz w:val="32"/>
          <w:szCs w:val="32"/>
          <w:highlight w:val="none"/>
          <w:lang w:val="en-US" w:eastAsia="zh-CN" w:bidi="ar"/>
        </w:rPr>
        <w:t>为贯彻落实为贯彻落实《教育部办公厅关于加强学生心理健康管理工作的通知》（教思政厅函[2021]10号）的文件精神和《云南省高校学生心理健康教育工作评价与督导指标体系（试行）》的要求，进一步规范学生心理危机干预工作，充分发挥四级心理危机预防与干预网络体系的作用，结合学校实际，制定本预案。</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第二条</w:t>
      </w:r>
      <w:r>
        <w:rPr>
          <w:rFonts w:hint="eastAsia" w:ascii="方正仿宋_GBK" w:hAnsi="方正仿宋_GBK" w:eastAsia="方正仿宋_GBK" w:cs="方正仿宋_GBK"/>
          <w:color w:val="auto"/>
          <w:sz w:val="32"/>
          <w:szCs w:val="32"/>
          <w:highlight w:val="none"/>
          <w:lang w:val="en-US" w:eastAsia="zh-CN"/>
        </w:rPr>
        <w:t xml:space="preserve">  本预案中的“学生”是指具有云南城市建设职业学院学籍的学生，“心理中心”是指学生工作处心理健康教育中心，以下内容简称“心理中心”。</w:t>
      </w: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val="0"/>
          <w:color w:val="auto"/>
          <w:sz w:val="32"/>
          <w:szCs w:val="32"/>
          <w:highlight w:val="none"/>
          <w:lang w:val="en-US" w:eastAsia="zh-CN"/>
        </w:rPr>
      </w:pPr>
      <w:r>
        <w:rPr>
          <w:rFonts w:hint="eastAsia" w:ascii="方正黑体_GBK" w:hAnsi="方正黑体_GBK" w:eastAsia="方正黑体_GBK" w:cs="方正黑体_GBK"/>
          <w:b/>
          <w:bCs w:val="0"/>
          <w:color w:val="auto"/>
          <w:sz w:val="32"/>
          <w:szCs w:val="32"/>
          <w:highlight w:val="none"/>
          <w:lang w:val="en-US" w:eastAsia="zh-CN"/>
        </w:rPr>
        <w:t>第二章  学校心理危机干预流程</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val="0"/>
          <w:bCs/>
          <w:color w:val="auto"/>
          <w:sz w:val="32"/>
          <w:szCs w:val="32"/>
          <w:highlight w:val="none"/>
          <w:lang w:val="en-US" w:eastAsia="zh-CN"/>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kern w:val="0"/>
          <w:sz w:val="32"/>
          <w:szCs w:val="32"/>
          <w:highlight w:val="none"/>
          <w:lang w:val="en-US" w:eastAsia="zh-CN" w:bidi="ar"/>
        </w:rPr>
      </w:pPr>
      <w:r>
        <w:rPr>
          <w:rFonts w:hint="eastAsia" w:ascii="方正楷体_GBK" w:hAnsi="方正楷体_GBK" w:eastAsia="方正楷体_GBK" w:cs="方正楷体_GBK"/>
          <w:b/>
          <w:bCs w:val="0"/>
          <w:color w:val="auto"/>
          <w:sz w:val="32"/>
          <w:szCs w:val="32"/>
          <w:highlight w:val="none"/>
          <w:lang w:val="en-US" w:eastAsia="zh-CN"/>
        </w:rPr>
        <w:t>第三条</w:t>
      </w:r>
      <w:r>
        <w:rPr>
          <w:rFonts w:hint="eastAsia" w:ascii="方正仿宋_GBK" w:hAnsi="方正仿宋_GBK" w:eastAsia="方正仿宋_GBK" w:cs="方正仿宋_GBK"/>
          <w:b w:val="0"/>
          <w:bCs/>
          <w:color w:val="auto"/>
          <w:sz w:val="32"/>
          <w:szCs w:val="32"/>
          <w:highlight w:val="none"/>
          <w:lang w:val="en-US" w:eastAsia="zh-CN"/>
        </w:rPr>
        <w:t xml:space="preserve">  学校心理危机干预流程</w:t>
      </w:r>
      <w:r>
        <w:rPr>
          <w:rFonts w:hint="eastAsia" w:ascii="方正仿宋_GBK" w:hAnsi="方正仿宋_GBK" w:eastAsia="方正仿宋_GBK" w:cs="方正仿宋_GBK"/>
          <w:b w:val="0"/>
          <w:bCs/>
          <w:color w:val="auto"/>
          <w:kern w:val="0"/>
          <w:sz w:val="32"/>
          <w:szCs w:val="32"/>
          <w:highlight w:val="none"/>
          <w:lang w:val="en-US" w:eastAsia="zh-CN" w:bidi="ar"/>
        </w:rPr>
        <w:t>：</w:t>
      </w:r>
      <w:bookmarkEnd w:id="253"/>
      <w:bookmarkEnd w:id="254"/>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r>
        <w:rPr>
          <w:color w:val="auto"/>
          <w:sz w:val="32"/>
          <w:highlight w:val="none"/>
        </w:rPr>
        <mc:AlternateContent>
          <mc:Choice Requires="wpg">
            <w:drawing>
              <wp:anchor distT="0" distB="0" distL="114300" distR="114300" simplePos="0" relativeHeight="251716608" behindDoc="0" locked="0" layoutInCell="1" allowOverlap="1">
                <wp:simplePos x="0" y="0"/>
                <wp:positionH relativeFrom="column">
                  <wp:posOffset>-21590</wp:posOffset>
                </wp:positionH>
                <wp:positionV relativeFrom="paragraph">
                  <wp:posOffset>154940</wp:posOffset>
                </wp:positionV>
                <wp:extent cx="5666740" cy="6729095"/>
                <wp:effectExtent l="4445" t="4445" r="5715" b="10160"/>
                <wp:wrapNone/>
                <wp:docPr id="59" name="组合 59"/>
                <wp:cNvGraphicFramePr/>
                <a:graphic xmlns:a="http://schemas.openxmlformats.org/drawingml/2006/main">
                  <a:graphicData uri="http://schemas.microsoft.com/office/word/2010/wordprocessingGroup">
                    <wpg:wgp>
                      <wpg:cNvGrpSpPr/>
                      <wpg:grpSpPr>
                        <a:xfrm>
                          <a:off x="0" y="0"/>
                          <a:ext cx="5666740" cy="6729095"/>
                          <a:chOff x="9560" y="4631"/>
                          <a:chExt cx="8924" cy="10597"/>
                        </a:xfrm>
                      </wpg:grpSpPr>
                      <wpg:grpSp>
                        <wpg:cNvPr id="60" name="组合 2"/>
                        <wpg:cNvGrpSpPr/>
                        <wpg:grpSpPr>
                          <a:xfrm>
                            <a:off x="9560" y="4631"/>
                            <a:ext cx="8924" cy="6101"/>
                            <a:chOff x="9560" y="4631"/>
                            <a:chExt cx="8924" cy="6101"/>
                          </a:xfrm>
                        </wpg:grpSpPr>
                        <wps:wsp>
                          <wps:cNvPr id="75" name="文本框 75"/>
                          <wps:cNvSpPr txBox="1"/>
                          <wps:spPr>
                            <a:xfrm>
                              <a:off x="12004" y="8202"/>
                              <a:ext cx="734" cy="108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轻度危机</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3" name="文本框 1"/>
                          <wps:cNvSpPr txBox="1"/>
                          <wps:spPr>
                            <a:xfrm>
                              <a:off x="9560" y="4631"/>
                              <a:ext cx="2745" cy="4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宿舍心理联络员（宿舍长）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3"/>
                          <wps:cNvSpPr txBox="1"/>
                          <wps:spPr>
                            <a:xfrm>
                              <a:off x="12934" y="4631"/>
                              <a:ext cx="1201" cy="4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lang w:val="en-US" w:eastAsia="zh-CN"/>
                                  </w:rPr>
                                  <w:t>心</w:t>
                                </w:r>
                                <w:r>
                                  <w:rPr>
                                    <w:rFonts w:hint="eastAsia" w:ascii="方正仿宋_GBK" w:hAnsi="方正仿宋_GBK" w:eastAsia="方正仿宋_GBK" w:cs="方正仿宋_GBK"/>
                                    <w:sz w:val="21"/>
                                    <w:szCs w:val="21"/>
                                    <w:lang w:val="en-US" w:eastAsia="zh-CN"/>
                                  </w:rPr>
                                  <w:t>理委员</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51"/>
                          <wps:cNvSpPr txBox="1"/>
                          <wps:spPr>
                            <a:xfrm>
                              <a:off x="14705" y="4632"/>
                              <a:ext cx="3779" cy="4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危机排查（可能出现心理危机的学生）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53"/>
                          <wps:cNvSpPr txBox="1"/>
                          <wps:spPr>
                            <a:xfrm>
                              <a:off x="11627" y="5869"/>
                              <a:ext cx="4126" cy="84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辅导员（学生联系、家校联系、任课教师联系、学生工作处心理健康教育中心联系）</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文本框 55"/>
                          <wps:cNvSpPr txBox="1"/>
                          <wps:spPr>
                            <a:xfrm>
                              <a:off x="11749" y="7426"/>
                              <a:ext cx="3884" cy="4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学生工作处心理健康教育中心心理评估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直接箭头连接符 67"/>
                          <wps:cNvCnPr>
                            <a:stCxn id="3" idx="2"/>
                          </wps:cNvCnPr>
                          <wps:spPr>
                            <a:xfrm flipH="1">
                              <a:off x="13534" y="5151"/>
                              <a:ext cx="1" cy="6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8" name="直接箭头连接符 68"/>
                          <wps:cNvCnPr/>
                          <wps:spPr>
                            <a:xfrm>
                              <a:off x="11869" y="5171"/>
                              <a:ext cx="930" cy="6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9" name="直接箭头连接符 69"/>
                          <wps:cNvCnPr/>
                          <wps:spPr>
                            <a:xfrm flipH="1">
                              <a:off x="14374" y="5186"/>
                              <a:ext cx="1035" cy="6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0" name="直接箭头连接符 70"/>
                          <wps:cNvCnPr/>
                          <wps:spPr>
                            <a:xfrm>
                              <a:off x="13564" y="6806"/>
                              <a:ext cx="0" cy="5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1" name="直接箭头连接符 71"/>
                          <wps:cNvCnPr/>
                          <wps:spPr>
                            <a:xfrm>
                              <a:off x="13609" y="8005"/>
                              <a:ext cx="26" cy="272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2" name="直接箭头连接符 72"/>
                          <wps:cNvCnPr/>
                          <wps:spPr>
                            <a:xfrm>
                              <a:off x="12514" y="7992"/>
                              <a:ext cx="0" cy="15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3" name="直接箭头连接符 73"/>
                          <wps:cNvCnPr/>
                          <wps:spPr>
                            <a:xfrm>
                              <a:off x="14884" y="7992"/>
                              <a:ext cx="30" cy="1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61" name="组合 52"/>
                        <wpg:cNvGrpSpPr/>
                        <wpg:grpSpPr>
                          <a:xfrm>
                            <a:off x="10399" y="9701"/>
                            <a:ext cx="7634" cy="5527"/>
                            <a:chOff x="10399" y="9701"/>
                            <a:chExt cx="7634" cy="5527"/>
                          </a:xfrm>
                        </wpg:grpSpPr>
                        <wpg:grpSp>
                          <wpg:cNvPr id="62" name="组合 50"/>
                          <wpg:cNvGrpSpPr/>
                          <wpg:grpSpPr>
                            <a:xfrm>
                              <a:off x="10774" y="13628"/>
                              <a:ext cx="7199" cy="1600"/>
                              <a:chOff x="10774" y="13628"/>
                              <a:chExt cx="7199" cy="1600"/>
                            </a:xfrm>
                          </wpg:grpSpPr>
                          <wps:wsp>
                            <wps:cNvPr id="79" name="直接箭头连接符 79"/>
                            <wps:cNvCnPr/>
                            <wps:spPr>
                              <a:xfrm>
                                <a:off x="13609" y="13675"/>
                                <a:ext cx="15" cy="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4" name="直接箭头连接符 84"/>
                            <wps:cNvCnPr/>
                            <wps:spPr>
                              <a:xfrm flipH="1">
                                <a:off x="11359" y="13658"/>
                                <a:ext cx="1680" cy="6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5" name="直接箭头连接符 85"/>
                            <wps:cNvCnPr>
                              <a:endCxn id="65" idx="0"/>
                            </wps:cNvCnPr>
                            <wps:spPr>
                              <a:xfrm>
                                <a:off x="14239" y="13628"/>
                                <a:ext cx="1065" cy="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3" name="文本框 63"/>
                            <wps:cNvSpPr txBox="1"/>
                            <wps:spPr>
                              <a:xfrm>
                                <a:off x="10774" y="14449"/>
                                <a:ext cx="1140" cy="4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家长监护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文本框 64"/>
                            <wps:cNvSpPr txBox="1"/>
                            <wps:spPr>
                              <a:xfrm>
                                <a:off x="12259" y="14434"/>
                                <a:ext cx="2086" cy="7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二级学院、辅导员（班主任）及时关注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65"/>
                            <wps:cNvSpPr txBox="1"/>
                            <wps:spPr>
                              <a:xfrm>
                                <a:off x="14704" y="14483"/>
                                <a:ext cx="1199" cy="45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心理治疗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文本框 66"/>
                            <wps:cNvSpPr txBox="1"/>
                            <wps:spPr>
                              <a:xfrm>
                                <a:off x="16505" y="14423"/>
                                <a:ext cx="1468" cy="7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lang w:val="en-US" w:eastAsia="zh-CN"/>
                                    </w:rPr>
                                  </w:pPr>
                                  <w:r>
                                    <w:rPr>
                                      <w:rFonts w:hint="eastAsia" w:ascii="方正仿宋_GBK" w:hAnsi="方正仿宋_GBK" w:eastAsia="方正仿宋_GBK" w:cs="方正仿宋_GBK"/>
                                      <w:lang w:val="en-US" w:eastAsia="zh-CN"/>
                                    </w:rPr>
                                    <w:t>复学心理评估和咨询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2" name="直接箭头连接符 82"/>
                            <wps:cNvCnPr/>
                            <wps:spPr>
                              <a:xfrm>
                                <a:off x="17179" y="13730"/>
                                <a:ext cx="15" cy="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77" name="组合 43"/>
                          <wpg:cNvGrpSpPr/>
                          <wpg:grpSpPr>
                            <a:xfrm>
                              <a:off x="10399" y="9701"/>
                              <a:ext cx="7634" cy="3939"/>
                              <a:chOff x="10399" y="9701"/>
                              <a:chExt cx="7634" cy="3939"/>
                            </a:xfrm>
                          </wpg:grpSpPr>
                          <wps:wsp>
                            <wps:cNvPr id="78" name="直接箭头连接符 78"/>
                            <wps:cNvCnPr/>
                            <wps:spPr>
                              <a:xfrm>
                                <a:off x="13624" y="12615"/>
                                <a:ext cx="0" cy="55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0" name="直接箭头连接符 80"/>
                            <wps:cNvCnPr>
                              <a:stCxn id="59" idx="3"/>
                            </wps:cNvCnPr>
                            <wps:spPr>
                              <a:xfrm flipV="1">
                                <a:off x="14254" y="12363"/>
                                <a:ext cx="2235" cy="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4" name="文本框 54"/>
                            <wps:cNvSpPr txBox="1"/>
                            <wps:spPr>
                              <a:xfrm>
                                <a:off x="10399" y="9701"/>
                                <a:ext cx="2237" cy="4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心理疏导和心理咨询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56"/>
                            <wps:cNvSpPr txBox="1"/>
                            <wps:spPr>
                              <a:xfrm>
                                <a:off x="14734" y="9701"/>
                                <a:ext cx="2730" cy="45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辅导员（班主任）谈心谈话</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10656" y="10823"/>
                                <a:ext cx="6434" cy="49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上报学生工作处和学校心理健康教育工作领导小组，二级学院处理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文本框 59"/>
                            <wps:cNvSpPr txBox="1"/>
                            <wps:spPr>
                              <a:xfrm>
                                <a:off x="13084" y="12148"/>
                                <a:ext cx="1170" cy="4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联系家长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60"/>
                            <wps:cNvSpPr txBox="1"/>
                            <wps:spPr>
                              <a:xfrm>
                                <a:off x="16459" y="13188"/>
                                <a:ext cx="1575" cy="45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休、退学处理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文本框 61"/>
                            <wps:cNvSpPr txBox="1"/>
                            <wps:spPr>
                              <a:xfrm>
                                <a:off x="13054" y="13203"/>
                                <a:ext cx="1170" cy="43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相关医院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62"/>
                            <wps:cNvSpPr txBox="1"/>
                            <wps:spPr>
                              <a:xfrm>
                                <a:off x="16504" y="12133"/>
                                <a:ext cx="1411" cy="42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24小时监护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直接箭头连接符 77"/>
                            <wps:cNvCnPr/>
                            <wps:spPr>
                              <a:xfrm>
                                <a:off x="13639" y="11410"/>
                                <a:ext cx="15" cy="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9" name="直接箭头连接符 83"/>
                            <wps:cNvCnPr/>
                            <wps:spPr>
                              <a:xfrm>
                                <a:off x="17179" y="12613"/>
                                <a:ext cx="15" cy="5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0" name="直接箭头连接符 81"/>
                            <wps:cNvCnPr/>
                            <wps:spPr>
                              <a:xfrm flipV="1">
                                <a:off x="14224" y="13433"/>
                                <a:ext cx="2235" cy="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id="_x0000_s1026" o:spid="_x0000_s1026" o:spt="203" style="position:absolute;left:0pt;margin-left:-1.7pt;margin-top:12.2pt;height:529.85pt;width:446.2pt;z-index:251716608;mso-width-relative:page;mso-height-relative:page;" coordorigin="9560,4631" coordsize="8924,10597" o:gfxdata="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">
                <o:lock v:ext="edit" aspectratio="f"/>
                <v:group id="组合 2" o:spid="_x0000_s1026" o:spt="203" style="position:absolute;left:9560;top:4631;height:6101;width:8924;" coordorigin="9560,4631" coordsize="8924,6101"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shape id="_x0000_s1026" o:spid="_x0000_s1026" o:spt="202" type="#_x0000_t202" style="position:absolute;left:12004;top:8202;height:1081;width:734;" fillcolor="#FFFFFF [3201]" filled="t" stroked="f" coordsize="21600,21600" o:gfxdata="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AWPvQAA&#10;ANsAAAAPAAAAAAAAAAEAIAAAACIAAABkcnMvZG93bnJldi54bWxQSwECFAAUAAAACACHTuJAMy8F&#10;njsAAAA5AAAAEAAAAAAAAAABACAAAAAMAQAAZHJzL3NoYXBleG1sLnhtbFBLBQYAAAAABgAGAFsB&#10;AAC2AwAAAAA=&#10;">
                    <v:fill on="t" focussize="0,0"/>
                    <v:stroke on="f" weight="0.5pt"/>
                    <v:imagedata o:title=""/>
                    <o:lock v:ext="edit" aspectratio="f"/>
                    <v:textbox style="layout-flow:vertical-ideographic;">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轻度危机</w:t>
                          </w:r>
                        </w:p>
                      </w:txbxContent>
                    </v:textbox>
                  </v:shape>
                  <v:shape id="文本框 1" o:spid="_x0000_s1026" o:spt="202" type="#_x0000_t202" style="position:absolute;left:9560;top:4631;height:481;width:2745;" fillcolor="#FFFFFF [3201]" filled="t" stroked="t" coordsize="21600,21600" o:gfxdata="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MJhxR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pPr>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宿舍心理联络员（宿舍长）</w:t>
                          </w:r>
                        </w:p>
                      </w:txbxContent>
                    </v:textbox>
                  </v:shape>
                  <v:shape id="文本框 3" o:spid="_x0000_s1026" o:spt="202" type="#_x0000_t202" style="position:absolute;left:12934;top:4631;height:480;width:1201;"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pPr>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lang w:val="en-US" w:eastAsia="zh-CN"/>
                            </w:rPr>
                            <w:t>心</w:t>
                          </w:r>
                          <w:r>
                            <w:rPr>
                              <w:rFonts w:hint="eastAsia" w:ascii="方正仿宋_GBK" w:hAnsi="方正仿宋_GBK" w:eastAsia="方正仿宋_GBK" w:cs="方正仿宋_GBK"/>
                              <w:sz w:val="21"/>
                              <w:szCs w:val="21"/>
                              <w:lang w:val="en-US" w:eastAsia="zh-CN"/>
                            </w:rPr>
                            <w:t>理委员</w:t>
                          </w:r>
                        </w:p>
                      </w:txbxContent>
                    </v:textbox>
                  </v:shape>
                  <v:shape id="_x0000_s1026" o:spid="_x0000_s1026" o:spt="202" type="#_x0000_t202" style="position:absolute;left:14705;top:4632;height:480;width:3779;" fillcolor="#FFFFFF [3201]" filled="t" stroked="t" coordsize="21600,21600" o:gfxdata="UEsDBAoAAAAAAIdO4kAAAAAAAAAAAAAAAAAEAAAAZHJzL1BLAwQUAAAACACHTuJABdKefbcAAADb&#10;AAAADwAAAGRycy9kb3ducmV2LnhtbEWPwQrCMBBE74L/EFbwpmkVRa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F0p59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危机排查（可能出现心理危机的学生）</w:t>
                          </w:r>
                        </w:p>
                      </w:txbxContent>
                    </v:textbox>
                  </v:shape>
                  <v:shape id="_x0000_s1026" o:spid="_x0000_s1026" o:spt="202" type="#_x0000_t202" style="position:absolute;left:11627;top:5869;height:848;width:4126;" fillcolor="#FFFFFF [3201]" filled="t" stroked="t" coordsize="21600,21600" o:gfxdata="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TKWR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jc w:val="both"/>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辅导员（学生联系、家校联系、任课教师联系、学生工作处心理健康教育中心联系）</w:t>
                          </w:r>
                        </w:p>
                      </w:txbxContent>
                    </v:textbox>
                  </v:shape>
                  <v:shape id="_x0000_s1026" o:spid="_x0000_s1026" o:spt="202" type="#_x0000_t202" style="position:absolute;left:11749;top:7426;height:481;width:3884;" fillcolor="#FFFFFF [3201]" filled="t" stroked="t" coordsize="21600,21600" o:gfxdata="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6Zh+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学生工作处心理健康教育中心心理评估</w:t>
                          </w:r>
                        </w:p>
                      </w:txbxContent>
                    </v:textbox>
                  </v:shape>
                  <v:shape id="_x0000_s1026" o:spid="_x0000_s1026" o:spt="32" type="#_x0000_t32" style="position:absolute;left:13534;top:5151;flip:x;height:665;width:1;" filled="f" stroked="t" coordsize="21600,21600" o:gfxdata="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9Cd74A&#10;AADb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shape id="_x0000_s1026" o:spid="_x0000_s1026" o:spt="32" type="#_x0000_t32" style="position:absolute;left:11869;top:5171;height:645;width:930;" filled="f" stroked="t" coordsize="21600,21600" o:gfxdata="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or1xq5AAAA2wAA&#10;AA8AAAAAAAAAAQAgAAAAIgAAAGRycy9kb3ducmV2LnhtbFBLAQIUABQAAAAIAIdO4kAzLwWeOwAA&#10;ADkAAAAQAAAAAAAAAAEAIAAAAAgBAABkcnMvc2hhcGV4bWwueG1sUEsFBgAAAAAGAAYAWwEAALID&#10;AAAAAA==&#10;">
                    <v:fill on="f" focussize="0,0"/>
                    <v:stroke color="#000000 [3213]" joinstyle="round" endarrow="open"/>
                    <v:imagedata o:title=""/>
                    <o:lock v:ext="edit" aspectratio="f"/>
                  </v:shape>
                  <v:shape id="_x0000_s1026" o:spid="_x0000_s1026" o:spt="32" type="#_x0000_t32" style="position:absolute;left:14374;top:5186;flip:x;height:615;width:1035;" filled="f" stroked="t" coordsize="21600,21600" o:gfxdata="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Ixznr4A&#10;AADb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shape id="_x0000_s1026" o:spid="_x0000_s1026" o:spt="32" type="#_x0000_t32" style="position:absolute;left:13564;top:6806;height:585;width:0;" filled="f" stroked="t" coordsize="21600,21600" o:gfxdata="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GETcG5AAAA2wAA&#10;AA8AAAAAAAAAAQAgAAAAIgAAAGRycy9kb3ducmV2LnhtbFBLAQIUABQAAAAIAIdO4kAzLwWeOwAA&#10;ADkAAAAQAAAAAAAAAAEAIAAAAAgBAABkcnMvc2hhcGV4bWwueG1sUEsFBgAAAAAGAAYAWwEAALID&#10;AAAAAA==&#10;">
                    <v:fill on="f" focussize="0,0"/>
                    <v:stroke color="#000000 [3213]" joinstyle="round" endarrow="open"/>
                    <v:imagedata o:title=""/>
                    <o:lock v:ext="edit" aspectratio="f"/>
                  </v:shape>
                  <v:shape id="_x0000_s1026" o:spid="_x0000_s1026" o:spt="32" type="#_x0000_t32" style="position:absolute;left:13609;top:8005;height:2727;width:26;" filled="f" stroked="t" coordsize="21600,21600" o:gfxdata="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Oha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_x0000_s1026" o:spid="_x0000_s1026" o:spt="32" type="#_x0000_t32" style="position:absolute;left:12514;top:7992;height:1560;width:0;" filled="f" stroked="t" coordsize="21600,21600" o:gfxdata="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adi2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4884;top:7992;height:1575;width:30;" filled="f" stroked="t" coordsize="21600,21600" o:gfxdata="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W07a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group>
                <v:group id="组合 52" o:spid="_x0000_s1026" o:spt="203" style="position:absolute;left:10399;top:9701;height:5527;width:7634;" coordorigin="10399,9701" coordsize="7634,5527"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组合 50" o:spid="_x0000_s1026" o:spt="203" style="position:absolute;left:10774;top:13628;height:1600;width:7199;" coordorigin="10774,13628" coordsize="7199,1600"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13609;top:13675;height:660;width:15;" filled="f" stroked="t" coordsize="21600,21600" o:gfxdata="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5Fy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1359;top:13658;flip:x;height:690;width:1680;" filled="f" stroked="t" coordsize="21600,21600" o:gfxdata="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gTr6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_x0000_s1026" o:spid="_x0000_s1026" o:spt="32" type="#_x0000_t32" style="position:absolute;left:14239;top:13628;height:775;width:1065;" filled="f" stroked="t" coordsize="21600,21600" o:gfxdata="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aefr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202" type="#_x0000_t202" style="position:absolute;left:10774;top:14449;height:420;width:1140;" fillcolor="#FFFFFF [3201]" filled="t" stroked="t" coordsize="21600,21600" o:gfxdata="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Qgbyy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家长监护</w:t>
                            </w:r>
                          </w:p>
                        </w:txbxContent>
                      </v:textbox>
                    </v:shape>
                    <v:shape id="_x0000_s1026" o:spid="_x0000_s1026" o:spt="202" type="#_x0000_t202" style="position:absolute;left:12259;top:14434;height:795;width:2086;" fillcolor="#FFFFFF [3201]" filled="t" stroked="t" coordsize="21600,21600" o:gfxdata="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byfdY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二级学院、辅导员（班主任）及时关注</w:t>
                            </w:r>
                          </w:p>
                        </w:txbxContent>
                      </v:textbox>
                    </v:shape>
                    <v:shape id="_x0000_s1026" o:spid="_x0000_s1026" o:spt="202" type="#_x0000_t202" style="position:absolute;left:14704;top:14483;height:452;width:1199;" fillcolor="#FFFFFF [3201]" filled="t" stroked="t" coordsize="21600,21600" o:gfxdata="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0hVLD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心理治疗</w:t>
                            </w:r>
                          </w:p>
                        </w:txbxContent>
                      </v:textbox>
                    </v:shape>
                    <v:shape id="_x0000_s1026" o:spid="_x0000_s1026" o:spt="202" type="#_x0000_t202" style="position:absolute;left:16505;top:14423;height:795;width:1468;" fillcolor="#FFFFFF [3201]" filled="t" stroked="t" coordsize="21600,21600" o:gfxdata="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RXzLS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jc w:val="center"/>
                              <w:rPr>
                                <w:rFonts w:hint="default" w:eastAsiaTheme="minorEastAsia"/>
                                <w:lang w:val="en-US" w:eastAsia="zh-CN"/>
                              </w:rPr>
                            </w:pPr>
                            <w:r>
                              <w:rPr>
                                <w:rFonts w:hint="eastAsia" w:ascii="方正仿宋_GBK" w:hAnsi="方正仿宋_GBK" w:eastAsia="方正仿宋_GBK" w:cs="方正仿宋_GBK"/>
                                <w:lang w:val="en-US" w:eastAsia="zh-CN"/>
                              </w:rPr>
                              <w:t>复学心理评估和咨询</w:t>
                            </w:r>
                          </w:p>
                        </w:txbxContent>
                      </v:textbox>
                    </v:shape>
                    <v:shape id="_x0000_s1026" o:spid="_x0000_s1026" o:spt="32" type="#_x0000_t32" style="position:absolute;left:17179;top:13730;height:660;width:15;" filled="f" stroked="t" coordsize="21600,21600" o:gfxdata="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PBgq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group>
                  <v:group id="组合 43" o:spid="_x0000_s1026" o:spt="203" style="position:absolute;left:10399;top:9701;height:3939;width:7634;" coordorigin="10399,9701" coordsize="7634,3939" o:gfxdata="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Djswb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13624;top:12615;height:553;width:0;" filled="f" stroked="t" coordsize="21600,21600" o:gfxdata="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Qce5AAAA2wAA&#10;AA8AAAAAAAAAAQAgAAAAIgAAAGRycy9kb3ducmV2LnhtbFBLAQIUABQAAAAIAIdO4kAzLwWeOwAA&#10;ADkAAAAQAAAAAAAAAAEAIAAAAAgBAABkcnMvc2hhcGV4bWwueG1sUEsFBgAAAAAGAAYAWwEAALID&#10;AAAAAA==&#10;">
                      <v:fill on="f" focussize="0,0"/>
                      <v:stroke color="#000000 [3213]" joinstyle="round" endarrow="open"/>
                      <v:imagedata o:title=""/>
                      <o:lock v:ext="edit" aspectratio="f"/>
                    </v:shape>
                    <v:shape id="_x0000_s1026" o:spid="_x0000_s1026" o:spt="32" type="#_x0000_t32" style="position:absolute;left:14254;top:12363;flip:y;height:3;width:2235;" filled="f" stroked="t" coordsize="21600,21600" o:gfxdata="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ujz5ugAAANsA&#10;AAAPAAAAAAAAAAEAIAAAACIAAABkcnMvZG93bnJldi54bWxQSwECFAAUAAAACACHTuJAMy8FnjsA&#10;AAA5AAAAEAAAAAAAAAABACAAAAAJAQAAZHJzL3NoYXBleG1sLnhtbFBLBQYAAAAABgAGAFsBAACz&#10;AwAAAAA=&#10;">
                      <v:fill on="f" focussize="0,0"/>
                      <v:stroke color="#000000 [3213]" joinstyle="round" endarrow="open"/>
                      <v:imagedata o:title=""/>
                      <o:lock v:ext="edit" aspectratio="f"/>
                    </v:shape>
                    <v:shape id="_x0000_s1026" o:spid="_x0000_s1026" o:spt="202" type="#_x0000_t202" style="position:absolute;left:10399;top:9701;height:481;width:2237;" fillcolor="#FFFFFF [3201]" filled="t" stroked="t" coordsize="21600,21600" o:gfxdata="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pT3l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心理疏导和心理咨询</w:t>
                            </w:r>
                          </w:p>
                        </w:txbxContent>
                      </v:textbox>
                    </v:shape>
                    <v:shape id="_x0000_s1026" o:spid="_x0000_s1026" o:spt="202" type="#_x0000_t202" style="position:absolute;left:14734;top:9701;height:452;width:2730;" fillcolor="#FFFFFF [3201]" filled="t" stroked="t" coordsize="21600,21600" o:gfxdata="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OwY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辅导员（班主任）谈心谈话</w:t>
                            </w:r>
                          </w:p>
                        </w:txbxContent>
                      </v:textbox>
                    </v:shape>
                    <v:shape id="_x0000_s1026" o:spid="_x0000_s1026" o:spt="202" type="#_x0000_t202" style="position:absolute;left:10656;top:10823;height:496;width:6434;" fillcolor="#FFFFFF [3201]" filled="t" stroked="t" coordsize="21600,21600" o:gfxdata="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d6OS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上报学生工作处和学校心理健康教育工作领导小组，二级学院处理</w:t>
                            </w:r>
                          </w:p>
                        </w:txbxContent>
                      </v:textbox>
                    </v:shape>
                    <v:shape id="文本框 59" o:spid="_x0000_s1026" o:spt="202" type="#_x0000_t202" style="position:absolute;left:13084;top:12148;height:435;width:1170;" fillcolor="#FFFFFF [3201]" filled="t" stroked="t" coordsize="21600,21600" o:gfxdata="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7srI6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联系家长</w:t>
                            </w:r>
                          </w:p>
                        </w:txbxContent>
                      </v:textbox>
                    </v:shape>
                    <v:shape id="文本框 60" o:spid="_x0000_s1026" o:spt="202" type="#_x0000_t202" style="position:absolute;left:16459;top:13188;height:452;width:1575;" fillcolor="#FFFFFF [3201]" filled="t" stroked="t" coordsize="21600,21600" o:gfxdata="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kLInW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休、退学处理</w:t>
                            </w:r>
                          </w:p>
                        </w:txbxContent>
                      </v:textbox>
                    </v:shape>
                    <v:shape id="文本框 61" o:spid="_x0000_s1026" o:spt="202" type="#_x0000_t202" style="position:absolute;left:13054;top:13203;height:437;width:1170;" fillcolor="#FFFFFF [3201]" filled="t" stroked="t" coordsize="21600,21600" o:gfxdata="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0WypO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相关医院</w:t>
                            </w:r>
                          </w:p>
                        </w:txbxContent>
                      </v:textbox>
                    </v:shape>
                    <v:shape id="文本框 62" o:spid="_x0000_s1026" o:spt="202" type="#_x0000_t202" style="position:absolute;left:16504;top:12133;height:421;width:1411;" fillcolor="#FFFFFF [3201]" filled="t" stroked="t" coordsize="21600,21600" o:gfxdata="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bF4/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24小时监护</w:t>
                            </w:r>
                          </w:p>
                        </w:txbxContent>
                      </v:textbox>
                    </v:shape>
                    <v:shape id="直接箭头连接符 77" o:spid="_x0000_s1026" o:spt="32" type="#_x0000_t32" style="position:absolute;left:13639;top:11410;height:660;width:15;" filled="f" stroked="t" coordsize="21600,21600" o:gfxdata="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JzHgugAAANsA&#10;AAAPAAAAAAAAAAEAIAAAACIAAABkcnMvZG93bnJldi54bWxQSwECFAAUAAAACACHTuJAMy8FnjsA&#10;AAA5AAAAEAAAAAAAAAABACAAAAAJAQAAZHJzL3NoYXBleG1sLnhtbFBLBQYAAAAABgAGAFsBAACz&#10;AwAAAAA=&#10;">
                      <v:fill on="f" focussize="0,0"/>
                      <v:stroke color="#000000 [3213]" joinstyle="round" endarrow="open"/>
                      <v:imagedata o:title=""/>
                      <o:lock v:ext="edit" aspectratio="f"/>
                    </v:shape>
                    <v:shape id="直接箭头连接符 83" o:spid="_x0000_s1026" o:spt="32" type="#_x0000_t32" style="position:absolute;left:17179;top:12613;height:540;width:15;" filled="f" stroked="t" coordsize="21600,21600" o:gfxdata="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rlHu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直接箭头连接符 81" o:spid="_x0000_s1026" o:spt="32" type="#_x0000_t32" style="position:absolute;left:14224;top:13433;flip:y;height:3;width:2235;" filled="f" stroked="t" coordsize="21600,21600" o:gfxdata="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Y6okugAAANsA&#10;AAAPAAAAAAAAAAEAIAAAACIAAABkcnMvZG93bnJldi54bWxQSwECFAAUAAAACACHTuJAMy8FnjsA&#10;AAA5AAAAEAAAAAAAAAABACAAAAAJAQAAZHJzL3NoYXBleG1sLnhtbFBLBQYAAAAABgAGAFsBAACz&#10;AwAAAAA=&#10;">
                      <v:fill on="f" focussize="0,0"/>
                      <v:stroke color="#000000 [3213]" joinstyle="round" endarrow="open"/>
                      <v:imagedata o:title=""/>
                      <o:lock v:ext="edit" aspectratio="f"/>
                    </v:shape>
                  </v:group>
                </v:group>
              </v:group>
            </w:pict>
          </mc:Fallback>
        </mc:AlternateConten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color w:val="auto"/>
          <w:kern w:val="0"/>
          <w:sz w:val="32"/>
          <w:szCs w:val="32"/>
          <w:highlight w:val="none"/>
          <w:lang w:val="en-US" w:eastAsia="zh-CN" w:bidi="ar"/>
        </w:rPr>
      </w:pP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2482850</wp:posOffset>
                </wp:positionH>
                <wp:positionV relativeFrom="paragraph">
                  <wp:posOffset>307975</wp:posOffset>
                </wp:positionV>
                <wp:extent cx="513080" cy="686435"/>
                <wp:effectExtent l="0" t="0" r="1270" b="18415"/>
                <wp:wrapNone/>
                <wp:docPr id="91" name="文本框 91"/>
                <wp:cNvGraphicFramePr/>
                <a:graphic xmlns:a="http://schemas.openxmlformats.org/drawingml/2006/main">
                  <a:graphicData uri="http://schemas.microsoft.com/office/word/2010/wordprocessingShape">
                    <wps:wsp>
                      <wps:cNvSpPr txBox="1"/>
                      <wps:spPr>
                        <a:xfrm>
                          <a:off x="0" y="0"/>
                          <a:ext cx="513080" cy="686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重度危机</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5pt;margin-top:24.25pt;height:54.05pt;width:40.4pt;z-index:251669504;mso-width-relative:page;mso-height-relative:page;" fillcolor="#FFFFFF [3201]" filled="t" stroked="f" coordsize="21600,21600" o:gfxdata="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vnQ0fYAAAACgEA&#10;AA8AAAAAAAAAAQAgAAAAIgAAAGRycy9kb3ducmV2LnhtbFBLAQIUABQAAAAIAIdO4kA7sdPKUwIA&#10;AJIEAAAOAAAAAAAAAAEAIAAAACcBAABkcnMvZTJvRG9jLnhtbFBLBQYAAAAABgAGAFkBAADsBQAA&#10;AAA=&#10;">
                <v:fill on="t" focussize="0,0"/>
                <v:stroke on="f" weight="0.5pt"/>
                <v:imagedata o:title=""/>
                <o:lock v:ext="edit" aspectratio="f"/>
                <v:textbox style="layout-flow:vertical-ideographic;">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重度危机</w:t>
                      </w:r>
                    </w:p>
                  </w:txbxContent>
                </v:textbox>
              </v:shape>
            </w:pict>
          </mc:Fallback>
        </mc:AlternateConten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22" w:firstLineChars="200"/>
        <w:textAlignment w:val="auto"/>
        <w:outlineLvl w:val="9"/>
        <w:rPr>
          <w:rFonts w:hint="eastAsia" w:ascii="方正黑体_GBK" w:hAnsi="方正黑体_GBK" w:eastAsia="方正黑体_GBK" w:cs="方正黑体_GBK"/>
          <w:color w:val="auto"/>
          <w:sz w:val="32"/>
          <w:szCs w:val="32"/>
          <w:highlight w:val="none"/>
          <w:lang w:val="en-US" w:eastAsia="zh-CN"/>
        </w:rPr>
      </w:pPr>
      <w:bookmarkStart w:id="255" w:name="_Toc21445"/>
      <w:bookmarkStart w:id="256" w:name="_Toc2235"/>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3387725</wp:posOffset>
                </wp:positionH>
                <wp:positionV relativeFrom="paragraph">
                  <wp:posOffset>28575</wp:posOffset>
                </wp:positionV>
                <wp:extent cx="466090" cy="686435"/>
                <wp:effectExtent l="0" t="0" r="10160" b="18415"/>
                <wp:wrapNone/>
                <wp:docPr id="92" name="文本框 92"/>
                <wp:cNvGraphicFramePr/>
                <a:graphic xmlns:a="http://schemas.openxmlformats.org/drawingml/2006/main">
                  <a:graphicData uri="http://schemas.microsoft.com/office/word/2010/wordprocessingShape">
                    <wps:wsp>
                      <wps:cNvSpPr txBox="1"/>
                      <wps:spPr>
                        <a:xfrm>
                          <a:off x="0" y="0"/>
                          <a:ext cx="466090" cy="686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无危机</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75pt;margin-top:2.25pt;height:54.05pt;width:36.7pt;z-index:251668480;mso-width-relative:page;mso-height-relative:page;" fillcolor="#FFFFFF [3201]" filled="t" stroked="f" coordsize="21600,21600" o:gfxdata="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gSt0dcAAAAJAQAA&#10;DwAAAAAAAAABACAAAAAiAAAAZHJzL2Rvd25yZXYueG1sUEsBAhQAFAAAAAgAh07iQFkMthVTAgAA&#10;kgQAAA4AAAAAAAAAAQAgAAAAJgEAAGRycy9lMm9Eb2MueG1sUEsFBgAAAAAGAAYAWQEAAOsFAAAA&#10;AA==&#10;">
                <v:fill on="t" focussize="0,0"/>
                <v:stroke on="f" weight="0.5pt"/>
                <v:imagedata o:title=""/>
                <o:lock v:ext="edit" aspectratio="f"/>
                <v:textbox style="layout-flow:vertical-ideographic;">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无危机</w:t>
                      </w:r>
                    </w:p>
                  </w:txbxContent>
                </v:textbox>
              </v:shape>
            </w:pict>
          </mc:Fallback>
        </mc:AlternateConten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outlineLvl w:val="9"/>
        <w:rPr>
          <w:rFonts w:hint="eastAsia" w:ascii="方正黑体_GBK" w:hAnsi="方正黑体_GBK" w:eastAsia="方正黑体_GBK" w:cs="方正黑体_GBK"/>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outlineLvl w:val="9"/>
        <w:rPr>
          <w:rFonts w:hint="eastAsia" w:ascii="方正黑体_GBK" w:hAnsi="方正黑体_GBK" w:eastAsia="方正黑体_GBK" w:cs="方正黑体_GBK"/>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黑体" w:hAnsi="黑体" w:eastAsia="黑体" w:cs="黑体"/>
          <w:b w:val="0"/>
          <w:bCs w:val="0"/>
          <w:color w:val="auto"/>
          <w:sz w:val="32"/>
          <w:szCs w:val="32"/>
          <w:highlight w:val="none"/>
          <w:lang w:val="en-US" w:eastAsia="zh-CN"/>
        </w:rPr>
      </w:pPr>
      <w:bookmarkStart w:id="257" w:name="_Toc8621"/>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outlineLvl w:val="0"/>
        <w:rPr>
          <w:rFonts w:hint="eastAsia" w:ascii="方正黑体_GBK" w:hAnsi="方正黑体_GBK" w:eastAsia="方正黑体_GBK" w:cs="方正黑体_GBK"/>
          <w:b/>
          <w:bCs/>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default" w:ascii="方正黑体_GBK" w:hAnsi="方正黑体_GBK" w:eastAsia="方正黑体_GBK" w:cs="方正黑体_GBK"/>
          <w:b/>
          <w:bCs/>
          <w:color w:val="auto"/>
          <w:sz w:val="32"/>
          <w:szCs w:val="32"/>
          <w:highlight w:val="none"/>
          <w:lang w:val="en-US" w:eastAsia="zh-CN"/>
        </w:rPr>
      </w:pPr>
      <w:bookmarkStart w:id="258" w:name="_Toc8000"/>
      <w:bookmarkStart w:id="259" w:name="_Toc3337"/>
      <w:bookmarkStart w:id="260" w:name="_Toc24099"/>
      <w:bookmarkStart w:id="261" w:name="_Toc29135"/>
      <w:r>
        <w:rPr>
          <w:rFonts w:hint="eastAsia" w:ascii="方正黑体_GBK" w:hAnsi="方正黑体_GBK" w:eastAsia="方正黑体_GBK" w:cs="方正黑体_GBK"/>
          <w:b/>
          <w:bCs/>
          <w:color w:val="auto"/>
          <w:sz w:val="32"/>
          <w:szCs w:val="32"/>
          <w:highlight w:val="none"/>
          <w:lang w:val="en-US" w:eastAsia="zh-CN"/>
        </w:rPr>
        <w:t>第三章  心理危机干预领导小组</w:t>
      </w:r>
      <w:bookmarkEnd w:id="258"/>
      <w:bookmarkEnd w:id="259"/>
      <w:bookmarkEnd w:id="260"/>
      <w:bookmarkEnd w:id="261"/>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0"/>
        <w:rPr>
          <w:rFonts w:hint="eastAsia" w:ascii="方正黑体_GBK" w:hAnsi="方正黑体_GBK" w:eastAsia="方正黑体_GBK" w:cs="方正黑体_GBK"/>
          <w:b w:val="0"/>
          <w:bCs w:val="0"/>
          <w:color w:val="auto"/>
          <w:sz w:val="32"/>
          <w:szCs w:val="32"/>
          <w:highlight w:val="none"/>
          <w:lang w:val="en-US" w:eastAsia="zh-CN"/>
        </w:rPr>
      </w:pPr>
    </w:p>
    <w:p>
      <w:pPr>
        <w:pStyle w:val="46"/>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outlineLvl w:val="0"/>
        <w:rPr>
          <w:rFonts w:hint="eastAsia" w:ascii="方正仿宋_GBK" w:hAnsi="方正仿宋_GBK" w:eastAsia="方正仿宋_GBK" w:cs="方正仿宋_GBK"/>
          <w:b w:val="0"/>
          <w:bCs w:val="0"/>
          <w:color w:val="auto"/>
          <w:sz w:val="32"/>
          <w:szCs w:val="32"/>
          <w:highlight w:val="none"/>
          <w:lang w:val="en-US" w:eastAsia="zh-CN"/>
        </w:rPr>
      </w:pPr>
      <w:bookmarkStart w:id="262" w:name="_Toc17802"/>
      <w:bookmarkStart w:id="263" w:name="_Toc898"/>
      <w:bookmarkStart w:id="264" w:name="_Toc20758"/>
      <w:bookmarkStart w:id="265" w:name="_Toc8701"/>
      <w:r>
        <w:rPr>
          <w:rFonts w:hint="eastAsia" w:ascii="方正楷体_GBK" w:hAnsi="方正楷体_GBK" w:eastAsia="方正楷体_GBK" w:cs="方正楷体_GBK"/>
          <w:b/>
          <w:bCs/>
          <w:color w:val="auto"/>
          <w:sz w:val="32"/>
          <w:szCs w:val="32"/>
          <w:highlight w:val="none"/>
          <w:lang w:val="en-US" w:eastAsia="zh-CN"/>
        </w:rPr>
        <w:t>第四条</w:t>
      </w:r>
      <w:r>
        <w:rPr>
          <w:rFonts w:hint="eastAsia" w:ascii="方正黑体_GBK" w:hAnsi="方正黑体_GBK" w:eastAsia="方正黑体_GBK" w:cs="方正黑体_GBK"/>
          <w:b w:val="0"/>
          <w:bCs w:val="0"/>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成立心理危机干预领导小组</w:t>
      </w:r>
      <w:bookmarkEnd w:id="257"/>
      <w:bookmarkEnd w:id="262"/>
      <w:bookmarkEnd w:id="263"/>
      <w:bookmarkEnd w:id="264"/>
      <w:bookmarkEnd w:id="265"/>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66" w:name="_Toc22018"/>
      <w:r>
        <w:rPr>
          <w:rFonts w:hint="eastAsia" w:ascii="方正仿宋_GBK" w:hAnsi="方正仿宋_GBK" w:eastAsia="方正仿宋_GBK" w:cs="方正仿宋_GBK"/>
          <w:b w:val="0"/>
          <w:bCs/>
          <w:color w:val="auto"/>
          <w:sz w:val="32"/>
          <w:szCs w:val="32"/>
          <w:highlight w:val="none"/>
          <w:lang w:val="en-US" w:eastAsia="zh-CN"/>
        </w:rPr>
        <w:t>组  长：</w:t>
      </w:r>
      <w:bookmarkEnd w:id="266"/>
      <w:r>
        <w:rPr>
          <w:rFonts w:hint="eastAsia" w:ascii="方正仿宋_GBK" w:hAnsi="方正仿宋_GBK" w:eastAsia="方正仿宋_GBK" w:cs="方正仿宋_GBK"/>
          <w:b w:val="0"/>
          <w:bCs/>
          <w:color w:val="auto"/>
          <w:sz w:val="32"/>
          <w:szCs w:val="32"/>
          <w:highlight w:val="none"/>
          <w:lang w:val="en-US" w:eastAsia="zh-CN"/>
        </w:rPr>
        <w:t>执行董事</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67" w:name="_Toc6312"/>
      <w:r>
        <w:rPr>
          <w:rFonts w:hint="eastAsia" w:ascii="方正仿宋_GBK" w:hAnsi="方正仿宋_GBK" w:eastAsia="方正仿宋_GBK" w:cs="方正仿宋_GBK"/>
          <w:b w:val="0"/>
          <w:bCs/>
          <w:color w:val="auto"/>
          <w:sz w:val="32"/>
          <w:szCs w:val="32"/>
          <w:highlight w:val="none"/>
          <w:lang w:val="en-US" w:eastAsia="zh-CN"/>
        </w:rPr>
        <w:t>副组长：</w:t>
      </w:r>
      <w:bookmarkEnd w:id="267"/>
      <w:r>
        <w:rPr>
          <w:rFonts w:hint="eastAsia" w:ascii="方正仿宋_GBK" w:hAnsi="方正仿宋_GBK" w:eastAsia="方正仿宋_GBK" w:cs="方正仿宋_GBK"/>
          <w:b w:val="0"/>
          <w:bCs/>
          <w:color w:val="auto"/>
          <w:sz w:val="32"/>
          <w:szCs w:val="32"/>
          <w:highlight w:val="none"/>
          <w:lang w:val="en-US" w:eastAsia="zh-CN"/>
        </w:rPr>
        <w:t>校长、书记</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执行副组长：分管学生工作领导</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68" w:name="_Toc26873"/>
      <w:r>
        <w:rPr>
          <w:rFonts w:hint="eastAsia" w:ascii="方正仿宋_GBK" w:hAnsi="方正仿宋_GBK" w:eastAsia="方正仿宋_GBK" w:cs="方正仿宋_GBK"/>
          <w:b w:val="0"/>
          <w:bCs/>
          <w:color w:val="auto"/>
          <w:sz w:val="32"/>
          <w:szCs w:val="32"/>
          <w:highlight w:val="none"/>
          <w:lang w:val="en-US" w:eastAsia="zh-CN"/>
        </w:rPr>
        <w:t>成  员：</w:t>
      </w:r>
      <w:bookmarkEnd w:id="268"/>
      <w:r>
        <w:rPr>
          <w:rFonts w:hint="eastAsia" w:ascii="方正仿宋_GBK" w:hAnsi="方正仿宋_GBK" w:eastAsia="方正仿宋_GBK" w:cs="方正仿宋_GBK"/>
          <w:b w:val="0"/>
          <w:bCs/>
          <w:color w:val="auto"/>
          <w:sz w:val="32"/>
          <w:szCs w:val="32"/>
          <w:highlight w:val="none"/>
          <w:lang w:val="en-US" w:eastAsia="zh-CN"/>
        </w:rPr>
        <w:t>各职能部门、二级学院负责人</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领导小组办公室设在学生工作处，负责日常事务。</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pStyle w:val="4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黑体_GBK" w:hAnsi="方正黑体_GBK" w:eastAsia="方正黑体_GBK" w:cs="方正黑体_GBK"/>
          <w:b/>
          <w:bCs/>
          <w:color w:val="auto"/>
          <w:sz w:val="32"/>
          <w:szCs w:val="32"/>
          <w:highlight w:val="none"/>
        </w:rPr>
      </w:pPr>
      <w:bookmarkStart w:id="269" w:name="_Toc21850"/>
      <w:bookmarkStart w:id="270" w:name="_Toc5960"/>
      <w:bookmarkStart w:id="271" w:name="_Toc18254"/>
      <w:bookmarkStart w:id="272" w:name="_Toc25040"/>
      <w:bookmarkStart w:id="273" w:name="_Toc18857"/>
      <w:r>
        <w:rPr>
          <w:rFonts w:hint="eastAsia" w:ascii="方正黑体_GBK" w:hAnsi="方正黑体_GBK" w:eastAsia="方正黑体_GBK" w:cs="方正黑体_GBK"/>
          <w:b/>
          <w:bCs/>
          <w:color w:val="auto"/>
          <w:sz w:val="32"/>
          <w:szCs w:val="32"/>
          <w:highlight w:val="none"/>
          <w:lang w:val="en-US" w:eastAsia="zh-CN"/>
        </w:rPr>
        <w:t>第四章  学校</w:t>
      </w:r>
      <w:r>
        <w:rPr>
          <w:rFonts w:hint="eastAsia" w:ascii="方正黑体_GBK" w:hAnsi="方正黑体_GBK" w:eastAsia="方正黑体_GBK" w:cs="方正黑体_GBK"/>
          <w:b/>
          <w:bCs/>
          <w:color w:val="auto"/>
          <w:sz w:val="32"/>
          <w:szCs w:val="32"/>
          <w:highlight w:val="none"/>
        </w:rPr>
        <w:t>危机干预程序</w:t>
      </w:r>
      <w:bookmarkEnd w:id="255"/>
      <w:bookmarkEnd w:id="256"/>
      <w:bookmarkEnd w:id="269"/>
      <w:bookmarkEnd w:id="270"/>
      <w:bookmarkEnd w:id="271"/>
      <w:bookmarkEnd w:id="272"/>
      <w:bookmarkEnd w:id="273"/>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b w:val="0"/>
          <w:bCs/>
          <w:color w:val="auto"/>
          <w:sz w:val="32"/>
          <w:szCs w:val="32"/>
          <w:highlight w:val="none"/>
          <w:lang w:val="en-US" w:eastAsia="zh-CN"/>
        </w:rPr>
      </w:pP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楷体_GBK" w:hAnsi="方正楷体_GBK" w:eastAsia="方正楷体_GBK" w:cs="方正楷体_GBK"/>
          <w:b w:val="0"/>
          <w:bCs/>
          <w:color w:val="auto"/>
          <w:sz w:val="32"/>
          <w:szCs w:val="32"/>
          <w:highlight w:val="none"/>
          <w:lang w:val="en-US" w:eastAsia="zh-CN"/>
        </w:rPr>
      </w:pPr>
      <w:r>
        <w:rPr>
          <w:rFonts w:hint="eastAsia" w:ascii="方正楷体_GBK" w:hAnsi="方正楷体_GBK" w:eastAsia="方正楷体_GBK" w:cs="方正楷体_GBK"/>
          <w:b/>
          <w:bCs w:val="0"/>
          <w:color w:val="auto"/>
          <w:sz w:val="32"/>
          <w:szCs w:val="32"/>
          <w:highlight w:val="none"/>
          <w:lang w:val="en-US" w:eastAsia="zh-CN"/>
        </w:rPr>
        <w:t>第五条</w:t>
      </w:r>
      <w:r>
        <w:rPr>
          <w:rFonts w:hint="eastAsia" w:ascii="方正楷体_GBK" w:hAnsi="方正楷体_GBK" w:eastAsia="方正楷体_GBK" w:cs="方正楷体_GBK"/>
          <w:b w:val="0"/>
          <w:bCs/>
          <w:color w:val="auto"/>
          <w:sz w:val="32"/>
          <w:szCs w:val="32"/>
          <w:highlight w:val="none"/>
          <w:lang w:val="en-US" w:eastAsia="zh-CN"/>
        </w:rPr>
        <w:t xml:space="preserve">  </w:t>
      </w:r>
      <w:r>
        <w:rPr>
          <w:rFonts w:hint="eastAsia" w:ascii="方正仿宋_GBK" w:hAnsi="方正仿宋_GBK" w:eastAsia="方正仿宋_GBK" w:cs="方正仿宋_GBK"/>
          <w:b w:val="0"/>
          <w:bCs/>
          <w:color w:val="auto"/>
          <w:sz w:val="32"/>
          <w:szCs w:val="32"/>
          <w:highlight w:val="none"/>
          <w:lang w:val="en-US" w:eastAsia="zh-CN"/>
        </w:rPr>
        <w:t>对于已经发生的自杀或危机事件或其他影响整个学校的危机事件，建立危机应对程序。</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楷体_GBK" w:hAnsi="方正楷体_GBK" w:eastAsia="方正楷体_GBK" w:cs="方正楷体_GBK"/>
          <w:b/>
          <w:bCs w:val="0"/>
          <w:color w:val="auto"/>
          <w:sz w:val="32"/>
          <w:szCs w:val="32"/>
          <w:highlight w:val="none"/>
          <w:lang w:val="en-US" w:eastAsia="zh-CN"/>
        </w:rPr>
        <w:t>第六条</w:t>
      </w:r>
      <w:r>
        <w:rPr>
          <w:rFonts w:hint="eastAsia" w:ascii="方正楷体_GBK" w:hAnsi="方正楷体_GBK" w:eastAsia="方正楷体_GBK" w:cs="方正楷体_GBK"/>
          <w:b w:val="0"/>
          <w:bCs/>
          <w:color w:val="auto"/>
          <w:sz w:val="32"/>
          <w:szCs w:val="32"/>
          <w:highlight w:val="none"/>
          <w:lang w:val="en-US" w:eastAsia="zh-CN"/>
        </w:rPr>
        <w:t xml:space="preserve">  </w:t>
      </w:r>
      <w:r>
        <w:rPr>
          <w:rFonts w:hint="eastAsia" w:ascii="方正仿宋_GBK" w:hAnsi="方正仿宋_GBK" w:eastAsia="方正仿宋_GBK" w:cs="方正仿宋_GBK"/>
          <w:b w:val="0"/>
          <w:bCs/>
          <w:color w:val="auto"/>
          <w:sz w:val="32"/>
          <w:szCs w:val="32"/>
          <w:highlight w:val="none"/>
          <w:lang w:val="en-US" w:eastAsia="zh-CN"/>
        </w:rPr>
        <w:t>对有自杀倾向或可能对自我或他人造成威胁的事件，建立起一套包括识别、监控、干预、转介、善后在内的干预程序。</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ascii="方正黑体_GBK" w:hAnsi="方正黑体_GBK" w:eastAsia="方正黑体_GBK" w:cs="方正黑体_GBK"/>
          <w:color w:val="auto"/>
          <w:sz w:val="32"/>
          <w:szCs w:val="32"/>
          <w:highlight w:val="none"/>
          <w:lang w:val="en-US" w:eastAsia="zh-CN"/>
        </w:rPr>
      </w:pPr>
      <w:bookmarkStart w:id="274" w:name="_Toc15237"/>
    </w:p>
    <w:p>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方正黑体_GBK" w:hAnsi="方正黑体_GBK" w:eastAsia="方正黑体_GBK" w:cs="方正黑体_GBK"/>
          <w:b/>
          <w:bCs/>
          <w:color w:val="auto"/>
          <w:sz w:val="32"/>
          <w:szCs w:val="32"/>
          <w:highlight w:val="none"/>
          <w:lang w:val="en-US" w:eastAsia="zh-CN"/>
        </w:rPr>
      </w:pPr>
      <w:bookmarkStart w:id="275" w:name="_Toc9052"/>
      <w:bookmarkStart w:id="276" w:name="_Toc29522"/>
      <w:bookmarkStart w:id="277" w:name="_Toc8522"/>
      <w:bookmarkStart w:id="278" w:name="_Toc10210"/>
      <w:bookmarkStart w:id="279" w:name="_Toc26488"/>
      <w:r>
        <w:rPr>
          <w:rFonts w:hint="eastAsia" w:ascii="方正黑体_GBK" w:hAnsi="方正黑体_GBK" w:eastAsia="方正黑体_GBK" w:cs="方正黑体_GBK"/>
          <w:b/>
          <w:bCs/>
          <w:color w:val="auto"/>
          <w:sz w:val="32"/>
          <w:szCs w:val="32"/>
          <w:highlight w:val="none"/>
          <w:lang w:val="en-US" w:eastAsia="zh-CN"/>
        </w:rPr>
        <w:t>第五章 心理危机干预措施</w:t>
      </w:r>
      <w:bookmarkEnd w:id="274"/>
      <w:bookmarkEnd w:id="275"/>
      <w:bookmarkEnd w:id="276"/>
      <w:bookmarkEnd w:id="277"/>
      <w:bookmarkEnd w:id="278"/>
      <w:bookmarkEnd w:id="279"/>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b w:val="0"/>
          <w:bCs/>
          <w:color w:val="auto"/>
          <w:sz w:val="32"/>
          <w:szCs w:val="32"/>
          <w:highlight w:val="none"/>
          <w:lang w:val="en-US" w:eastAsia="zh-CN"/>
        </w:rPr>
      </w:pPr>
      <w:bookmarkStart w:id="280" w:name="_Toc4333"/>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楷体_GBK" w:hAnsi="方正楷体_GBK" w:eastAsia="方正楷体_GBK" w:cs="方正楷体_GBK"/>
          <w:b/>
          <w:bCs w:val="0"/>
          <w:color w:val="auto"/>
          <w:sz w:val="32"/>
          <w:szCs w:val="32"/>
          <w:highlight w:val="none"/>
          <w:lang w:val="en-US" w:eastAsia="zh-CN"/>
        </w:rPr>
        <w:t>第七条</w:t>
      </w:r>
      <w:r>
        <w:rPr>
          <w:rFonts w:hint="eastAsia" w:ascii="方正楷体_GBK" w:hAnsi="方正楷体_GBK" w:eastAsia="方正楷体_GBK" w:cs="方正楷体_GBK"/>
          <w:b w:val="0"/>
          <w:bCs/>
          <w:color w:val="auto"/>
          <w:sz w:val="32"/>
          <w:szCs w:val="32"/>
          <w:highlight w:val="none"/>
          <w:lang w:val="en-US" w:eastAsia="zh-CN"/>
        </w:rPr>
        <w:t xml:space="preserve">  </w:t>
      </w:r>
      <w:r>
        <w:rPr>
          <w:rFonts w:hint="eastAsia" w:ascii="方正仿宋_GBK" w:hAnsi="方正仿宋_GBK" w:eastAsia="方正仿宋_GBK" w:cs="方正仿宋_GBK"/>
          <w:b w:val="0"/>
          <w:bCs/>
          <w:color w:val="auto"/>
          <w:sz w:val="32"/>
          <w:szCs w:val="32"/>
          <w:highlight w:val="none"/>
          <w:lang w:val="en-US" w:eastAsia="zh-CN"/>
        </w:rPr>
        <w:t>针对存在心理障碍学生</w:t>
      </w:r>
      <w:bookmarkEnd w:id="280"/>
      <w:r>
        <w:rPr>
          <w:rFonts w:hint="eastAsia" w:ascii="方正仿宋_GBK" w:hAnsi="方正仿宋_GBK" w:eastAsia="方正仿宋_GBK" w:cs="方正仿宋_GBK"/>
          <w:b w:val="0"/>
          <w:bCs/>
          <w:color w:val="auto"/>
          <w:sz w:val="32"/>
          <w:szCs w:val="32"/>
          <w:highlight w:val="none"/>
          <w:lang w:val="en-US" w:eastAsia="zh-CN"/>
        </w:rPr>
        <w:t>的干预措施：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（一）及时通告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学生所在二级学院的心理健康教育工作对接老师或辅导员（班主任）需进行全面了解，及时将情况告知心理中心。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（二）初步评估问题性质和严重程度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心理中心与当事人及与其关系密切的同学谈话，了解当事人实时心理状态和所面临的问题，初步判断问题性质和严重程度。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（三）确定应对方案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心理中心根据初步评估，确定应对方案。如果学生心理问题比较轻微，属于心理咨询范畴，由心理中心开展心理咨询，二级学院关注学生心理状态；如果当事人心理问题比较严重，可能属于心理障碍或精神疾病，需联系家长做好转介、转诊治疗。</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81" w:name="_Toc20081"/>
      <w:r>
        <w:rPr>
          <w:rFonts w:hint="eastAsia" w:ascii="方正楷体_GBK" w:hAnsi="方正楷体_GBK" w:eastAsia="方正楷体_GBK" w:cs="方正楷体_GBK"/>
          <w:b/>
          <w:bCs w:val="0"/>
          <w:color w:val="auto"/>
          <w:sz w:val="32"/>
          <w:szCs w:val="32"/>
          <w:highlight w:val="none"/>
          <w:lang w:val="en-US" w:eastAsia="zh-CN"/>
        </w:rPr>
        <w:t>第八条</w:t>
      </w:r>
      <w:r>
        <w:rPr>
          <w:rFonts w:hint="eastAsia" w:ascii="方正楷体_GBK" w:hAnsi="方正楷体_GBK" w:eastAsia="方正楷体_GBK" w:cs="方正楷体_GBK"/>
          <w:b w:val="0"/>
          <w:bCs/>
          <w:color w:val="auto"/>
          <w:sz w:val="32"/>
          <w:szCs w:val="32"/>
          <w:highlight w:val="none"/>
          <w:lang w:val="en-US" w:eastAsia="zh-CN"/>
        </w:rPr>
        <w:t xml:space="preserve"> </w:t>
      </w:r>
      <w:r>
        <w:rPr>
          <w:rFonts w:hint="eastAsia" w:ascii="方正仿宋_GBK" w:hAnsi="方正仿宋_GBK" w:eastAsia="方正仿宋_GBK" w:cs="方正仿宋_GBK"/>
          <w:b w:val="0"/>
          <w:bCs/>
          <w:color w:val="auto"/>
          <w:sz w:val="32"/>
          <w:szCs w:val="32"/>
          <w:highlight w:val="none"/>
          <w:lang w:val="en-US" w:eastAsia="zh-CN"/>
        </w:rPr>
        <w:t xml:space="preserve"> 对有严重心理障碍或精神疾病学生的干预措施（含抑郁症、躁狂症、双相情感障碍、精神分裂症等，或有明显自杀征兆及自杀未遂的学生）</w:t>
      </w:r>
      <w:bookmarkEnd w:id="281"/>
      <w:r>
        <w:rPr>
          <w:rFonts w:hint="eastAsia" w:ascii="方正仿宋_GBK" w:hAnsi="方正仿宋_GBK" w:eastAsia="方正仿宋_GBK" w:cs="方正仿宋_GBK"/>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82" w:name="_Toc11678"/>
      <w:bookmarkStart w:id="283" w:name="_Toc24748"/>
      <w:r>
        <w:rPr>
          <w:rFonts w:hint="eastAsia" w:ascii="方正仿宋_GBK" w:hAnsi="方正仿宋_GBK" w:eastAsia="方正仿宋_GBK" w:cs="方正仿宋_GBK"/>
          <w:b w:val="0"/>
          <w:bCs/>
          <w:color w:val="auto"/>
          <w:sz w:val="32"/>
          <w:szCs w:val="32"/>
          <w:highlight w:val="none"/>
          <w:lang w:val="en-US" w:eastAsia="zh-CN"/>
        </w:rPr>
        <w:t>（一）迅速通告</w:t>
      </w:r>
      <w:bookmarkEnd w:id="282"/>
      <w:bookmarkEnd w:id="28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心理中心发现可能存在严重心理障碍或存在自伤、自杀倾向的学生时，须及时通知学生所在二级学院心理工作站。二级学院发现可能存在严重心理障碍或存在自伤、自杀倾向的学生时，须及时通知心理中心，并请心理中心做出初步判断和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84" w:name="_Toc29017"/>
      <w:bookmarkStart w:id="285" w:name="_Toc12225"/>
      <w:r>
        <w:rPr>
          <w:rFonts w:hint="eastAsia" w:ascii="方正仿宋_GBK" w:hAnsi="方正仿宋_GBK" w:eastAsia="方正仿宋_GBK" w:cs="方正仿宋_GBK"/>
          <w:b w:val="0"/>
          <w:bCs/>
          <w:color w:val="auto"/>
          <w:sz w:val="32"/>
          <w:szCs w:val="32"/>
          <w:highlight w:val="none"/>
          <w:lang w:val="en-US" w:eastAsia="zh-CN"/>
        </w:rPr>
        <w:t>（二）及时通知家长，及时就医</w:t>
      </w:r>
      <w:bookmarkEnd w:id="284"/>
      <w:bookmarkEnd w:id="28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经心理中心初步评估学生可能存在严重心理障碍、存在自伤、自杀倾向或出现自杀未遂情况的，由学生所在二级学院负责通知家长到校处理。若家长未能及时到校，在家长知情并同意的情况下，由二级学院指定专人送学生就医；当难以与家长取得联系，而学生的心理问题已严重到危害自身或他人生命安全时，二级学院可直接送学生就医，并继续与家长取得联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86" w:name="_Toc25249"/>
      <w:bookmarkStart w:id="287" w:name="_Toc12842"/>
      <w:r>
        <w:rPr>
          <w:rFonts w:hint="eastAsia" w:ascii="方正仿宋_GBK" w:hAnsi="方正仿宋_GBK" w:eastAsia="方正仿宋_GBK" w:cs="方正仿宋_GBK"/>
          <w:b w:val="0"/>
          <w:bCs/>
          <w:color w:val="auto"/>
          <w:sz w:val="32"/>
          <w:szCs w:val="32"/>
          <w:highlight w:val="none"/>
          <w:lang w:val="en-US" w:eastAsia="zh-CN"/>
        </w:rPr>
        <w:t>（三）做好监护工作</w:t>
      </w:r>
      <w:bookmarkEnd w:id="286"/>
      <w:bookmarkEnd w:id="28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家长到校之前，看护工作由学生所在二级学院负责。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88" w:name="_Toc21913"/>
      <w:bookmarkStart w:id="289" w:name="_Toc31840"/>
      <w:r>
        <w:rPr>
          <w:rFonts w:hint="eastAsia" w:ascii="方正仿宋_GBK" w:hAnsi="方正仿宋_GBK" w:eastAsia="方正仿宋_GBK" w:cs="方正仿宋_GBK"/>
          <w:b w:val="0"/>
          <w:bCs/>
          <w:color w:val="auto"/>
          <w:sz w:val="32"/>
          <w:szCs w:val="32"/>
          <w:highlight w:val="none"/>
          <w:lang w:val="en-US" w:eastAsia="zh-CN"/>
        </w:rPr>
        <w:t>（四）选择治疗方式</w:t>
      </w:r>
      <w:bookmarkEnd w:id="288"/>
      <w:bookmarkEnd w:id="28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依据诊断结果和意见，可采取学生住院治疗、休学治疗或在校边学习边治疗的方式。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（五）办理住院、病假和休学手续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根据学校有关规定，结合学生实际情况，进行住院、病假、休学等处理，按要求办理有关手续。学生休学后若提前返校，需有医院的诊断结果作为依据。按休学规定正常返回学校学习的学生，依据医院的诊断结果可办理复学手续，复学后心理中心和二级学院需定期追踪学生心理健康状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（六）开展心理辅导工作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心理中心对与当事人密切接触的学生和老师开展心理辅导工作，帮助学生和教师正确认识心理问题，缓解紧张情绪，消除歧视心理。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（七）追踪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黑体_GBK" w:hAnsi="方正黑体_GBK" w:eastAsia="方正黑体_GBK" w:cs="方正黑体_GBK"/>
          <w:b w:val="0"/>
          <w:bCs/>
          <w:color w:val="auto"/>
          <w:kern w:val="0"/>
          <w:sz w:val="32"/>
          <w:szCs w:val="32"/>
          <w:highlight w:val="none"/>
          <w:lang w:val="en-US" w:eastAsia="zh-CN" w:bidi="ar"/>
        </w:rPr>
      </w:pPr>
      <w:r>
        <w:rPr>
          <w:rFonts w:hint="eastAsia" w:ascii="方正仿宋_GBK" w:hAnsi="方正仿宋_GBK" w:eastAsia="方正仿宋_GBK" w:cs="方正仿宋_GBK"/>
          <w:b w:val="0"/>
          <w:bCs/>
          <w:color w:val="auto"/>
          <w:sz w:val="32"/>
          <w:szCs w:val="32"/>
          <w:highlight w:val="none"/>
          <w:lang w:val="en-US" w:eastAsia="zh-CN"/>
        </w:rPr>
        <w:t>学生因心理问题休学完毕复学后，心理中心负责对复学学生进行定期心理咨询，给予支持和评估，所在二级学院应经常了解其思想、学习、生活等方面的情况</w:t>
      </w:r>
      <w:bookmarkStart w:id="290" w:name="_Toc21171"/>
      <w:r>
        <w:rPr>
          <w:rFonts w:hint="eastAsia" w:ascii="方正仿宋_GBK" w:hAnsi="方正仿宋_GBK" w:eastAsia="方正仿宋_GBK" w:cs="方正仿宋_GBK"/>
          <w:b w:val="0"/>
          <w:bCs/>
          <w:color w:val="auto"/>
          <w:sz w:val="32"/>
          <w:szCs w:val="32"/>
          <w:highlight w:val="none"/>
          <w:lang w:val="en-US" w:eastAsia="zh-CN"/>
        </w:rPr>
        <w:t>。</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方正黑体_GBK" w:hAnsi="方正黑体_GBK" w:eastAsia="方正黑体_GBK" w:cs="方正黑体_GBK"/>
          <w:b w:val="0"/>
          <w:bCs/>
          <w:color w:val="auto"/>
          <w:kern w:val="0"/>
          <w:sz w:val="32"/>
          <w:szCs w:val="32"/>
          <w:highlight w:val="none"/>
          <w:lang w:val="en-US" w:eastAsia="zh-CN" w:bidi="ar"/>
        </w:rPr>
      </w:pPr>
      <w:bookmarkStart w:id="291" w:name="_Toc2097"/>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方正黑体_GBK" w:hAnsi="方正黑体_GBK" w:eastAsia="方正黑体_GBK" w:cs="方正黑体_GBK"/>
          <w:b/>
          <w:bCs w:val="0"/>
          <w:color w:val="auto"/>
          <w:kern w:val="0"/>
          <w:sz w:val="32"/>
          <w:szCs w:val="32"/>
          <w:highlight w:val="none"/>
          <w:lang w:val="en-US" w:eastAsia="zh-CN" w:bidi="ar"/>
        </w:rPr>
      </w:pPr>
      <w:bookmarkStart w:id="292" w:name="_Toc25564"/>
      <w:bookmarkStart w:id="293" w:name="_Toc8477"/>
      <w:bookmarkStart w:id="294" w:name="_Toc8175"/>
      <w:bookmarkStart w:id="295" w:name="_Toc20008"/>
      <w:r>
        <w:rPr>
          <w:rFonts w:hint="eastAsia" w:ascii="方正黑体_GBK" w:hAnsi="方正黑体_GBK" w:eastAsia="方正黑体_GBK" w:cs="方正黑体_GBK"/>
          <w:b/>
          <w:bCs w:val="0"/>
          <w:color w:val="auto"/>
          <w:kern w:val="0"/>
          <w:sz w:val="32"/>
          <w:szCs w:val="32"/>
          <w:highlight w:val="none"/>
          <w:lang w:val="en-US" w:eastAsia="zh-CN" w:bidi="ar"/>
        </w:rPr>
        <w:t>第六章  不同心理危机事件的应急处理方案</w:t>
      </w:r>
      <w:bookmarkEnd w:id="290"/>
      <w:bookmarkEnd w:id="291"/>
      <w:bookmarkEnd w:id="292"/>
      <w:bookmarkEnd w:id="293"/>
      <w:bookmarkEnd w:id="294"/>
      <w:bookmarkEnd w:id="295"/>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b w:val="0"/>
          <w:bCs/>
          <w:color w:val="auto"/>
          <w:sz w:val="32"/>
          <w:szCs w:val="32"/>
          <w:highlight w:val="none"/>
          <w:lang w:val="en-US" w:eastAsia="zh-CN"/>
        </w:rPr>
      </w:pPr>
      <w:bookmarkStart w:id="296" w:name="_Toc13330"/>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楷体_GBK" w:hAnsi="方正楷体_GBK" w:eastAsia="方正楷体_GBK" w:cs="方正楷体_GBK"/>
          <w:b/>
          <w:bCs w:val="0"/>
          <w:color w:val="auto"/>
          <w:sz w:val="32"/>
          <w:szCs w:val="32"/>
          <w:highlight w:val="none"/>
          <w:lang w:val="en-US" w:eastAsia="zh-CN"/>
        </w:rPr>
        <w:t>第九条</w:t>
      </w:r>
      <w:r>
        <w:rPr>
          <w:rFonts w:hint="eastAsia" w:ascii="方正楷体_GBK" w:hAnsi="方正楷体_GBK" w:eastAsia="方正楷体_GBK" w:cs="方正楷体_GBK"/>
          <w:b w:val="0"/>
          <w:bCs/>
          <w:color w:val="auto"/>
          <w:sz w:val="32"/>
          <w:szCs w:val="32"/>
          <w:highlight w:val="none"/>
          <w:lang w:val="en-US" w:eastAsia="zh-CN"/>
        </w:rPr>
        <w:t xml:space="preserve">  </w:t>
      </w:r>
      <w:r>
        <w:rPr>
          <w:rFonts w:hint="eastAsia" w:ascii="方正仿宋_GBK" w:hAnsi="方正仿宋_GBK" w:eastAsia="方正仿宋_GBK" w:cs="方正仿宋_GBK"/>
          <w:b w:val="0"/>
          <w:bCs/>
          <w:color w:val="auto"/>
          <w:sz w:val="32"/>
          <w:szCs w:val="32"/>
          <w:highlight w:val="none"/>
          <w:lang w:val="en-US" w:eastAsia="zh-CN"/>
        </w:rPr>
        <w:t>对已经发生的自杀事件的</w:t>
      </w:r>
      <w:bookmarkEnd w:id="252"/>
      <w:r>
        <w:rPr>
          <w:rFonts w:hint="eastAsia" w:ascii="方正仿宋_GBK" w:hAnsi="方正仿宋_GBK" w:eastAsia="方正仿宋_GBK" w:cs="方正仿宋_GBK"/>
          <w:b w:val="0"/>
          <w:bCs/>
          <w:color w:val="auto"/>
          <w:sz w:val="32"/>
          <w:szCs w:val="32"/>
          <w:highlight w:val="none"/>
          <w:lang w:val="en-US" w:eastAsia="zh-CN"/>
        </w:rPr>
        <w:t>处理</w:t>
      </w:r>
      <w:bookmarkEnd w:id="296"/>
      <w:r>
        <w:rPr>
          <w:rFonts w:hint="eastAsia" w:ascii="方正仿宋_GBK" w:hAnsi="方正仿宋_GBK" w:eastAsia="方正仿宋_GBK" w:cs="方正仿宋_GBK"/>
          <w:b w:val="0"/>
          <w:bCs/>
          <w:color w:val="auto"/>
          <w:sz w:val="32"/>
          <w:szCs w:val="32"/>
          <w:highlight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336"/>
        <w:jc w:val="left"/>
        <w:textAlignment w:val="auto"/>
        <w:rPr>
          <w:rFonts w:hint="eastAsia" w:ascii="方正仿宋_GBK" w:hAnsi="方正仿宋_GBK" w:eastAsia="方正仿宋_GBK" w:cs="方正仿宋_GBK"/>
          <w:caps w:val="0"/>
          <w:color w:val="auto"/>
          <w:spacing w:val="0"/>
          <w:kern w:val="0"/>
          <w:sz w:val="32"/>
          <w:szCs w:val="32"/>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336"/>
        <w:jc w:val="left"/>
        <w:textAlignment w:val="auto"/>
        <w:rPr>
          <w:rFonts w:hint="eastAsia" w:ascii="方正仿宋_GBK" w:hAnsi="方正仿宋_GBK" w:eastAsia="方正仿宋_GBK" w:cs="方正仿宋_GBK"/>
          <w:caps w:val="0"/>
          <w:color w:val="auto"/>
          <w:spacing w:val="0"/>
          <w:kern w:val="0"/>
          <w:sz w:val="32"/>
          <w:szCs w:val="32"/>
          <w:highlight w:val="none"/>
          <w:lang w:val="en-US" w:eastAsia="zh-CN" w:bidi="ar"/>
        </w:rPr>
      </w:pPr>
      <w:r>
        <w:rPr>
          <w:b/>
          <w:bCs w:val="0"/>
          <w:color w:val="auto"/>
          <w:sz w:val="28"/>
          <w:szCs w:val="22"/>
          <w:highlight w:val="none"/>
        </w:rPr>
        <mc:AlternateContent>
          <mc:Choice Requires="wps">
            <w:drawing>
              <wp:anchor distT="0" distB="0" distL="114300" distR="114300" simplePos="0" relativeHeight="251709440" behindDoc="0" locked="0" layoutInCell="1" allowOverlap="1">
                <wp:simplePos x="0" y="0"/>
                <wp:positionH relativeFrom="column">
                  <wp:posOffset>4392930</wp:posOffset>
                </wp:positionH>
                <wp:positionV relativeFrom="paragraph">
                  <wp:posOffset>105410</wp:posOffset>
                </wp:positionV>
                <wp:extent cx="1030605" cy="1090295"/>
                <wp:effectExtent l="4445" t="5080" r="12700" b="9525"/>
                <wp:wrapNone/>
                <wp:docPr id="42" name="文本框 42"/>
                <wp:cNvGraphicFramePr/>
                <a:graphic xmlns:a="http://schemas.openxmlformats.org/drawingml/2006/main">
                  <a:graphicData uri="http://schemas.microsoft.com/office/word/2010/wordprocessingShape">
                    <wps:wsp>
                      <wps:cNvSpPr txBox="1"/>
                      <wps:spPr>
                        <a:xfrm>
                          <a:off x="5673725" y="2995930"/>
                          <a:ext cx="1030605" cy="10902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p>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心理危机工作领导小组统一部署工作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5.9pt;margin-top:8.3pt;height:85.85pt;width:81.15pt;z-index:251709440;mso-width-relative:page;mso-height-relative:page;" fillcolor="#FFFFFF [3201]" filled="t" stroked="t" coordsize="21600,21600" o:gfxdata="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uyW0NYAAAAKAQAADwAAAAAAAAABACAAAAAiAAAAZHJzL2Rvd25yZXYueG1sUEsBAhQA&#10;FAAAAAgAh07iQNWtsOxmAgAAxgQAAA4AAAAAAAAAAQAgAAAAJQEAAGRycy9lMm9Eb2MueG1sUEsF&#10;BgAAAAAGAAYAWQEAAP0FAAA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p>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心理危机工作领导小组统一部署工作</w:t>
                      </w:r>
                    </w:p>
                  </w:txbxContent>
                </v:textbox>
              </v:shape>
            </w:pict>
          </mc:Fallback>
        </mc:AlternateContent>
      </w:r>
      <w:r>
        <w:rPr>
          <w:color w:val="auto"/>
          <w:sz w:val="32"/>
          <w:highlight w:val="none"/>
        </w:rPr>
        <mc:AlternateContent>
          <mc:Choice Requires="wps">
            <w:drawing>
              <wp:anchor distT="0" distB="0" distL="114300" distR="114300" simplePos="0" relativeHeight="251712512" behindDoc="0" locked="0" layoutInCell="1" allowOverlap="1">
                <wp:simplePos x="0" y="0"/>
                <wp:positionH relativeFrom="column">
                  <wp:posOffset>1492250</wp:posOffset>
                </wp:positionH>
                <wp:positionV relativeFrom="paragraph">
                  <wp:posOffset>263525</wp:posOffset>
                </wp:positionV>
                <wp:extent cx="723900" cy="0"/>
                <wp:effectExtent l="0" t="48895" r="0" b="65405"/>
                <wp:wrapNone/>
                <wp:docPr id="46" name="直接箭头连接符 46"/>
                <wp:cNvGraphicFramePr/>
                <a:graphic xmlns:a="http://schemas.openxmlformats.org/drawingml/2006/main">
                  <a:graphicData uri="http://schemas.microsoft.com/office/word/2010/wordprocessingShape">
                    <wps:wsp>
                      <wps:cNvCnPr/>
                      <wps:spPr>
                        <a:xfrm>
                          <a:off x="2541905" y="2569210"/>
                          <a:ext cx="723900" cy="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17.5pt;margin-top:20.75pt;height:0pt;width:57pt;z-index:251712512;mso-width-relative:page;mso-height-relative:page;" filled="f" stroked="t" coordsize="21600,21600" o:gfxdata="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Y&#10;kWV11gAAAAkBAAAPAAAAAAAAAAEAIAAAACIAAABkcnMvZG93bnJldi54bWxQSwECFAAUAAAACACH&#10;TuJAZBUeMyYCAAAfBAAADgAAAAAAAAABACAAAAAlAQAAZHJzL2Uyb0RvYy54bWxQSwUGAAAAAAYA&#10;BgBZAQAAvQUAAAAA&#10;">
                <v:fill on="f" focussize="0,0"/>
                <v:stroke color="#000000 [3200]" joinstyle="round" endarrow="open"/>
                <v:imagedata o:title=""/>
                <o:lock v:ext="edit" aspectratio="f"/>
              </v:shape>
            </w:pict>
          </mc:Fallback>
        </mc:AlternateContent>
      </w:r>
      <w:r>
        <w:rPr>
          <w:color w:val="auto"/>
          <w:sz w:val="32"/>
          <w:highlight w:val="none"/>
        </w:rPr>
        <mc:AlternateContent>
          <mc:Choice Requires="wps">
            <w:drawing>
              <wp:anchor distT="0" distB="0" distL="114300" distR="114300" simplePos="0" relativeHeight="251713536" behindDoc="0" locked="0" layoutInCell="1" allowOverlap="1">
                <wp:simplePos x="0" y="0"/>
                <wp:positionH relativeFrom="column">
                  <wp:posOffset>3635375</wp:posOffset>
                </wp:positionH>
                <wp:positionV relativeFrom="paragraph">
                  <wp:posOffset>273050</wp:posOffset>
                </wp:positionV>
                <wp:extent cx="754380" cy="6985"/>
                <wp:effectExtent l="0" t="43180" r="7620" b="64135"/>
                <wp:wrapNone/>
                <wp:docPr id="47" name="直接箭头连接符 47"/>
                <wp:cNvGraphicFramePr/>
                <a:graphic xmlns:a="http://schemas.openxmlformats.org/drawingml/2006/main">
                  <a:graphicData uri="http://schemas.microsoft.com/office/word/2010/wordprocessingShape">
                    <wps:wsp>
                      <wps:cNvCnPr/>
                      <wps:spPr>
                        <a:xfrm>
                          <a:off x="0" y="0"/>
                          <a:ext cx="754380" cy="698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6.25pt;margin-top:21.5pt;height:0.55pt;width:59.4pt;z-index:251713536;mso-width-relative:page;mso-height-relative:page;" filled="f" stroked="t" coordsize="21600,21600" o:gfxdata="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3bpqW2AAA&#10;AAkBAAAPAAAAAAAAAAEAIAAAACIAAABkcnMvZG93bnJldi54bWxQSwECFAAUAAAACACHTuJAbpd1&#10;Vx4CAAAWBAAADgAAAAAAAAABACAAAAAnAQAAZHJzL2Uyb0RvYy54bWxQSwUGAAAAAAYABgBZAQAA&#10;twUAAAAA&#10;">
                <v:fill on="f" focussize="0,0"/>
                <v:stroke color="#000000 [3200]" joinstyle="round" endarrow="open"/>
                <v:imagedata o:title=""/>
                <o:lock v:ext="edit" aspectratio="f"/>
              </v:shape>
            </w:pict>
          </mc:Fallback>
        </mc:AlternateContent>
      </w:r>
      <w:r>
        <w:rPr>
          <w:b/>
          <w:bCs w:val="0"/>
          <w:color w:val="auto"/>
          <w:sz w:val="28"/>
          <w:szCs w:val="22"/>
          <w:highlight w:val="none"/>
        </w:rPr>
        <mc:AlternateContent>
          <mc:Choice Requires="wps">
            <w:drawing>
              <wp:anchor distT="0" distB="0" distL="114300" distR="114300" simplePos="0" relativeHeight="251708416" behindDoc="0" locked="0" layoutInCell="1" allowOverlap="1">
                <wp:simplePos x="0" y="0"/>
                <wp:positionH relativeFrom="column">
                  <wp:posOffset>2237105</wp:posOffset>
                </wp:positionH>
                <wp:positionV relativeFrom="paragraph">
                  <wp:posOffset>106680</wp:posOffset>
                </wp:positionV>
                <wp:extent cx="1374140" cy="298450"/>
                <wp:effectExtent l="4445" t="4445" r="12065" b="20955"/>
                <wp:wrapNone/>
                <wp:docPr id="41" name="文本框 41"/>
                <wp:cNvGraphicFramePr/>
                <a:graphic xmlns:a="http://schemas.openxmlformats.org/drawingml/2006/main">
                  <a:graphicData uri="http://schemas.microsoft.com/office/word/2010/wordprocessingShape">
                    <wps:wsp>
                      <wps:cNvSpPr txBox="1"/>
                      <wps:spPr>
                        <a:xfrm>
                          <a:off x="3646805" y="3049270"/>
                          <a:ext cx="1374140" cy="298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立即报告，保护现场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6.15pt;margin-top:8.4pt;height:23.5pt;width:108.2pt;z-index:251708416;mso-width-relative:page;mso-height-relative:page;" fillcolor="#FFFFFF [3201]" filled="t" stroked="t" coordsize="21600,21600" o:gfxdata="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keFkHWAAAACQEAAA8AAAAAAAAAAQAgAAAAIgAAAGRycy9kb3ducmV2LnhtbFBLAQIUABQA&#10;AAAIAIdO4kATYDiPZAIAAMUEAAAOAAAAAAAAAAEAIAAAACUBAABkcnMvZTJvRG9jLnhtbFBLBQYA&#10;AAAABgAGAFkBAAD7BQAA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立即报告，保护现场</w:t>
                      </w:r>
                    </w:p>
                  </w:txbxContent>
                </v:textbox>
              </v:shape>
            </w:pict>
          </mc:Fallback>
        </mc:AlternateContent>
      </w:r>
      <w:r>
        <w:rPr>
          <w:b/>
          <w:bCs w:val="0"/>
          <w:color w:val="auto"/>
          <w:sz w:val="28"/>
          <w:szCs w:val="22"/>
          <w:highlight w:val="none"/>
        </w:rPr>
        <mc:AlternateContent>
          <mc:Choice Requires="wps">
            <w:drawing>
              <wp:anchor distT="0" distB="0" distL="114300" distR="114300" simplePos="0" relativeHeight="251707392" behindDoc="0" locked="0" layoutInCell="1" allowOverlap="1">
                <wp:simplePos x="0" y="0"/>
                <wp:positionH relativeFrom="column">
                  <wp:posOffset>180340</wp:posOffset>
                </wp:positionH>
                <wp:positionV relativeFrom="paragraph">
                  <wp:posOffset>110490</wp:posOffset>
                </wp:positionV>
                <wp:extent cx="1285875" cy="291465"/>
                <wp:effectExtent l="4445" t="4445" r="5080" b="8890"/>
                <wp:wrapNone/>
                <wp:docPr id="15" name="文本框 15"/>
                <wp:cNvGraphicFramePr/>
                <a:graphic xmlns:a="http://schemas.openxmlformats.org/drawingml/2006/main">
                  <a:graphicData uri="http://schemas.microsoft.com/office/word/2010/wordprocessingShape">
                    <wps:wsp>
                      <wps:cNvSpPr txBox="1"/>
                      <wps:spPr>
                        <a:xfrm>
                          <a:off x="1536065" y="3117850"/>
                          <a:ext cx="1285875" cy="2914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已经发生自杀事件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pt;margin-top:8.7pt;height:22.95pt;width:101.25pt;z-index:251707392;mso-width-relative:page;mso-height-relative:page;" fillcolor="#FFFFFF [3201]" filled="t" stroked="t" coordsize="21600,21600" o:gfxdata="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g&#10;p7Eq1QAAAAgBAAAPAAAAAAAAAAEAIAAAACIAAABkcnMvZG93bnJldi54bWxQSwECFAAUAAAACACH&#10;TuJAxgdHMmACAADFBAAADgAAAAAAAAABACAAAAAkAQAAZHJzL2Uyb0RvYy54bWxQSwUGAAAAAAYA&#10;BgBZAQAA9gUAA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已经发生自杀事件</w:t>
                      </w:r>
                    </w:p>
                  </w:txbxContent>
                </v:textbox>
              </v:shape>
            </w:pict>
          </mc:Fallback>
        </mc:AlternateConten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336"/>
        <w:jc w:val="left"/>
        <w:textAlignment w:val="auto"/>
        <w:rPr>
          <w:rFonts w:hint="eastAsia" w:ascii="方正仿宋_GBK" w:hAnsi="方正仿宋_GBK" w:eastAsia="方正仿宋_GBK" w:cs="方正仿宋_GBK"/>
          <w:caps w:val="0"/>
          <w:color w:val="auto"/>
          <w:spacing w:val="0"/>
          <w:kern w:val="0"/>
          <w:sz w:val="32"/>
          <w:szCs w:val="32"/>
          <w:highlight w:val="none"/>
          <w:lang w:val="en-US" w:eastAsia="zh-CN" w:bidi="ar"/>
        </w:rPr>
      </w:pPr>
      <w:r>
        <w:rPr>
          <w:color w:val="auto"/>
          <w:sz w:val="32"/>
          <w:highlight w:val="none"/>
        </w:rPr>
        <mc:AlternateContent>
          <mc:Choice Requires="wps">
            <w:drawing>
              <wp:anchor distT="0" distB="0" distL="114300" distR="114300" simplePos="0" relativeHeight="251711488" behindDoc="0" locked="0" layoutInCell="1" allowOverlap="1">
                <wp:simplePos x="0" y="0"/>
                <wp:positionH relativeFrom="column">
                  <wp:posOffset>-27940</wp:posOffset>
                </wp:positionH>
                <wp:positionV relativeFrom="paragraph">
                  <wp:posOffset>283845</wp:posOffset>
                </wp:positionV>
                <wp:extent cx="1660525" cy="694055"/>
                <wp:effectExtent l="4445" t="4445" r="11430" b="6350"/>
                <wp:wrapNone/>
                <wp:docPr id="45" name="文本框 45"/>
                <wp:cNvGraphicFramePr/>
                <a:graphic xmlns:a="http://schemas.openxmlformats.org/drawingml/2006/main">
                  <a:graphicData uri="http://schemas.microsoft.com/office/word/2010/wordprocessingShape">
                    <wps:wsp>
                      <wps:cNvSpPr txBox="1"/>
                      <wps:spPr>
                        <a:xfrm>
                          <a:off x="3860165" y="4218305"/>
                          <a:ext cx="1660525" cy="6940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学生工作处心理健康教育中心协助各部门形成学生情况报告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pt;margin-top:22.35pt;height:54.65pt;width:130.75pt;z-index:251711488;mso-width-relative:page;mso-height-relative:page;" fillcolor="#FFFFFF [3201]" filled="t" stroked="t" coordsize="21600,21600" o:gfxdata="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PvpcdYAAAAJAQAADwAAAAAAAAABACAAAAAiAAAAZHJzL2Rvd25yZXYueG1sUEsBAhQA&#10;FAAAAAgAh07iQEK3NQBmAgAAxQQAAA4AAAAAAAAAAQAgAAAAJQEAAGRycy9lMm9Eb2MueG1sUEsF&#10;BgAAAAAGAAYAWQEAAP0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学生工作处心理健康教育中心协助各部门形成学生情况报告</w:t>
                      </w:r>
                    </w:p>
                  </w:txbxContent>
                </v:textbox>
              </v:shape>
            </w:pict>
          </mc:Fallback>
        </mc:AlternateContent>
      </w:r>
    </w:p>
    <w:p>
      <w:pPr>
        <w:keepNext w:val="0"/>
        <w:keepLines w:val="0"/>
        <w:pageBreakBefore w:val="0"/>
        <w:widowControl w:val="0"/>
        <w:numPr>
          <w:ilvl w:val="0"/>
          <w:numId w:val="16"/>
        </w:numPr>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97" w:name="_Toc22113"/>
      <w:r>
        <w:rPr>
          <w:color w:val="auto"/>
          <w:sz w:val="32"/>
          <w:highlight w:val="none"/>
        </w:rPr>
        <mc:AlternateContent>
          <mc:Choice Requires="wps">
            <w:drawing>
              <wp:anchor distT="0" distB="0" distL="114300" distR="114300" simplePos="0" relativeHeight="251714560" behindDoc="0" locked="0" layoutInCell="1" allowOverlap="1">
                <wp:simplePos x="0" y="0"/>
                <wp:positionH relativeFrom="column">
                  <wp:posOffset>3754120</wp:posOffset>
                </wp:positionH>
                <wp:positionV relativeFrom="paragraph">
                  <wp:posOffset>241300</wp:posOffset>
                </wp:positionV>
                <wp:extent cx="639445" cy="6350"/>
                <wp:effectExtent l="0" t="43815" r="8255" b="64135"/>
                <wp:wrapNone/>
                <wp:docPr id="48" name="直接箭头连接符 48"/>
                <wp:cNvGraphicFramePr/>
                <a:graphic xmlns:a="http://schemas.openxmlformats.org/drawingml/2006/main">
                  <a:graphicData uri="http://schemas.microsoft.com/office/word/2010/wordprocessingShape">
                    <wps:wsp>
                      <wps:cNvCnPr/>
                      <wps:spPr>
                        <a:xfrm flipH="1">
                          <a:off x="0" y="0"/>
                          <a:ext cx="639445" cy="63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295.6pt;margin-top:19pt;height:0.5pt;width:50.35pt;z-index:251714560;mso-width-relative:page;mso-height-relative:page;" filled="f" stroked="t" coordsize="21600,21600" o:gfxdata="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EYJU2AAAAAkBAAAPAAAAAAAAAAEAIAAAACIAAABkcnMvZG93bnJldi54bWxQSwECFAAUAAAACACH&#10;TuJA6aTUjyQCAAAgBAAADgAAAAAAAAABACAAAAAnAQAAZHJzL2Uyb0RvYy54bWxQSwUGAAAAAAYA&#10;BgBZAQAAvQUAAAAA&#10;">
                <v:fill on="f" focussize="0,0"/>
                <v:stroke color="#000000 [3200]" joinstyle="round" endarrow="open"/>
                <v:imagedata o:title=""/>
                <o:lock v:ext="edit" aspectratio="f"/>
              </v:shape>
            </w:pict>
          </mc:Fallback>
        </mc:AlternateContent>
      </w:r>
      <w:r>
        <w:rPr>
          <w:color w:val="auto"/>
          <w:sz w:val="32"/>
          <w:highlight w:val="none"/>
        </w:rPr>
        <mc:AlternateContent>
          <mc:Choice Requires="wps">
            <w:drawing>
              <wp:anchor distT="0" distB="0" distL="114300" distR="114300" simplePos="0" relativeHeight="251715584" behindDoc="0" locked="0" layoutInCell="1" allowOverlap="1">
                <wp:simplePos x="0" y="0"/>
                <wp:positionH relativeFrom="column">
                  <wp:posOffset>1640840</wp:posOffset>
                </wp:positionH>
                <wp:positionV relativeFrom="paragraph">
                  <wp:posOffset>228600</wp:posOffset>
                </wp:positionV>
                <wp:extent cx="416560" cy="12700"/>
                <wp:effectExtent l="0" t="39370" r="2540" b="62230"/>
                <wp:wrapNone/>
                <wp:docPr id="49" name="直接箭头连接符 49"/>
                <wp:cNvGraphicFramePr/>
                <a:graphic xmlns:a="http://schemas.openxmlformats.org/drawingml/2006/main">
                  <a:graphicData uri="http://schemas.microsoft.com/office/word/2010/wordprocessingShape">
                    <wps:wsp>
                      <wps:cNvCnPr/>
                      <wps:spPr>
                        <a:xfrm flipH="1">
                          <a:off x="4454525" y="3927475"/>
                          <a:ext cx="416560" cy="127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129.2pt;margin-top:18pt;height:1pt;width:32.8pt;z-index:251715584;mso-width-relative:page;mso-height-relative:page;" filled="f" stroked="t" coordsize="21600,21600" o:gfxdata="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8mr3e1wAAAAkBAAAPAAAAAAAAAAEAIAAAACIAAABkcnMvZG93bnJldi54bWxQ&#10;SwECFAAUAAAACACHTuJAELegGzECAAAtBAAADgAAAAAAAAABACAAAAAmAQAAZHJzL2Uyb0RvYy54&#10;bWxQSwUGAAAAAAYABgBZAQAAyQUAAAAA&#10;">
                <v:fill on="f" focussize="0,0"/>
                <v:stroke color="#000000 [3200]" joinstyle="round" endarrow="open"/>
                <v:imagedata o:title=""/>
                <o:lock v:ext="edit" aspectratio="f"/>
              </v:shape>
            </w:pict>
          </mc:Fallback>
        </mc:AlternateContent>
      </w:r>
      <w:r>
        <w:rPr>
          <w:color w:val="auto"/>
          <w:sz w:val="32"/>
          <w:highlight w:val="none"/>
        </w:rPr>
        <mc:AlternateContent>
          <mc:Choice Requires="wps">
            <w:drawing>
              <wp:anchor distT="0" distB="0" distL="114300" distR="114300" simplePos="0" relativeHeight="251710464" behindDoc="0" locked="0" layoutInCell="1" allowOverlap="1">
                <wp:simplePos x="0" y="0"/>
                <wp:positionH relativeFrom="column">
                  <wp:posOffset>2061210</wp:posOffset>
                </wp:positionH>
                <wp:positionV relativeFrom="paragraph">
                  <wp:posOffset>26035</wp:posOffset>
                </wp:positionV>
                <wp:extent cx="1687195" cy="481330"/>
                <wp:effectExtent l="5080" t="4445" r="22225" b="9525"/>
                <wp:wrapNone/>
                <wp:docPr id="44" name="文本框 44"/>
                <wp:cNvGraphicFramePr/>
                <a:graphic xmlns:a="http://schemas.openxmlformats.org/drawingml/2006/main">
                  <a:graphicData uri="http://schemas.microsoft.com/office/word/2010/wordprocessingShape">
                    <wps:wsp>
                      <wps:cNvSpPr txBox="1"/>
                      <wps:spPr>
                        <a:xfrm>
                          <a:off x="5757545" y="4104005"/>
                          <a:ext cx="1687195" cy="4813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危机后的心理排查、心理疏导和心理健康教育工作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3pt;margin-top:2.05pt;height:37.9pt;width:132.85pt;z-index:251710464;mso-width-relative:page;mso-height-relative:page;" fillcolor="#FFFFFF [3201]" filled="t" stroked="t" coordsize="21600,21600" o:gfxdata="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E5leDdYAAAAIAQAADwAAAAAAAAABACAAAAAiAAAAZHJzL2Rvd25yZXYueG1sUEsBAhQA&#10;FAAAAAgAh07iQPqt8ylmAgAAxQQAAA4AAAAAAAAAAQAgAAAAJQEAAGRycy9lMm9Eb2MueG1sUEsF&#10;BgAAAAAGAAYAWQEAAP0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危机后的心理排查、心理疏导和心理健康教育工作</w:t>
                      </w:r>
                    </w:p>
                  </w:txbxContent>
                </v:textbox>
              </v:shape>
            </w:pict>
          </mc:Fallback>
        </mc:AlternateContent>
      </w:r>
      <w:r>
        <w:rPr>
          <w:rFonts w:hint="eastAsia" w:ascii="方正仿宋_GBK" w:hAnsi="方正仿宋_GBK" w:eastAsia="方正仿宋_GBK" w:cs="方正仿宋_GBK"/>
          <w:b w:val="0"/>
          <w:bCs/>
          <w:color w:val="auto"/>
          <w:sz w:val="32"/>
          <w:szCs w:val="32"/>
          <w:highlight w:val="none"/>
          <w:lang w:val="en-US" w:eastAsia="zh-CN"/>
        </w:rPr>
        <w:t>及时报告</w:t>
      </w:r>
      <w:bookmarkEnd w:id="29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 xml:space="preserve">（一）及时报告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发现者要立即报告辅导员（班主任）、二级学院院领导、学生工作处、保卫处等，学生工作处、保卫处、医务室、辅导员（班主任）等部门有关领导要第一时间赶到现场。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98" w:name="_Toc458"/>
      <w:r>
        <w:rPr>
          <w:rFonts w:hint="eastAsia" w:ascii="方正仿宋_GBK" w:hAnsi="方正仿宋_GBK" w:eastAsia="方正仿宋_GBK" w:cs="方正仿宋_GBK"/>
          <w:b w:val="0"/>
          <w:bCs/>
          <w:color w:val="auto"/>
          <w:sz w:val="32"/>
          <w:szCs w:val="32"/>
          <w:highlight w:val="none"/>
          <w:lang w:val="en-US" w:eastAsia="zh-CN"/>
        </w:rPr>
        <w:t>（二）现场处置</w:t>
      </w:r>
      <w:bookmarkEnd w:id="29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1.进行学生身份排查，由保卫处在救助现场设警戒线，确保无无关人员接近现场，同时组织人力引导通行，防止其他人员围观、拍照、录像。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2.由保卫处出面，配合警方处理，协助取证。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299" w:name="_Toc31741"/>
      <w:r>
        <w:rPr>
          <w:rFonts w:hint="eastAsia" w:ascii="方正仿宋_GBK" w:hAnsi="方正仿宋_GBK" w:eastAsia="方正仿宋_GBK" w:cs="方正仿宋_GBK"/>
          <w:b w:val="0"/>
          <w:bCs/>
          <w:color w:val="auto"/>
          <w:sz w:val="32"/>
          <w:szCs w:val="32"/>
          <w:highlight w:val="none"/>
          <w:lang w:val="en-US" w:eastAsia="zh-CN"/>
        </w:rPr>
        <w:t>（三）安抚当事人家属</w:t>
      </w:r>
      <w:bookmarkEnd w:id="29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及时通知当事人家属，安抚当事人家长、监护人情绪。在最后处理赔偿或赔付过程中，应灵活处理，如果存在严重分歧或无法调和的情况应以权威机构的评判为准。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0" w:name="_Toc15820"/>
      <w:r>
        <w:rPr>
          <w:rFonts w:hint="eastAsia" w:ascii="方正仿宋_GBK" w:hAnsi="方正仿宋_GBK" w:eastAsia="方正仿宋_GBK" w:cs="方正仿宋_GBK"/>
          <w:b w:val="0"/>
          <w:bCs/>
          <w:color w:val="auto"/>
          <w:sz w:val="32"/>
          <w:szCs w:val="32"/>
          <w:highlight w:val="none"/>
          <w:lang w:val="en-US" w:eastAsia="zh-CN"/>
        </w:rPr>
        <w:t>（四）做好危机排查、心理关怀与心理辅导</w:t>
      </w:r>
      <w:bookmarkEnd w:id="30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1.保护被调查学生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2.做好其他学生的危机排查工作，以防模仿自杀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3.关心死者同宿舍学生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4.对受危机事件影响的学生进行心理辅导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5.对受危机事件影响的教职员工进行心理辅导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K" w:hAnsi="方正仿宋_GBK" w:eastAsia="方正仿宋_GBK" w:cs="方正仿宋_GBK"/>
          <w:b w:val="0"/>
          <w:bCs/>
          <w:color w:val="auto"/>
          <w:sz w:val="32"/>
          <w:szCs w:val="32"/>
          <w:highlight w:val="none"/>
          <w:lang w:val="en-US" w:eastAsia="zh-CN"/>
        </w:rPr>
      </w:pPr>
      <w:bookmarkStart w:id="301" w:name="_Toc13850"/>
      <w:r>
        <w:rPr>
          <w:rFonts w:hint="eastAsia" w:ascii="方正仿宋_GBK" w:hAnsi="方正仿宋_GBK" w:eastAsia="方正仿宋_GBK" w:cs="方正仿宋_GBK"/>
          <w:b w:val="0"/>
          <w:bCs/>
          <w:color w:val="auto"/>
          <w:sz w:val="32"/>
          <w:szCs w:val="32"/>
          <w:highlight w:val="none"/>
          <w:lang w:val="en-US" w:eastAsia="zh-CN"/>
        </w:rPr>
        <w:t>（五）提交报告，开展生命教育</w:t>
      </w:r>
      <w:bookmarkEnd w:id="301"/>
      <w:r>
        <w:rPr>
          <w:rFonts w:hint="eastAsia" w:ascii="方正仿宋_GBK" w:hAnsi="方正仿宋_GBK" w:eastAsia="方正仿宋_GBK" w:cs="方正仿宋_GBK"/>
          <w:b w:val="0"/>
          <w:bCs/>
          <w:color w:val="auto"/>
          <w:sz w:val="32"/>
          <w:szCs w:val="32"/>
          <w:highlight w:val="none"/>
          <w:lang w:val="en-US" w:eastAsia="zh-CN"/>
        </w:rPr>
        <w:t>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2" w:name="_Toc26416"/>
      <w:r>
        <w:rPr>
          <w:rFonts w:hint="eastAsia" w:ascii="方正仿宋_GBK" w:hAnsi="方正仿宋_GBK" w:eastAsia="方正仿宋_GBK" w:cs="方正仿宋_GBK"/>
          <w:b w:val="0"/>
          <w:bCs/>
          <w:color w:val="auto"/>
          <w:sz w:val="32"/>
          <w:szCs w:val="32"/>
          <w:highlight w:val="none"/>
          <w:lang w:val="en-US" w:eastAsia="zh-CN"/>
        </w:rPr>
        <w:t>（六）总结经验教训</w:t>
      </w:r>
      <w:bookmarkEnd w:id="302"/>
      <w:bookmarkStart w:id="303" w:name="_Toc28756"/>
    </w:p>
    <w:p>
      <w:pPr>
        <w:pStyle w:val="4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4" w:name="_Toc19551"/>
      <w:r>
        <w:rPr>
          <w:rFonts w:hint="eastAsia" w:ascii="方正楷体_GBK" w:hAnsi="方正楷体_GBK" w:eastAsia="方正楷体_GBK" w:cs="方正楷体_GBK"/>
          <w:b/>
          <w:bCs w:val="0"/>
          <w:color w:val="auto"/>
          <w:sz w:val="32"/>
          <w:szCs w:val="32"/>
          <w:highlight w:val="none"/>
          <w:lang w:val="en-US" w:eastAsia="zh-CN"/>
        </w:rPr>
        <w:t xml:space="preserve">第十条  </w:t>
      </w:r>
      <w:r>
        <w:rPr>
          <w:rFonts w:hint="eastAsia" w:ascii="方正仿宋_GBK" w:hAnsi="方正仿宋_GBK" w:eastAsia="方正仿宋_GBK" w:cs="方正仿宋_GBK"/>
          <w:b w:val="0"/>
          <w:bCs/>
          <w:color w:val="auto"/>
          <w:sz w:val="32"/>
          <w:szCs w:val="32"/>
          <w:highlight w:val="none"/>
          <w:lang w:val="en-US" w:eastAsia="zh-CN"/>
        </w:rPr>
        <w:t>对出现强烈自杀意念或自杀未遂事件</w:t>
      </w:r>
      <w:bookmarkEnd w:id="303"/>
      <w:r>
        <w:rPr>
          <w:rFonts w:hint="eastAsia" w:ascii="方正仿宋_GBK" w:hAnsi="方正仿宋_GBK" w:eastAsia="方正仿宋_GBK" w:cs="方正仿宋_GBK"/>
          <w:b w:val="0"/>
          <w:bCs/>
          <w:color w:val="auto"/>
          <w:sz w:val="32"/>
          <w:szCs w:val="32"/>
          <w:highlight w:val="none"/>
          <w:lang w:val="en-US" w:eastAsia="zh-CN"/>
        </w:rPr>
        <w:t>的处理</w:t>
      </w:r>
      <w:bookmarkEnd w:id="304"/>
      <w:r>
        <w:rPr>
          <w:rFonts w:hint="eastAsia" w:ascii="方正仿宋_GBK" w:hAnsi="方正仿宋_GBK" w:eastAsia="方正仿宋_GBK" w:cs="方正仿宋_GBK"/>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应对措施流程图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704" w:firstLineChars="220"/>
        <w:textAlignment w:val="auto"/>
        <w:rPr>
          <w:rFonts w:hint="eastAsia" w:ascii="宋体" w:hAnsi="宋体" w:eastAsia="宋体" w:cs="宋体"/>
          <w:color w:val="auto"/>
          <w:sz w:val="21"/>
          <w:szCs w:val="21"/>
          <w:highlight w:val="none"/>
          <w:lang w:eastAsia="zh-CN"/>
        </w:rPr>
      </w:pPr>
      <w:r>
        <w:rPr>
          <w:rFonts w:hint="eastAsia" w:ascii="方正仿宋_GBK" w:hAnsi="方正仿宋_GBK" w:eastAsia="方正仿宋_GBK" w:cs="方正仿宋_GBK"/>
          <w:b w:val="0"/>
          <w:bCs/>
          <w:color w:val="auto"/>
          <w:sz w:val="32"/>
          <w:szCs w:val="32"/>
          <w:highlight w:val="none"/>
          <w:lang w:val="en-US" w:eastAsia="zh-CN"/>
        </w:rPr>
        <mc:AlternateContent>
          <mc:Choice Requires="wps">
            <w:drawing>
              <wp:anchor distT="0" distB="0" distL="114300" distR="114300" simplePos="0" relativeHeight="251670528" behindDoc="0" locked="0" layoutInCell="1" allowOverlap="1">
                <wp:simplePos x="0" y="0"/>
                <wp:positionH relativeFrom="column">
                  <wp:posOffset>480695</wp:posOffset>
                </wp:positionH>
                <wp:positionV relativeFrom="paragraph">
                  <wp:posOffset>-181610</wp:posOffset>
                </wp:positionV>
                <wp:extent cx="1898650" cy="324485"/>
                <wp:effectExtent l="4445" t="4445" r="20955" b="13970"/>
                <wp:wrapNone/>
                <wp:docPr id="16" name="文本框 16"/>
                <wp:cNvGraphicFramePr/>
                <a:graphic xmlns:a="http://schemas.openxmlformats.org/drawingml/2006/main">
                  <a:graphicData uri="http://schemas.microsoft.com/office/word/2010/wordprocessingShape">
                    <wps:wsp>
                      <wps:cNvSpPr txBox="1"/>
                      <wps:spPr>
                        <a:xfrm>
                          <a:off x="2189480" y="4370705"/>
                          <a:ext cx="1898650" cy="3244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强烈自杀意念或未遂处理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85pt;margin-top:-14.3pt;height:25.55pt;width:149.5pt;z-index:251670528;mso-width-relative:page;mso-height-relative:page;" fillcolor="#FFFFFF [3201]" filled="t" stroked="t" coordsize="21600,21600" o:gfxdata="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Hd1m11gAAAAkBAAAPAAAAAAAAAAEAIAAAACIAAABkcnMvZG93bnJldi54bWxQSwECFAAU&#10;AAAACACHTuJAfUyjxWUCAADFBAAADgAAAAAAAAABACAAAAAlAQAAZHJzL2Uyb0RvYy54bWxQSwUG&#10;AAAAAAYABgBZAQAA/AUAA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强烈自杀意念或未遂处理</w:t>
                      </w:r>
                    </w:p>
                  </w:txbxContent>
                </v:textbox>
              </v:shape>
            </w:pict>
          </mc:Fallback>
        </mc:AlternateContent>
      </w:r>
      <w:r>
        <w:rPr>
          <w:color w:val="auto"/>
          <w:sz w:val="21"/>
          <w:szCs w:val="21"/>
          <w:highlight w:val="none"/>
        </w:rPr>
        <mc:AlternateContent>
          <mc:Choice Requires="wps">
            <w:drawing>
              <wp:anchor distT="0" distB="0" distL="114300" distR="114300" simplePos="0" relativeHeight="251688960" behindDoc="0" locked="0" layoutInCell="1" allowOverlap="1">
                <wp:simplePos x="0" y="0"/>
                <wp:positionH relativeFrom="column">
                  <wp:posOffset>1360805</wp:posOffset>
                </wp:positionH>
                <wp:positionV relativeFrom="paragraph">
                  <wp:posOffset>160655</wp:posOffset>
                </wp:positionV>
                <wp:extent cx="6350" cy="438150"/>
                <wp:effectExtent l="47625" t="0" r="60325" b="0"/>
                <wp:wrapNone/>
                <wp:docPr id="23" name="直接箭头连接符 23"/>
                <wp:cNvGraphicFramePr/>
                <a:graphic xmlns:a="http://schemas.openxmlformats.org/drawingml/2006/main">
                  <a:graphicData uri="http://schemas.microsoft.com/office/word/2010/wordprocessingShape">
                    <wps:wsp>
                      <wps:cNvCnPr/>
                      <wps:spPr>
                        <a:xfrm flipH="1">
                          <a:off x="3008630" y="4464685"/>
                          <a:ext cx="6350" cy="438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07.15pt;margin-top:12.65pt;height:34.5pt;width:0.5pt;z-index:251688960;mso-width-relative:page;mso-height-relative:page;" filled="f" stroked="t" coordsize="21600,21600" o:gfxdata="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E8wn61gAAAAkBAAAPAAAAAAAAAAEAIAAA&#10;ACIAAABkcnMvZG93bnJldi54bWxQSwECFAAUAAAACACHTuJAYs8yLA4CAADhAwAADgAAAAAAAAAB&#10;ACAAAAAlAQAAZHJzL2Uyb0RvYy54bWxQSwUGAAAAAAYABgBZAQAApQUAAAAA&#10;">
                <v:fill on="f" focussize="0,0"/>
                <v:stroke color="#000000 [3213]"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73600" behindDoc="0" locked="0" layoutInCell="1" allowOverlap="1">
                <wp:simplePos x="0" y="0"/>
                <wp:positionH relativeFrom="column">
                  <wp:posOffset>3025140</wp:posOffset>
                </wp:positionH>
                <wp:positionV relativeFrom="paragraph">
                  <wp:posOffset>-99695</wp:posOffset>
                </wp:positionV>
                <wp:extent cx="1436370" cy="501015"/>
                <wp:effectExtent l="4445" t="4445" r="6985" b="8890"/>
                <wp:wrapNone/>
                <wp:docPr id="17" name="文本框 17"/>
                <wp:cNvGraphicFramePr/>
                <a:graphic xmlns:a="http://schemas.openxmlformats.org/drawingml/2006/main">
                  <a:graphicData uri="http://schemas.microsoft.com/office/word/2010/wordprocessingShape">
                    <wps:wsp>
                      <wps:cNvSpPr txBox="1"/>
                      <wps:spPr>
                        <a:xfrm>
                          <a:off x="5110480" y="4966335"/>
                          <a:ext cx="1436370" cy="5010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学生工作处心理健康教育中心进行评估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2pt;margin-top:-7.85pt;height:39.45pt;width:113.1pt;z-index:251673600;mso-width-relative:page;mso-height-relative:page;" fillcolor="#FFFFFF [3201]" filled="t" stroked="t" coordsize="21600,21600" o:gfxdata="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L8OmzYAAAACgEAAA8AAAAAAAAAAQAgAAAAIgAAAGRycy9kb3ducmV2LnhtbFBLAQIU&#10;ABQAAAAIAIdO4kBFB0hMZQIAAMUEAAAOAAAAAAAAAAEAIAAAACcBAABkcnMvZTJvRG9jLnhtbFBL&#10;BQYAAAAABgAGAFkBAAD+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学生工作处心理健康教育中心进行评估</w:t>
                      </w:r>
                    </w:p>
                  </w:txbxContent>
                </v:textbox>
              </v:shape>
            </w:pict>
          </mc:Fallback>
        </mc:AlternateContent>
      </w:r>
      <w:r>
        <w:rPr>
          <w:color w:val="auto"/>
          <w:sz w:val="21"/>
          <w:szCs w:val="21"/>
          <w:highlight w:val="none"/>
        </w:rPr>
        <mc:AlternateContent>
          <mc:Choice Requires="wps">
            <w:drawing>
              <wp:anchor distT="0" distB="0" distL="114300" distR="114300" simplePos="0" relativeHeight="251671552" behindDoc="0" locked="0" layoutInCell="1" allowOverlap="1">
                <wp:simplePos x="0" y="0"/>
                <wp:positionH relativeFrom="column">
                  <wp:posOffset>599440</wp:posOffset>
                </wp:positionH>
                <wp:positionV relativeFrom="paragraph">
                  <wp:posOffset>-112395</wp:posOffset>
                </wp:positionV>
                <wp:extent cx="1470025" cy="520065"/>
                <wp:effectExtent l="4445" t="4445" r="11430" b="8890"/>
                <wp:wrapNone/>
                <wp:docPr id="18" name="文本框 18"/>
                <wp:cNvGraphicFramePr/>
                <a:graphic xmlns:a="http://schemas.openxmlformats.org/drawingml/2006/main">
                  <a:graphicData uri="http://schemas.microsoft.com/office/word/2010/wordprocessingShape">
                    <wps:wsp>
                      <wps:cNvSpPr txBox="1"/>
                      <wps:spPr>
                        <a:xfrm>
                          <a:off x="2506980" y="5074285"/>
                          <a:ext cx="1470025" cy="5200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马上将学生转移至安全环境并24小时监护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2pt;margin-top:-8.85pt;height:40.95pt;width:115.75pt;z-index:251671552;mso-width-relative:page;mso-height-relative:page;" fillcolor="#FFFFFF [3201]" filled="t" stroked="t" coordsize="21600,21600" o:gfxdata="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zf5A9cAAAAJAQAADwAAAAAAAAABACAAAAAiAAAAZHJzL2Rvd25yZXYueG1sUEsBAhQA&#10;FAAAAAgAh07iQNzXqU1lAgAAxQQAAA4AAAAAAAAAAQAgAAAAJgEAAGRycy9lMm9Eb2MueG1sUEsF&#10;BgAAAAAGAAYAWQEAAP0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马上将学生转移至安全环境并24小时监护</w:t>
                      </w:r>
                    </w:p>
                  </w:txbxContent>
                </v:textbox>
              </v:shape>
            </w:pict>
          </mc:Fallback>
        </mc:AlternateContent>
      </w:r>
      <w:r>
        <w:rPr>
          <w:color w:val="auto"/>
          <w:sz w:val="21"/>
          <w:szCs w:val="21"/>
          <w:highlight w:val="none"/>
        </w:rPr>
        <mc:AlternateContent>
          <mc:Choice Requires="wps">
            <w:drawing>
              <wp:anchor distT="0" distB="0" distL="114300" distR="114300" simplePos="0" relativeHeight="251691008" behindDoc="0" locked="0" layoutInCell="1" allowOverlap="1">
                <wp:simplePos x="0" y="0"/>
                <wp:positionH relativeFrom="column">
                  <wp:posOffset>2078990</wp:posOffset>
                </wp:positionH>
                <wp:positionV relativeFrom="paragraph">
                  <wp:posOffset>144780</wp:posOffset>
                </wp:positionV>
                <wp:extent cx="946150" cy="6350"/>
                <wp:effectExtent l="0" t="43180" r="6350" b="64770"/>
                <wp:wrapNone/>
                <wp:docPr id="25" name="直接箭头连接符 25"/>
                <wp:cNvGraphicFramePr/>
                <a:graphic xmlns:a="http://schemas.openxmlformats.org/drawingml/2006/main">
                  <a:graphicData uri="http://schemas.microsoft.com/office/word/2010/wordprocessingShape">
                    <wps:wsp>
                      <wps:cNvCnPr>
                        <a:endCxn id="17" idx="1"/>
                      </wps:cNvCnPr>
                      <wps:spPr>
                        <a:xfrm>
                          <a:off x="3472180" y="5153660"/>
                          <a:ext cx="946150" cy="63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63.7pt;margin-top:11.4pt;height:0.5pt;width:74.5pt;z-index:251691008;mso-width-relative:page;mso-height-relative:page;" filled="f" stroked="t" coordsize="21600,21600" o:gfxdata="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LlDDjXAAAACQEAAA8AAAAAAAAAAQAgAAAAIgAAAGRycy9k&#10;b3ducmV2LnhtbFBLAQIUABQAAAAIAIdO4kBbFfy1PAIAAEoEAAAOAAAAAAAAAAEAIAAAACYBAABk&#10;cnMvZTJvRG9jLnhtbFBLBQYAAAAABgAGAFkBAADUBQ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93056" behindDoc="0" locked="0" layoutInCell="1" allowOverlap="1">
                <wp:simplePos x="0" y="0"/>
                <wp:positionH relativeFrom="column">
                  <wp:posOffset>4370705</wp:posOffset>
                </wp:positionH>
                <wp:positionV relativeFrom="paragraph">
                  <wp:posOffset>91440</wp:posOffset>
                </wp:positionV>
                <wp:extent cx="6350" cy="330200"/>
                <wp:effectExtent l="44450" t="0" r="63500" b="12700"/>
                <wp:wrapNone/>
                <wp:docPr id="27" name="直接箭头连接符 27"/>
                <wp:cNvGraphicFramePr/>
                <a:graphic xmlns:a="http://schemas.openxmlformats.org/drawingml/2006/main">
                  <a:graphicData uri="http://schemas.microsoft.com/office/word/2010/wordprocessingShape">
                    <wps:wsp>
                      <wps:cNvCnPr/>
                      <wps:spPr>
                        <a:xfrm>
                          <a:off x="6012180" y="5427345"/>
                          <a:ext cx="6350" cy="330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4.15pt;margin-top:7.2pt;height:26pt;width:0.5pt;z-index:251693056;mso-width-relative:page;mso-height-relative:page;" filled="f" stroked="t" coordsize="21600,21600" o:gfxdata="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guLGdcAAAAJAQAADwAAAAAAAAABACAAAAAiAAAA&#10;ZHJzL2Rvd25yZXYueG1sUEsBAhQAFAAAAAgAh07iQEghGdwIAgAA1wMAAA4AAAAAAAAAAQAgAAAA&#10;JgEAAGRycy9lMm9Eb2MueG1sUEsFBgAAAAAGAAYAWQEAAKAFAAAAAA==&#10;">
                <v:fill on="f" focussize="0,0"/>
                <v:stroke color="#000000 [3213]"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92032" behindDoc="0" locked="0" layoutInCell="1" allowOverlap="1">
                <wp:simplePos x="0" y="0"/>
                <wp:positionH relativeFrom="column">
                  <wp:posOffset>3240405</wp:posOffset>
                </wp:positionH>
                <wp:positionV relativeFrom="paragraph">
                  <wp:posOffset>97790</wp:posOffset>
                </wp:positionV>
                <wp:extent cx="6350" cy="317500"/>
                <wp:effectExtent l="47625" t="0" r="60325" b="6350"/>
                <wp:wrapNone/>
                <wp:docPr id="26" name="直接箭头连接符 26"/>
                <wp:cNvGraphicFramePr/>
                <a:graphic xmlns:a="http://schemas.openxmlformats.org/drawingml/2006/main">
                  <a:graphicData uri="http://schemas.microsoft.com/office/word/2010/wordprocessingShape">
                    <wps:wsp>
                      <wps:cNvCnPr/>
                      <wps:spPr>
                        <a:xfrm flipH="1">
                          <a:off x="4888230" y="5446395"/>
                          <a:ext cx="6350" cy="317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55.15pt;margin-top:7.7pt;height:25pt;width:0.5pt;z-index:251692032;mso-width-relative:page;mso-height-relative:page;" filled="f" stroked="t" coordsize="21600,21600" o:gfxdata="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sLz0d1gAAAAkBAAAPAAAAAAAAAAEA&#10;IAAAACIAAABkcnMvZG93bnJldi54bWxQSwECFAAUAAAACACHTuJAWqK3HhECAADhAwAADgAAAAAA&#10;AAABACAAAAAlAQAAZHJzL2Uyb0RvYy54bWxQSwUGAAAAAAYABgBZAQAAqAUAAAAA&#10;">
                <v:fill on="f" focussize="0,0"/>
                <v:stroke color="#000000 [3213]"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89984" behindDoc="0" locked="0" layoutInCell="1" allowOverlap="1">
                <wp:simplePos x="0" y="0"/>
                <wp:positionH relativeFrom="column">
                  <wp:posOffset>1367155</wp:posOffset>
                </wp:positionH>
                <wp:positionV relativeFrom="paragraph">
                  <wp:posOffset>103505</wp:posOffset>
                </wp:positionV>
                <wp:extent cx="0" cy="356235"/>
                <wp:effectExtent l="48895" t="0" r="65405" b="5715"/>
                <wp:wrapNone/>
                <wp:docPr id="24" name="直接箭头连接符 24"/>
                <wp:cNvGraphicFramePr/>
                <a:graphic xmlns:a="http://schemas.openxmlformats.org/drawingml/2006/main">
                  <a:graphicData uri="http://schemas.microsoft.com/office/word/2010/wordprocessingShape">
                    <wps:wsp>
                      <wps:cNvCnPr/>
                      <wps:spPr>
                        <a:xfrm>
                          <a:off x="2494280" y="541655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07.65pt;margin-top:8.15pt;height:28.05pt;width:0pt;z-index:251689984;mso-width-relative:page;mso-height-relative:page;" filled="f" stroked="t" coordsize="21600,21600" o:gfxdata="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Vb0bNYAAAAJAQAADwAAAAAAAAABACAAAAAiAAAAZHJzL2Rvd25yZXYueG1sUEsBAhQAFAAAAAgA&#10;h07iQGMuvD8nAgAAHwQAAA4AAAAAAAAAAQAgAAAAJQEAAGRycy9lMm9Eb2MueG1sUEsFBgAAAAAG&#10;AAYAWQEAAL4FA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72576" behindDoc="0" locked="0" layoutInCell="1" allowOverlap="1">
                <wp:simplePos x="0" y="0"/>
                <wp:positionH relativeFrom="column">
                  <wp:posOffset>370840</wp:posOffset>
                </wp:positionH>
                <wp:positionV relativeFrom="paragraph">
                  <wp:posOffset>113030</wp:posOffset>
                </wp:positionV>
                <wp:extent cx="1866265" cy="508000"/>
                <wp:effectExtent l="4445" t="4445" r="15240" b="20955"/>
                <wp:wrapNone/>
                <wp:docPr id="19" name="文本框 19"/>
                <wp:cNvGraphicFramePr/>
                <a:graphic xmlns:a="http://schemas.openxmlformats.org/drawingml/2006/main">
                  <a:graphicData uri="http://schemas.microsoft.com/office/word/2010/wordprocessingShape">
                    <wps:wsp>
                      <wps:cNvSpPr txBox="1"/>
                      <wps:spPr>
                        <a:xfrm>
                          <a:off x="2640330" y="6039485"/>
                          <a:ext cx="1866265" cy="508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通知家长、监护人，学生在家长或监护人陪同下转诊就医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pt;margin-top:8.9pt;height:40pt;width:146.95pt;z-index:251672576;mso-width-relative:page;mso-height-relative:page;" fillcolor="#FFFFFF [3201]" filled="t" stroked="t" coordsize="21600,21600" o:gfxdata="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ZXLPf1QAAAAgBAAAPAAAAAAAAAAEAIAAAACIAAABkcnMvZG93bnJldi54bWxQSwECFAAU&#10;AAAACACHTuJAA0fBxWYCAADFBAAADgAAAAAAAAABACAAAAAkAQAAZHJzL2Uyb0RvYy54bWxQSwUG&#10;AAAAAAYABgBZAQAA/AUAAAAA&#10;">
                <v:fill on="t" focussize="0,0"/>
                <v:stroke weight="0.5pt" color="#000000 [3204]" joinstyle="round"/>
                <v:imagedata o:title=""/>
                <o:lock v:ext="edit" aspectratio="f"/>
                <v:textbox>
                  <w:txbxContent>
                    <w:p>
                      <w:pPr>
                        <w:jc w:val="center"/>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通知家长、监护人，学生在家长或监护人陪同下转诊就医</w:t>
                      </w:r>
                    </w:p>
                  </w:txbxContent>
                </v:textbox>
              </v:shape>
            </w:pict>
          </mc:Fallback>
        </mc:AlternateContent>
      </w:r>
      <w:r>
        <w:rPr>
          <w:color w:val="auto"/>
          <w:sz w:val="21"/>
          <w:szCs w:val="21"/>
          <w:highlight w:val="none"/>
        </w:rPr>
        <mc:AlternateContent>
          <mc:Choice Requires="wps">
            <w:drawing>
              <wp:anchor distT="0" distB="0" distL="114300" distR="114300" simplePos="0" relativeHeight="251675648" behindDoc="0" locked="0" layoutInCell="1" allowOverlap="1">
                <wp:simplePos x="0" y="0"/>
                <wp:positionH relativeFrom="column">
                  <wp:posOffset>4199255</wp:posOffset>
                </wp:positionH>
                <wp:positionV relativeFrom="paragraph">
                  <wp:posOffset>128905</wp:posOffset>
                </wp:positionV>
                <wp:extent cx="990600" cy="292100"/>
                <wp:effectExtent l="4445" t="4445" r="14605" b="8255"/>
                <wp:wrapNone/>
                <wp:docPr id="20" name="文本框 20"/>
                <wp:cNvGraphicFramePr/>
                <a:graphic xmlns:a="http://schemas.openxmlformats.org/drawingml/2006/main">
                  <a:graphicData uri="http://schemas.microsoft.com/office/word/2010/wordprocessingShape">
                    <wps:wsp>
                      <wps:cNvSpPr txBox="1"/>
                      <wps:spPr>
                        <a:xfrm>
                          <a:off x="6221730" y="6274435"/>
                          <a:ext cx="990600" cy="292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非心理疾病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65pt;margin-top:10.15pt;height:23pt;width:78pt;z-index:251675648;mso-width-relative:page;mso-height-relative:page;" fillcolor="#FFFFFF [3201]" filled="t" stroked="t" coordsize="21600,21600" o:gfxdata="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xxto6tQAAAAJAQAADwAAAAAAAAABACAAAAAiAAAAZHJzL2Rvd25yZXYueG1sUEsBAhQAFAAAAAgA&#10;h07iQAlpkiNiAgAAxAQAAA4AAAAAAAAAAQAgAAAAIwEAAGRycy9lMm9Eb2MueG1sUEsFBgAAAAAG&#10;AAYAWQEAAPc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非心理疾病</w:t>
                      </w:r>
                    </w:p>
                  </w:txbxContent>
                </v:textbox>
              </v:shape>
            </w:pict>
          </mc:Fallback>
        </mc:AlternateContent>
      </w:r>
      <w:r>
        <w:rPr>
          <w:color w:val="auto"/>
          <w:sz w:val="21"/>
          <w:szCs w:val="21"/>
          <w:highlight w:val="none"/>
        </w:rPr>
        <mc:AlternateContent>
          <mc:Choice Requires="wps">
            <w:drawing>
              <wp:anchor distT="0" distB="0" distL="114300" distR="114300" simplePos="0" relativeHeight="251700224" behindDoc="0" locked="0" layoutInCell="1" allowOverlap="1">
                <wp:simplePos x="0" y="0"/>
                <wp:positionH relativeFrom="column">
                  <wp:posOffset>2235200</wp:posOffset>
                </wp:positionH>
                <wp:positionV relativeFrom="paragraph">
                  <wp:posOffset>277495</wp:posOffset>
                </wp:positionV>
                <wp:extent cx="485775" cy="9525"/>
                <wp:effectExtent l="0" t="41275" r="9525" b="63500"/>
                <wp:wrapNone/>
                <wp:docPr id="34" name="直接箭头连接符 34"/>
                <wp:cNvGraphicFramePr/>
                <a:graphic xmlns:a="http://schemas.openxmlformats.org/drawingml/2006/main">
                  <a:graphicData uri="http://schemas.microsoft.com/office/word/2010/wordprocessingShape">
                    <wps:wsp>
                      <wps:cNvCnPr/>
                      <wps:spPr>
                        <a:xfrm flipH="1">
                          <a:off x="3224530" y="5951855"/>
                          <a:ext cx="485775" cy="95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76pt;margin-top:21.85pt;height:0.75pt;width:38.25pt;z-index:251700224;mso-width-relative:page;mso-height-relative:page;" filled="f" stroked="t" coordsize="21600,21600" o:gfxdata="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6rASHYAAAACQEAAA8AAAAAAAAAAQAg&#10;AAAAIgAAAGRycy9kb3ducmV2LnhtbFBLAQIUABQAAAAIAIdO4kDRvfm0DgIAAOEDAAAOAAAAAAAA&#10;AAEAIAAAACcBAABkcnMvZTJvRG9jLnhtbFBLBQYAAAAABgAGAFkBAACnBQAAAAA=&#10;">
                <v:fill on="f" focussize="0,0"/>
                <v:stroke color="#000000 [3213]"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74624" behindDoc="0" locked="0" layoutInCell="1" allowOverlap="1">
                <wp:simplePos x="0" y="0"/>
                <wp:positionH relativeFrom="column">
                  <wp:posOffset>2748280</wp:posOffset>
                </wp:positionH>
                <wp:positionV relativeFrom="paragraph">
                  <wp:posOffset>129540</wp:posOffset>
                </wp:positionV>
                <wp:extent cx="1136650" cy="295275"/>
                <wp:effectExtent l="4445" t="4445" r="20955" b="5080"/>
                <wp:wrapNone/>
                <wp:docPr id="21" name="文本框 21"/>
                <wp:cNvGraphicFramePr/>
                <a:graphic xmlns:a="http://schemas.openxmlformats.org/drawingml/2006/main">
                  <a:graphicData uri="http://schemas.microsoft.com/office/word/2010/wordprocessingShape">
                    <wps:wsp>
                      <wps:cNvSpPr txBox="1"/>
                      <wps:spPr>
                        <a:xfrm>
                          <a:off x="5053330" y="6077585"/>
                          <a:ext cx="1136650" cy="2952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疑似心理疾病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4pt;margin-top:10.2pt;height:23.25pt;width:89.5pt;z-index:251674624;mso-width-relative:page;mso-height-relative:page;" fillcolor="#FFFFFF [3201]" filled="t" stroked="t" coordsize="21600,21600" o:gfxdata="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qUvEzVAAAACQEAAA8AAAAAAAAAAQAgAAAAIgAAAGRycy9kb3ducmV2LnhtbFBLAQIUABQA&#10;AAAIAIdO4kBMkXi0ZQIAAMUEAAAOAAAAAAAAAAEAIAAAACQBAABkcnMvZTJvRG9jLnhtbFBLBQYA&#10;AAAABgAGAFkBAAD7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疑似心理疾病</w:t>
                      </w:r>
                    </w:p>
                  </w:txbxContent>
                </v:textbox>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95104" behindDoc="0" locked="0" layoutInCell="1" allowOverlap="1">
                <wp:simplePos x="0" y="0"/>
                <wp:positionH relativeFrom="column">
                  <wp:posOffset>4678680</wp:posOffset>
                </wp:positionH>
                <wp:positionV relativeFrom="paragraph">
                  <wp:posOffset>88265</wp:posOffset>
                </wp:positionV>
                <wp:extent cx="0" cy="279400"/>
                <wp:effectExtent l="48895" t="0" r="65405" b="6350"/>
                <wp:wrapNone/>
                <wp:docPr id="29" name="直接箭头连接符 29"/>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68.4pt;margin-top:6.95pt;height:22pt;width:0pt;z-index:251695104;mso-width-relative:page;mso-height-relative:page;" filled="f" stroked="t" coordsize="21600,21600" o:gfxdata="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ON2qDXAAAACQEAAA8A&#10;AAAAAAAAAQAgAAAAIgAAAGRycy9kb3ducmV2LnhtbFBLAQIUABQAAAAIAIdO4kC2esd7GAIAABME&#10;AAAOAAAAAAAAAAEAIAAAACYBAABkcnMvZTJvRG9jLnhtbFBLBQYAAAAABgAGAFkBAACwBQ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94080" behindDoc="0" locked="0" layoutInCell="1" allowOverlap="1">
                <wp:simplePos x="0" y="0"/>
                <wp:positionH relativeFrom="column">
                  <wp:posOffset>3246755</wp:posOffset>
                </wp:positionH>
                <wp:positionV relativeFrom="paragraph">
                  <wp:posOffset>85090</wp:posOffset>
                </wp:positionV>
                <wp:extent cx="0" cy="279400"/>
                <wp:effectExtent l="48895" t="0" r="65405" b="6350"/>
                <wp:wrapNone/>
                <wp:docPr id="28" name="直接箭头连接符 28"/>
                <wp:cNvGraphicFramePr/>
                <a:graphic xmlns:a="http://schemas.openxmlformats.org/drawingml/2006/main">
                  <a:graphicData uri="http://schemas.microsoft.com/office/word/2010/wordprocessingShape">
                    <wps:wsp>
                      <wps:cNvCnPr/>
                      <wps:spPr>
                        <a:xfrm>
                          <a:off x="5713730" y="6100445"/>
                          <a:ext cx="0" cy="2794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55.65pt;margin-top:6.7pt;height:22pt;width:0pt;z-index:251694080;mso-width-relative:page;mso-height-relative:page;" filled="f" stroked="t" coordsize="21600,21600" o:gfxdata="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vJYmE1gAAAAkBAAAPAAAAAAAAAAEAIAAAACIAAABkcnMvZG93bnJldi54bWxQSwECFAAUAAAA&#10;CACHTuJA35l14ykCAAAfBAAADgAAAAAAAAABACAAAAAlAQAAZHJzL2Uyb0RvYy54bWxQSwUGAAAA&#10;AAYABgBZAQAAwAU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702272" behindDoc="0" locked="0" layoutInCell="1" allowOverlap="1">
                <wp:simplePos x="0" y="0"/>
                <wp:positionH relativeFrom="column">
                  <wp:posOffset>1786255</wp:posOffset>
                </wp:positionH>
                <wp:positionV relativeFrom="paragraph">
                  <wp:posOffset>277495</wp:posOffset>
                </wp:positionV>
                <wp:extent cx="0" cy="356235"/>
                <wp:effectExtent l="48895" t="0" r="65405" b="5715"/>
                <wp:wrapNone/>
                <wp:docPr id="36" name="直接箭头连接符 36"/>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40.65pt;margin-top:21.85pt;height:28.05pt;width:0pt;z-index:251702272;mso-width-relative:page;mso-height-relative:page;" filled="f" stroked="t" coordsize="21600,21600" o:gfxdata="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jA63LXAAAACQEAAA8A&#10;AAAAAAAAAQAgAAAAIgAAAGRycy9kb3ducmV2LnhtbFBLAQIUABQAAAAIAIdO4kAfLOF9GAIAABME&#10;AAAOAAAAAAAAAAEAIAAAACYBAABkcnMvZTJvRG9jLnhtbFBLBQYAAAAABgAGAFkBAACwBQ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701248" behindDoc="0" locked="0" layoutInCell="1" allowOverlap="1">
                <wp:simplePos x="0" y="0"/>
                <wp:positionH relativeFrom="column">
                  <wp:posOffset>881380</wp:posOffset>
                </wp:positionH>
                <wp:positionV relativeFrom="paragraph">
                  <wp:posOffset>264795</wp:posOffset>
                </wp:positionV>
                <wp:extent cx="0" cy="356235"/>
                <wp:effectExtent l="48895" t="0" r="65405" b="5715"/>
                <wp:wrapNone/>
                <wp:docPr id="35" name="直接箭头连接符 35"/>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69.4pt;margin-top:20.85pt;height:28.05pt;width:0pt;z-index:251701248;mso-width-relative:page;mso-height-relative:page;" filled="f" stroked="t" coordsize="21600,21600" o:gfxdata="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lO8u9cAAAAJAQAADwAA&#10;AAAAAAABACAAAAAiAAAAZHJzL2Rvd25yZXYueG1sUEsBAhQAFAAAAAgAh07iQEzpXcgXAgAAEwQA&#10;AA4AAAAAAAAAAQAgAAAAJgEAAGRycy9lMm9Eb2MueG1sUEsFBgAAAAAGAAYAWQEAAK8FA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77696" behindDoc="0" locked="0" layoutInCell="1" allowOverlap="1">
                <wp:simplePos x="0" y="0"/>
                <wp:positionH relativeFrom="column">
                  <wp:posOffset>4199255</wp:posOffset>
                </wp:positionH>
                <wp:positionV relativeFrom="paragraph">
                  <wp:posOffset>47625</wp:posOffset>
                </wp:positionV>
                <wp:extent cx="1022985" cy="311150"/>
                <wp:effectExtent l="4445" t="5080" r="20320" b="7620"/>
                <wp:wrapNone/>
                <wp:docPr id="22" name="文本框 22"/>
                <wp:cNvGraphicFramePr/>
                <a:graphic xmlns:a="http://schemas.openxmlformats.org/drawingml/2006/main">
                  <a:graphicData uri="http://schemas.microsoft.com/office/word/2010/wordprocessingShape">
                    <wps:wsp>
                      <wps:cNvSpPr txBox="1"/>
                      <wps:spPr>
                        <a:xfrm>
                          <a:off x="6418580" y="7437755"/>
                          <a:ext cx="1022985" cy="3111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一般心理问题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65pt;margin-top:3.75pt;height:24.5pt;width:80.55pt;z-index:251677696;mso-width-relative:page;mso-height-relative:page;" fillcolor="#FFFFFF [3201]" filled="t" stroked="t" coordsize="21600,21600" o:gfxdata="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VVvKC1QAAAAgBAAAPAAAAAAAAAAEAIAAAACIAAABkcnMvZG93bnJldi54bWxQSwECFAAU&#10;AAAACACHTuJAUUnhIGYCAADFBAAADgAAAAAAAAABACAAAAAkAQAAZHJzL2Uyb0RvYy54bWxQSwUG&#10;AAAAAAYABgBZAQAA/AU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一般心理问题</w:t>
                      </w:r>
                    </w:p>
                  </w:txbxContent>
                </v:textbox>
              </v:shape>
            </w:pict>
          </mc:Fallback>
        </mc:AlternateContent>
      </w:r>
      <w:r>
        <w:rPr>
          <w:color w:val="auto"/>
          <w:sz w:val="21"/>
          <w:szCs w:val="21"/>
          <w:highlight w:val="none"/>
        </w:rPr>
        <mc:AlternateContent>
          <mc:Choice Requires="wps">
            <w:drawing>
              <wp:anchor distT="0" distB="0" distL="114300" distR="114300" simplePos="0" relativeHeight="251676672" behindDoc="0" locked="0" layoutInCell="1" allowOverlap="1">
                <wp:simplePos x="0" y="0"/>
                <wp:positionH relativeFrom="column">
                  <wp:posOffset>2767330</wp:posOffset>
                </wp:positionH>
                <wp:positionV relativeFrom="paragraph">
                  <wp:posOffset>73025</wp:posOffset>
                </wp:positionV>
                <wp:extent cx="1016000" cy="273685"/>
                <wp:effectExtent l="4445" t="4445" r="8255" b="7620"/>
                <wp:wrapNone/>
                <wp:docPr id="30" name="文本框 30"/>
                <wp:cNvGraphicFramePr/>
                <a:graphic xmlns:a="http://schemas.openxmlformats.org/drawingml/2006/main">
                  <a:graphicData uri="http://schemas.microsoft.com/office/word/2010/wordprocessingShape">
                    <wps:wsp>
                      <wps:cNvSpPr txBox="1"/>
                      <wps:spPr>
                        <a:xfrm>
                          <a:off x="4970780" y="7456805"/>
                          <a:ext cx="1016000" cy="2736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严重心理问题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9pt;margin-top:5.75pt;height:21.55pt;width:80pt;z-index:251676672;mso-width-relative:page;mso-height-relative:page;" fillcolor="#FFFFFF [3201]" filled="t" stroked="t" coordsize="21600,21600" o:gfxdata="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70MdbVAAAACQEAAA8AAAAAAAAAAQAgAAAAIgAAAGRycy9kb3ducmV2LnhtbFBLAQIUABQA&#10;AAAIAIdO4kDHVLW6ZQIAAMUEAAAOAAAAAAAAAAEAIAAAACQBAABkcnMvZTJvRG9jLnhtbFBLBQYA&#10;AAAABgAGAFkBAAD7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严重心理问题</w:t>
                      </w:r>
                    </w:p>
                  </w:txbxContent>
                </v:textbox>
              </v:shape>
            </w:pict>
          </mc:Fallback>
        </mc:AlternateContent>
      </w:r>
      <w:r>
        <w:rPr>
          <w:color w:val="auto"/>
          <w:sz w:val="21"/>
          <w:szCs w:val="21"/>
          <w:highlight w:val="none"/>
        </w:rPr>
        <mc:AlternateContent>
          <mc:Choice Requires="wps">
            <w:drawing>
              <wp:anchor distT="0" distB="0" distL="114300" distR="114300" simplePos="0" relativeHeight="251679744" behindDoc="0" locked="0" layoutInCell="1" allowOverlap="1">
                <wp:simplePos x="0" y="0"/>
                <wp:positionH relativeFrom="column">
                  <wp:posOffset>1373505</wp:posOffset>
                </wp:positionH>
                <wp:positionV relativeFrom="paragraph">
                  <wp:posOffset>307975</wp:posOffset>
                </wp:positionV>
                <wp:extent cx="876935" cy="476250"/>
                <wp:effectExtent l="4445" t="4445" r="13970" b="14605"/>
                <wp:wrapNone/>
                <wp:docPr id="31" name="文本框 31"/>
                <wp:cNvGraphicFramePr/>
                <a:graphic xmlns:a="http://schemas.openxmlformats.org/drawingml/2006/main">
                  <a:graphicData uri="http://schemas.microsoft.com/office/word/2010/wordprocessingShape">
                    <wps:wsp>
                      <wps:cNvSpPr txBox="1"/>
                      <wps:spPr>
                        <a:xfrm>
                          <a:off x="2710180" y="7088505"/>
                          <a:ext cx="876935" cy="4762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不需要休学且坚持学习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15pt;margin-top:24.25pt;height:37.5pt;width:69.05pt;z-index:251679744;mso-width-relative:page;mso-height-relative:page;" fillcolor="#FFFFFF [3201]" filled="t" stroked="t" coordsize="21600,21600" o:gfxdata="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zruojXAAAACgEAAA8AAAAAAAAAAQAgAAAAIgAAAGRycy9kb3ducmV2LnhtbFBLAQIU&#10;ABQAAAAIAIdO4kASuQUWZgIAAMQEAAAOAAAAAAAAAAEAIAAAACYBAABkcnMvZTJvRG9jLnhtbFBL&#10;BQYAAAAABgAGAFkBAAD+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不需要休学且坚持学习</w:t>
                      </w:r>
                    </w:p>
                  </w:txbxContent>
                </v:textbox>
              </v:shape>
            </w:pict>
          </mc:Fallback>
        </mc:AlternateContent>
      </w:r>
      <w:r>
        <w:rPr>
          <w:color w:val="auto"/>
          <w:sz w:val="21"/>
          <w:szCs w:val="21"/>
          <w:highlight w:val="none"/>
        </w:rPr>
        <mc:AlternateContent>
          <mc:Choice Requires="wps">
            <w:drawing>
              <wp:anchor distT="0" distB="0" distL="114300" distR="114300" simplePos="0" relativeHeight="251678720" behindDoc="0" locked="0" layoutInCell="1" allowOverlap="1">
                <wp:simplePos x="0" y="0"/>
                <wp:positionH relativeFrom="column">
                  <wp:posOffset>455930</wp:posOffset>
                </wp:positionH>
                <wp:positionV relativeFrom="paragraph">
                  <wp:posOffset>304800</wp:posOffset>
                </wp:positionV>
                <wp:extent cx="742950" cy="457200"/>
                <wp:effectExtent l="4445" t="4445" r="14605" b="14605"/>
                <wp:wrapNone/>
                <wp:docPr id="32" name="文本框 32"/>
                <wp:cNvGraphicFramePr/>
                <a:graphic xmlns:a="http://schemas.openxmlformats.org/drawingml/2006/main">
                  <a:graphicData uri="http://schemas.microsoft.com/office/word/2010/wordprocessingShape">
                    <wps:wsp>
                      <wps:cNvSpPr txBox="1"/>
                      <wps:spPr>
                        <a:xfrm>
                          <a:off x="1471930" y="7120255"/>
                          <a:ext cx="742950" cy="457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ascii="方正仿宋_GBK" w:hAnsi="方正仿宋_GBK" w:eastAsia="方正仿宋_GBK" w:cs="方正仿宋_GBK"/>
                                <w:lang w:val="en-US" w:eastAsia="zh-CN"/>
                              </w:rPr>
                              <w:t>确诊为精神类疾病</w:t>
                            </w:r>
                            <w:r>
                              <w:rPr>
                                <w:rFonts w:hint="eastAsia"/>
                                <w:lang w:val="en-US" w:eastAsia="zh-CN"/>
                              </w:rPr>
                              <w:t>理障碍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pt;margin-top:24pt;height:36pt;width:58.5pt;z-index:251678720;mso-width-relative:page;mso-height-relative:page;" fillcolor="#FFFFFF [3201]" filled="t" stroked="t" coordsize="21600,21600" o:gfxdata="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4&#10;iFOS1AAAAAkBAAAPAAAAAAAAAAEAIAAAACIAAABkcnMvZG93bnJldi54bWxQSwECFAAUAAAACACH&#10;TuJAFvDUamECAADEBAAADgAAAAAAAAABACAAAAAjAQAAZHJzL2Uyb0RvYy54bWxQSwUGAAAAAAYA&#10;BgBZAQAA9gU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ascii="方正仿宋_GBK" w:hAnsi="方正仿宋_GBK" w:eastAsia="方正仿宋_GBK" w:cs="方正仿宋_GBK"/>
                          <w:lang w:val="en-US" w:eastAsia="zh-CN"/>
                        </w:rPr>
                        <w:t>确诊为精神类疾病</w:t>
                      </w:r>
                      <w:r>
                        <w:rPr>
                          <w:rFonts w:hint="eastAsia"/>
                          <w:lang w:val="en-US" w:eastAsia="zh-CN"/>
                        </w:rPr>
                        <w:t>理障碍</w:t>
                      </w:r>
                    </w:p>
                  </w:txbxContent>
                </v:textbox>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97152" behindDoc="0" locked="0" layoutInCell="1" allowOverlap="1">
                <wp:simplePos x="0" y="0"/>
                <wp:positionH relativeFrom="column">
                  <wp:posOffset>4739005</wp:posOffset>
                </wp:positionH>
                <wp:positionV relativeFrom="paragraph">
                  <wp:posOffset>40640</wp:posOffset>
                </wp:positionV>
                <wp:extent cx="0" cy="317500"/>
                <wp:effectExtent l="48895" t="0" r="65405" b="6350"/>
                <wp:wrapNone/>
                <wp:docPr id="33" name="直接箭头连接符 33"/>
                <wp:cNvGraphicFramePr/>
                <a:graphic xmlns:a="http://schemas.openxmlformats.org/drawingml/2006/main">
                  <a:graphicData uri="http://schemas.microsoft.com/office/word/2010/wordprocessingShape">
                    <wps:wsp>
                      <wps:cNvCnPr/>
                      <wps:spPr>
                        <a:xfrm>
                          <a:off x="0" y="0"/>
                          <a:ext cx="0" cy="3175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73.15pt;margin-top:3.2pt;height:25pt;width:0pt;z-index:251697152;mso-width-relative:page;mso-height-relative:page;" filled="f" stroked="t" coordsize="21600,21600" o:gfxdata="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t/I6dUAAAAIAQAADwAA&#10;AAAAAAABACAAAAAiAAAAZHJzL2Rvd25yZXYueG1sUEsBAhQAFAAAAAgAh07iQDeCL0UZAgAAEwQA&#10;AA4AAAAAAAAAAQAgAAAAJAEAAGRycy9lMm9Eb2MueG1sUEsFBgAAAAAGAAYAWQEAAK8FA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96128" behindDoc="0" locked="0" layoutInCell="1" allowOverlap="1">
                <wp:simplePos x="0" y="0"/>
                <wp:positionH relativeFrom="column">
                  <wp:posOffset>3251835</wp:posOffset>
                </wp:positionH>
                <wp:positionV relativeFrom="paragraph">
                  <wp:posOffset>18415</wp:posOffset>
                </wp:positionV>
                <wp:extent cx="7620" cy="327660"/>
                <wp:effectExtent l="46990" t="0" r="59690" b="15240"/>
                <wp:wrapNone/>
                <wp:docPr id="37" name="直接箭头连接符 37"/>
                <wp:cNvGraphicFramePr/>
                <a:graphic xmlns:a="http://schemas.openxmlformats.org/drawingml/2006/main">
                  <a:graphicData uri="http://schemas.microsoft.com/office/word/2010/wordprocessingShape">
                    <wps:wsp>
                      <wps:cNvCnPr/>
                      <wps:spPr>
                        <a:xfrm flipH="1">
                          <a:off x="0" y="0"/>
                          <a:ext cx="7620" cy="32766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256.05pt;margin-top:1.45pt;height:25.8pt;width:0.6pt;z-index:251696128;mso-width-relative:page;mso-height-relative:page;" filled="f" stroked="t" coordsize="21600,21600" o:gfxdata="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8&#10;sxoQ1wAAAAgBAAAPAAAAAAAAAAEAIAAAACIAAABkcnMvZG93bnJldi54bWxQSwECFAAUAAAACACH&#10;TuJAFzNAYiUCAAAgBAAADgAAAAAAAAABACAAAAAmAQAAZHJzL2Uyb0RvYy54bWxQSwUGAAAAAAYA&#10;BgBZAQAAvQU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85888" behindDoc="0" locked="0" layoutInCell="1" allowOverlap="1">
                <wp:simplePos x="0" y="0"/>
                <wp:positionH relativeFrom="column">
                  <wp:posOffset>4319270</wp:posOffset>
                </wp:positionH>
                <wp:positionV relativeFrom="paragraph">
                  <wp:posOffset>28575</wp:posOffset>
                </wp:positionV>
                <wp:extent cx="876935" cy="1054735"/>
                <wp:effectExtent l="5080" t="4445" r="13335" b="7620"/>
                <wp:wrapNone/>
                <wp:docPr id="38" name="文本框 38"/>
                <wp:cNvGraphicFramePr/>
                <a:graphic xmlns:a="http://schemas.openxmlformats.org/drawingml/2006/main">
                  <a:graphicData uri="http://schemas.microsoft.com/office/word/2010/wordprocessingShape">
                    <wps:wsp>
                      <wps:cNvSpPr txBox="1"/>
                      <wps:spPr>
                        <a:xfrm>
                          <a:off x="6456680" y="7748905"/>
                          <a:ext cx="876935" cy="10547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学生工作处心理健康教育中心、辅导员（班主任）约谈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1pt;margin-top:2.25pt;height:83.05pt;width:69.05pt;z-index:251685888;mso-width-relative:page;mso-height-relative:page;" fillcolor="#FFFFFF [3201]" filled="t" stroked="t" coordsize="21600,21600" o:gfxdata="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RQtgnVAAAACQEAAA8AAAAAAAAAAQAgAAAAIgAAAGRycy9kb3ducmV2LnhtbFBLAQIUABQA&#10;AAAIAIdO4kCcxmWBZQIAAMUEAAAOAAAAAAAAAAEAIAAAACQBAABkcnMvZTJvRG9jLnhtbFBLBQYA&#10;AAAABgAGAFkBAAD7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学生工作处心理健康教育中心、辅导员（班主任）约谈</w:t>
                      </w:r>
                    </w:p>
                  </w:txbxContent>
                </v:textbox>
              </v:shape>
            </w:pict>
          </mc:Fallback>
        </mc:AlternateContent>
      </w:r>
      <w:r>
        <w:rPr>
          <w:color w:val="auto"/>
          <w:sz w:val="21"/>
          <w:szCs w:val="21"/>
          <w:highlight w:val="none"/>
        </w:rPr>
        <mc:AlternateContent>
          <mc:Choice Requires="wps">
            <w:drawing>
              <wp:anchor distT="0" distB="0" distL="114300" distR="114300" simplePos="0" relativeHeight="251684864" behindDoc="0" locked="0" layoutInCell="1" allowOverlap="1">
                <wp:simplePos x="0" y="0"/>
                <wp:positionH relativeFrom="column">
                  <wp:posOffset>2751455</wp:posOffset>
                </wp:positionH>
                <wp:positionV relativeFrom="paragraph">
                  <wp:posOffset>22225</wp:posOffset>
                </wp:positionV>
                <wp:extent cx="1180465" cy="1090930"/>
                <wp:effectExtent l="4445" t="4445" r="15240" b="9525"/>
                <wp:wrapNone/>
                <wp:docPr id="39" name="文本框 39"/>
                <wp:cNvGraphicFramePr/>
                <a:graphic xmlns:a="http://schemas.openxmlformats.org/drawingml/2006/main">
                  <a:graphicData uri="http://schemas.microsoft.com/office/word/2010/wordprocessingShape">
                    <wps:wsp>
                      <wps:cNvSpPr txBox="1"/>
                      <wps:spPr>
                        <a:xfrm>
                          <a:off x="4977130" y="7698105"/>
                          <a:ext cx="1180465" cy="10909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二级学院、学生工作处心理健康教育中心、学生及家长共同商定实施干预方案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65pt;margin-top:1.75pt;height:85.9pt;width:92.95pt;z-index:251684864;mso-width-relative:page;mso-height-relative:page;" fillcolor="#FFFFFF [3201]" filled="t" stroked="t" coordsize="21600,21600" o:gfxdata="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jM1jbWAAAACQEAAA8AAAAAAAAAAQAgAAAAIgAAAGRycy9kb3ducmV2LnhtbFBLAQIU&#10;ABQAAAAIAIdO4kDSg+IXZwIAAMYEAAAOAAAAAAAAAAEAIAAAACUBAABkcnMvZTJvRG9jLnhtbFBL&#10;BQYAAAAABgAGAFkBAAD+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二级学院、学生工作处心理健康教育中心、学生及家长共同商定实施干预方案</w:t>
                      </w:r>
                    </w:p>
                  </w:txbxContent>
                </v:textbox>
              </v:shape>
            </w:pict>
          </mc:Fallback>
        </mc:AlternateContent>
      </w:r>
      <w:r>
        <w:rPr>
          <w:color w:val="auto"/>
          <w:sz w:val="21"/>
          <w:szCs w:val="21"/>
          <w:highlight w:val="none"/>
        </w:rPr>
        <mc:AlternateContent>
          <mc:Choice Requires="wps">
            <w:drawing>
              <wp:anchor distT="0" distB="0" distL="114300" distR="114300" simplePos="0" relativeHeight="251704320" behindDoc="0" locked="0" layoutInCell="1" allowOverlap="1">
                <wp:simplePos x="0" y="0"/>
                <wp:positionH relativeFrom="column">
                  <wp:posOffset>1792605</wp:posOffset>
                </wp:positionH>
                <wp:positionV relativeFrom="paragraph">
                  <wp:posOffset>93345</wp:posOffset>
                </wp:positionV>
                <wp:extent cx="0" cy="356235"/>
                <wp:effectExtent l="48895" t="0" r="65405" b="5715"/>
                <wp:wrapNone/>
                <wp:docPr id="40" name="直接箭头连接符 40"/>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41.15pt;margin-top:7.35pt;height:28.05pt;width:0pt;z-index:251704320;mso-width-relative:page;mso-height-relative:page;" filled="f" stroked="t" coordsize="21600,21600" o:gfxdata="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DGHhtYAAAAJAQAADwAA&#10;AAAAAAABACAAAAAiAAAAZHJzL2Rvd25yZXYueG1sUEsBAhQAFAAAAAgAh07iQNZLhaIYAgAAEwQA&#10;AA4AAAAAAAAAAQAgAAAAJQEAAGRycy9lMm9Eb2MueG1sUEsFBgAAAAAGAAYAWQEAAK8FA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703296" behindDoc="0" locked="0" layoutInCell="1" allowOverlap="1">
                <wp:simplePos x="0" y="0"/>
                <wp:positionH relativeFrom="column">
                  <wp:posOffset>817880</wp:posOffset>
                </wp:positionH>
                <wp:positionV relativeFrom="paragraph">
                  <wp:posOffset>77470</wp:posOffset>
                </wp:positionV>
                <wp:extent cx="0" cy="356235"/>
                <wp:effectExtent l="48895" t="0" r="65405" b="5715"/>
                <wp:wrapNone/>
                <wp:docPr id="43" name="直接箭头连接符 43"/>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64.4pt;margin-top:6.1pt;height:28.05pt;width:0pt;z-index:251703296;mso-width-relative:page;mso-height-relative:page;" filled="f" stroked="t" coordsize="21600,21600" o:gfxdata="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JxnYc1QAAAAkBAAAPAAAA&#10;AAAAAAEAIAAAACIAAABkcnMvZG93bnJldi54bWxQSwECFAAUAAAACACHTuJAhY45FxgCAAATBAAA&#10;DgAAAAAAAAABACAAAAAkAQAAZHJzL2Uyb0RvYy54bWxQSwUGAAAAAAYABgBZAQAArgU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81792" behindDoc="0" locked="0" layoutInCell="1" allowOverlap="1">
                <wp:simplePos x="0" y="0"/>
                <wp:positionH relativeFrom="column">
                  <wp:posOffset>1367155</wp:posOffset>
                </wp:positionH>
                <wp:positionV relativeFrom="paragraph">
                  <wp:posOffset>100965</wp:posOffset>
                </wp:positionV>
                <wp:extent cx="1332865" cy="476885"/>
                <wp:effectExtent l="4445" t="4445" r="15240" b="13970"/>
                <wp:wrapNone/>
                <wp:docPr id="50" name="文本框 50"/>
                <wp:cNvGraphicFramePr/>
                <a:graphic xmlns:a="http://schemas.openxmlformats.org/drawingml/2006/main">
                  <a:graphicData uri="http://schemas.microsoft.com/office/word/2010/wordprocessingShape">
                    <wps:wsp>
                      <wps:cNvSpPr txBox="1"/>
                      <wps:spPr>
                        <a:xfrm>
                          <a:off x="2887980" y="7971155"/>
                          <a:ext cx="1332865" cy="4768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家长陪护，坚持治疗，并签署安全协议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65pt;margin-top:7.95pt;height:37.55pt;width:104.95pt;z-index:251681792;mso-width-relative:page;mso-height-relative:page;" fillcolor="#FFFFFF [3201]" filled="t" stroked="t" coordsize="21600,21600" o:gfxdata="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bdd/tYAAAAJAQAADwAAAAAAAAABACAAAAAiAAAAZHJzL2Rvd25yZXYueG1sUEsBAhQA&#10;FAAAAAgAh07iQF6GMoBmAgAAxQQAAA4AAAAAAAAAAQAgAAAAJQEAAGRycy9lMm9Eb2MueG1sUEsF&#10;BgAAAAAGAAYAWQEAAP0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家长陪护，坚持治疗，并签署安全协议</w:t>
                      </w:r>
                    </w:p>
                  </w:txbxContent>
                </v:textbox>
              </v:shape>
            </w:pict>
          </mc:Fallback>
        </mc:AlternateContent>
      </w:r>
      <w:r>
        <w:rPr>
          <w:color w:val="auto"/>
          <w:sz w:val="21"/>
          <w:szCs w:val="21"/>
          <w:highlight w:val="none"/>
        </w:rPr>
        <mc:AlternateContent>
          <mc:Choice Requires="wps">
            <w:drawing>
              <wp:anchor distT="0" distB="0" distL="114300" distR="114300" simplePos="0" relativeHeight="251680768" behindDoc="0" locked="0" layoutInCell="1" allowOverlap="1">
                <wp:simplePos x="0" y="0"/>
                <wp:positionH relativeFrom="column">
                  <wp:posOffset>142240</wp:posOffset>
                </wp:positionH>
                <wp:positionV relativeFrom="paragraph">
                  <wp:posOffset>86360</wp:posOffset>
                </wp:positionV>
                <wp:extent cx="1136015" cy="474980"/>
                <wp:effectExtent l="4445" t="4445" r="21590" b="15875"/>
                <wp:wrapNone/>
                <wp:docPr id="52" name="文本框 52"/>
                <wp:cNvGraphicFramePr/>
                <a:graphic xmlns:a="http://schemas.openxmlformats.org/drawingml/2006/main">
                  <a:graphicData uri="http://schemas.microsoft.com/office/word/2010/wordprocessingShape">
                    <wps:wsp>
                      <wps:cNvSpPr txBox="1"/>
                      <wps:spPr>
                        <a:xfrm>
                          <a:off x="1344930" y="7939405"/>
                          <a:ext cx="1136015" cy="4749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家长确认办理休学或退学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pt;margin-top:6.8pt;height:37.4pt;width:89.45pt;z-index:251680768;mso-width-relative:page;mso-height-relative:page;" fillcolor="#FFFFFF [3201]" filled="t" stroked="t" coordsize="21600,21600" o:gfxdata="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AzbSXVAAAACAEAAA8AAAAAAAAAAQAgAAAAIgAAAGRycy9kb3ducmV2LnhtbFBLAQIU&#10;ABQAAAAIAIdO4kBE7gpoaAIAAMUEAAAOAAAAAAAAAAEAIAAAACQBAABkcnMvZTJvRG9jLnhtbFBL&#10;BQYAAAAABgAGAFkBAAD+BQAAAAA=&#10;">
                <v:fill on="t" focussize="0,0"/>
                <v:stroke weight="0.5pt" color="#000000 [3204]" joinstyle="round"/>
                <v:imagedata o:title=""/>
                <o:lock v:ext="edit" aspectratio="f"/>
                <v:textbox>
                  <w:txbxContent>
                    <w:p>
                      <w:pPr>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家长确认办理休学或退学</w:t>
                      </w:r>
                    </w:p>
                  </w:txbxContent>
                </v:textbox>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706368" behindDoc="0" locked="0" layoutInCell="1" allowOverlap="1">
                <wp:simplePos x="0" y="0"/>
                <wp:positionH relativeFrom="column">
                  <wp:posOffset>2018030</wp:posOffset>
                </wp:positionH>
                <wp:positionV relativeFrom="paragraph">
                  <wp:posOffset>223520</wp:posOffset>
                </wp:positionV>
                <wp:extent cx="12700" cy="463550"/>
                <wp:effectExtent l="38735" t="0" r="62865" b="12700"/>
                <wp:wrapNone/>
                <wp:docPr id="58" name="直接箭头连接符 58"/>
                <wp:cNvGraphicFramePr/>
                <a:graphic xmlns:a="http://schemas.openxmlformats.org/drawingml/2006/main">
                  <a:graphicData uri="http://schemas.microsoft.com/office/word/2010/wordprocessingShape">
                    <wps:wsp>
                      <wps:cNvCnPr/>
                      <wps:spPr>
                        <a:xfrm>
                          <a:off x="0" y="0"/>
                          <a:ext cx="12700" cy="4635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58.9pt;margin-top:17.6pt;height:36.5pt;width:1pt;z-index:251706368;mso-width-relative:page;mso-height-relative:page;" filled="f" stroked="t" coordsize="21600,21600" o:gfxdata="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KgRr62AAA&#10;AAoBAAAPAAAAAAAAAAEAIAAAACIAAABkcnMvZG93bnJldi54bWxQSwECFAAUAAAACACHTuJAHGM9&#10;Ox4CAAAXBAAADgAAAAAAAAABACAAAAAnAQAAZHJzL2Uyb0RvYy54bWxQSwUGAAAAAAYABgBZAQAA&#10;twU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705344" behindDoc="0" locked="0" layoutInCell="1" allowOverlap="1">
                <wp:simplePos x="0" y="0"/>
                <wp:positionH relativeFrom="column">
                  <wp:posOffset>655955</wp:posOffset>
                </wp:positionH>
                <wp:positionV relativeFrom="paragraph">
                  <wp:posOffset>233045</wp:posOffset>
                </wp:positionV>
                <wp:extent cx="0" cy="356235"/>
                <wp:effectExtent l="48895" t="0" r="65405" b="5715"/>
                <wp:wrapNone/>
                <wp:docPr id="74" name="直接箭头连接符 74"/>
                <wp:cNvGraphicFramePr/>
                <a:graphic xmlns:a="http://schemas.openxmlformats.org/drawingml/2006/main">
                  <a:graphicData uri="http://schemas.microsoft.com/office/word/2010/wordprocessingShape">
                    <wps:wsp>
                      <wps:cNvCnPr/>
                      <wps:spPr>
                        <a:xfrm>
                          <a:off x="0" y="0"/>
                          <a:ext cx="0" cy="35623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51.65pt;margin-top:18.35pt;height:28.05pt;width:0pt;z-index:251705344;mso-width-relative:page;mso-height-relative:page;" filled="f" stroked="t" coordsize="21600,21600" o:gfxdata="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BmDD7WAAAACQEAAA8A&#10;AAAAAAAAAQAgAAAAIgAAAGRycy9kb3ducmV2LnhtbFBLAQIUABQAAAAIAIdO4kDY/XI5GQIAABME&#10;AAAOAAAAAAAAAAEAIAAAACUBAABkcnMvZTJvRG9jLnhtbFBLBQYAAAAABgAGAFkBAACwBQAAAAA=&#10;">
                <v:fill on="f" focussize="0,0"/>
                <v:stroke color="#000000 [3200]" joinstyle="round" endarrow="open"/>
                <v:imagedata o:title=""/>
                <o:lock v:ext="edit" aspectratio="f"/>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lang w:eastAsia="zh-CN"/>
        </w:rPr>
      </w:pPr>
      <w:r>
        <w:rPr>
          <w:color w:val="auto"/>
          <w:sz w:val="21"/>
          <w:szCs w:val="21"/>
          <w:highlight w:val="none"/>
        </w:rPr>
        <mc:AlternateContent>
          <mc:Choice Requires="wps">
            <w:drawing>
              <wp:anchor distT="0" distB="0" distL="114300" distR="114300" simplePos="0" relativeHeight="251682816" behindDoc="0" locked="0" layoutInCell="1" allowOverlap="1">
                <wp:simplePos x="0" y="0"/>
                <wp:positionH relativeFrom="column">
                  <wp:posOffset>67310</wp:posOffset>
                </wp:positionH>
                <wp:positionV relativeFrom="paragraph">
                  <wp:posOffset>230505</wp:posOffset>
                </wp:positionV>
                <wp:extent cx="1314450" cy="1465580"/>
                <wp:effectExtent l="4445" t="4445" r="14605" b="15875"/>
                <wp:wrapNone/>
                <wp:docPr id="76" name="文本框 76"/>
                <wp:cNvGraphicFramePr/>
                <a:graphic xmlns:a="http://schemas.openxmlformats.org/drawingml/2006/main">
                  <a:graphicData uri="http://schemas.microsoft.com/office/word/2010/wordprocessingShape">
                    <wps:wsp>
                      <wps:cNvSpPr txBox="1"/>
                      <wps:spPr>
                        <a:xfrm>
                          <a:off x="1332230" y="9049385"/>
                          <a:ext cx="1314450" cy="1465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ascii="方正仿宋_GBK" w:hAnsi="方正仿宋_GBK" w:eastAsia="方正仿宋_GBK" w:cs="方正仿宋_GBK"/>
                                <w:lang w:val="en-US" w:eastAsia="zh-CN"/>
                              </w:rPr>
                              <w:t>复学需提供三甲及以上精神医院提供的出院证明，二级学院采取安全措施，学生工作处心理健康教育中心评估并跟进后续咨询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pt;margin-top:18.15pt;height:115.4pt;width:103.5pt;z-index:251682816;mso-width-relative:page;mso-height-relative:page;" fillcolor="#FFFFFF [3201]" filled="t" stroked="t" coordsize="21600,21600" o:gfxdata="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sEiM41AAAAAkBAAAPAAAAAAAAAAEAIAAAACIAAABkcnMvZG93bnJldi54bWxQSwECFAAUAAAA&#10;CACHTuJAMjwp9mQCAADGBAAADgAAAAAAAAABACAAAAAjAQAAZHJzL2Uyb0RvYy54bWxQSwUGAAAA&#10;AAYABgBZAQAA+QU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ascii="方正仿宋_GBK" w:hAnsi="方正仿宋_GBK" w:eastAsia="方正仿宋_GBK" w:cs="方正仿宋_GBK"/>
                          <w:lang w:val="en-US" w:eastAsia="zh-CN"/>
                        </w:rPr>
                        <w:t>复学需提供三甲及以上精神医院提供的出院证明，二级学院采取安全措施，学生工作处心理健康教育中心评估并跟进后续咨询</w:t>
                      </w:r>
                    </w:p>
                  </w:txbxContent>
                </v:textbox>
              </v:shape>
            </w:pict>
          </mc:Fallback>
        </mc:AlternateContent>
      </w:r>
      <w:r>
        <w:rPr>
          <w:color w:val="auto"/>
          <w:sz w:val="21"/>
          <w:szCs w:val="21"/>
          <w:highlight w:val="none"/>
        </w:rPr>
        <mc:AlternateContent>
          <mc:Choice Requires="wps">
            <w:drawing>
              <wp:anchor distT="0" distB="0" distL="114300" distR="114300" simplePos="0" relativeHeight="251699200" behindDoc="0" locked="0" layoutInCell="1" allowOverlap="1">
                <wp:simplePos x="0" y="0"/>
                <wp:positionH relativeFrom="column">
                  <wp:posOffset>4756785</wp:posOffset>
                </wp:positionH>
                <wp:positionV relativeFrom="paragraph">
                  <wp:posOffset>27305</wp:posOffset>
                </wp:positionV>
                <wp:extent cx="1905" cy="321945"/>
                <wp:effectExtent l="48895" t="0" r="63500" b="1905"/>
                <wp:wrapNone/>
                <wp:docPr id="93" name="直接箭头连接符 93"/>
                <wp:cNvGraphicFramePr/>
                <a:graphic xmlns:a="http://schemas.openxmlformats.org/drawingml/2006/main">
                  <a:graphicData uri="http://schemas.microsoft.com/office/word/2010/wordprocessingShape">
                    <wps:wsp>
                      <wps:cNvCnPr/>
                      <wps:spPr>
                        <a:xfrm flipH="1">
                          <a:off x="0" y="0"/>
                          <a:ext cx="1905" cy="32194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374.55pt;margin-top:2.15pt;height:25.35pt;width:0.15pt;z-index:251699200;mso-width-relative:page;mso-height-relative:page;" filled="f" stroked="t" coordsize="21600,21600" o:gfxdata="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adTql&#10;1gAAAAgBAAAPAAAAAAAAAAEAIAAAACIAAABkcnMvZG93bnJldi54bWxQSwECFAAUAAAACACHTuJA&#10;mTC6miMCAAAgBAAADgAAAAAAAAABACAAAAAlAQAAZHJzL2Uyb0RvYy54bWxQSwUGAAAAAAYABgBZ&#10;AQAAugU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98176" behindDoc="0" locked="0" layoutInCell="1" allowOverlap="1">
                <wp:simplePos x="0" y="0"/>
                <wp:positionH relativeFrom="column">
                  <wp:posOffset>3351530</wp:posOffset>
                </wp:positionH>
                <wp:positionV relativeFrom="paragraph">
                  <wp:posOffset>72390</wp:posOffset>
                </wp:positionV>
                <wp:extent cx="0" cy="279400"/>
                <wp:effectExtent l="48895" t="0" r="65405" b="6350"/>
                <wp:wrapNone/>
                <wp:docPr id="94" name="直接箭头连接符 94"/>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63.9pt;margin-top:5.7pt;height:22pt;width:0pt;z-index:251698176;mso-width-relative:page;mso-height-relative:page;" filled="f" stroked="t" coordsize="21600,21600" o:gfxdata="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OfBO1QAAAAkBAAAPAAAA&#10;AAAAAAEAIAAAACIAAABkcnMvZG93bnJldi54bWxQSwECFAAUAAAACACHTuJAiDPjvhgCAAATBAAA&#10;DgAAAAAAAAABACAAAAAkAQAAZHJzL2Uyb0RvYy54bWxQSwUGAAAAAAYABgBZAQAArgUAAAAA&#10;">
                <v:fill on="f" focussize="0,0"/>
                <v:stroke color="#000000 [3200]" joinstyle="round" endarrow="open"/>
                <v:imagedata o:title=""/>
                <o:lock v:ext="edit" aspectratio="f"/>
              </v:shape>
            </w:pict>
          </mc:Fallback>
        </mc:AlternateContent>
      </w:r>
      <w:r>
        <w:rPr>
          <w:color w:val="auto"/>
          <w:sz w:val="21"/>
          <w:szCs w:val="21"/>
          <w:highlight w:val="none"/>
        </w:rPr>
        <mc:AlternateContent>
          <mc:Choice Requires="wps">
            <w:drawing>
              <wp:anchor distT="0" distB="0" distL="114300" distR="114300" simplePos="0" relativeHeight="251683840" behindDoc="0" locked="0" layoutInCell="1" allowOverlap="1">
                <wp:simplePos x="0" y="0"/>
                <wp:positionH relativeFrom="column">
                  <wp:posOffset>1440180</wp:posOffset>
                </wp:positionH>
                <wp:positionV relativeFrom="paragraph">
                  <wp:posOffset>325755</wp:posOffset>
                </wp:positionV>
                <wp:extent cx="1188085" cy="1078865"/>
                <wp:effectExtent l="4445" t="4445" r="7620" b="21590"/>
                <wp:wrapNone/>
                <wp:docPr id="95" name="文本框 95"/>
                <wp:cNvGraphicFramePr/>
                <a:graphic xmlns:a="http://schemas.openxmlformats.org/drawingml/2006/main">
                  <a:graphicData uri="http://schemas.microsoft.com/office/word/2010/wordprocessingShape">
                    <wps:wsp>
                      <wps:cNvSpPr txBox="1"/>
                      <wps:spPr>
                        <a:xfrm>
                          <a:off x="3173730" y="8922385"/>
                          <a:ext cx="1188085" cy="1078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就读期间提供学生复诊情况，学生工作处心理健康教育中心跟进就医情况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4pt;margin-top:25.65pt;height:84.95pt;width:93.55pt;z-index:251683840;mso-width-relative:page;mso-height-relative:page;" fillcolor="#FFFFFF [3201]" filled="t" stroked="t" coordsize="21600,21600" o:gfxdata="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UAWpSNYAAAAKAQAADwAAAAAAAAABACAAAAAiAAAAZHJzL2Rvd25yZXYueG1sUEsB&#10;AhQAFAAAAAgAh07iQIw9LrxpAgAAxgQAAA4AAAAAAAAAAQAgAAAAJQEAAGRycy9lMm9Eb2MueG1s&#10;UEsFBgAAAAAGAAYAWQEAAAAG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就读期间提供学生复诊情况，学生工作处心理健康教育中心跟进就医情况</w:t>
                      </w:r>
                    </w:p>
                  </w:txbxContent>
                </v:textbox>
              </v:shape>
            </w:pict>
          </mc:Fallback>
        </mc:AlternateContent>
      </w:r>
    </w:p>
    <w:p>
      <w:pPr>
        <w:pStyle w:val="20"/>
        <w:keepNext w:val="0"/>
        <w:keepLines w:val="0"/>
        <w:pageBreakBefore w:val="0"/>
        <w:widowControl w:val="0"/>
        <w:kinsoku/>
        <w:wordWrap/>
        <w:overflowPunct/>
        <w:topLinePunct w:val="0"/>
        <w:autoSpaceDE/>
        <w:autoSpaceDN/>
        <w:bidi w:val="0"/>
        <w:adjustRightInd/>
        <w:snapToGrid/>
        <w:spacing w:after="0" w:line="560" w:lineRule="exact"/>
        <w:ind w:left="321" w:firstLine="462" w:firstLineChars="220"/>
        <w:textAlignment w:val="auto"/>
        <w:rPr>
          <w:rFonts w:hint="eastAsia" w:ascii="宋体" w:hAnsi="宋体" w:eastAsia="宋体" w:cs="宋体"/>
          <w:color w:val="auto"/>
          <w:sz w:val="21"/>
          <w:szCs w:val="21"/>
          <w:highlight w:val="none"/>
        </w:rPr>
      </w:pPr>
      <w:r>
        <w:rPr>
          <w:color w:val="auto"/>
          <w:sz w:val="21"/>
          <w:szCs w:val="21"/>
          <w:highlight w:val="none"/>
        </w:rPr>
        <mc:AlternateContent>
          <mc:Choice Requires="wps">
            <w:drawing>
              <wp:anchor distT="0" distB="0" distL="114300" distR="114300" simplePos="0" relativeHeight="251686912" behindDoc="0" locked="0" layoutInCell="1" allowOverlap="1">
                <wp:simplePos x="0" y="0"/>
                <wp:positionH relativeFrom="column">
                  <wp:posOffset>4359910</wp:posOffset>
                </wp:positionH>
                <wp:positionV relativeFrom="paragraph">
                  <wp:posOffset>9525</wp:posOffset>
                </wp:positionV>
                <wp:extent cx="793750" cy="883285"/>
                <wp:effectExtent l="5080" t="4445" r="20320" b="7620"/>
                <wp:wrapNone/>
                <wp:docPr id="96" name="文本框 96"/>
                <wp:cNvGraphicFramePr/>
                <a:graphic xmlns:a="http://schemas.openxmlformats.org/drawingml/2006/main">
                  <a:graphicData uri="http://schemas.microsoft.com/office/word/2010/wordprocessingShape">
                    <wps:wsp>
                      <wps:cNvSpPr txBox="1"/>
                      <wps:spPr>
                        <a:xfrm>
                          <a:off x="6596380" y="8916035"/>
                          <a:ext cx="793750" cy="8832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必要的心理辅导与咨询，并及时反馈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3pt;margin-top:0.75pt;height:69.55pt;width:62.5pt;z-index:251686912;mso-width-relative:page;mso-height-relative:page;" fillcolor="#FFFFFF [3201]" filled="t" stroked="t" coordsize="21600,21600" o:gfxdata="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9sfudQAAAAJAQAADwAAAAAAAAABACAAAAAiAAAAZHJzL2Rvd25yZXYueG1sUEsBAhQAFAAA&#10;AAgAh07iQBPQ4rFlAgAAxAQAAA4AAAAAAAAAAQAgAAAAIwEAAGRycy9lMm9Eb2MueG1sUEsFBgAA&#10;AAAGAAYAWQEAAPoFA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必要的心理辅导与咨询，并及时反馈</w:t>
                      </w:r>
                    </w:p>
                  </w:txbxContent>
                </v:textbox>
              </v:shape>
            </w:pict>
          </mc:Fallback>
        </mc:AlternateContent>
      </w:r>
      <w:r>
        <w:rPr>
          <w:color w:val="auto"/>
          <w:sz w:val="21"/>
          <w:szCs w:val="21"/>
          <w:highlight w:val="none"/>
        </w:rPr>
        <mc:AlternateContent>
          <mc:Choice Requires="wps">
            <w:drawing>
              <wp:anchor distT="0" distB="0" distL="114300" distR="114300" simplePos="0" relativeHeight="251687936" behindDoc="0" locked="0" layoutInCell="1" allowOverlap="1">
                <wp:simplePos x="0" y="0"/>
                <wp:positionH relativeFrom="column">
                  <wp:posOffset>2757805</wp:posOffset>
                </wp:positionH>
                <wp:positionV relativeFrom="paragraph">
                  <wp:posOffset>11430</wp:posOffset>
                </wp:positionV>
                <wp:extent cx="1249680" cy="1049655"/>
                <wp:effectExtent l="4445" t="4445" r="22225" b="12700"/>
                <wp:wrapNone/>
                <wp:docPr id="97" name="文本框 97"/>
                <wp:cNvGraphicFramePr/>
                <a:graphic xmlns:a="http://schemas.openxmlformats.org/drawingml/2006/main">
                  <a:graphicData uri="http://schemas.microsoft.com/office/word/2010/wordprocessingShape">
                    <wps:wsp>
                      <wps:cNvSpPr txBox="1"/>
                      <wps:spPr>
                        <a:xfrm>
                          <a:off x="5015230" y="9030335"/>
                          <a:ext cx="1249680" cy="10496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二级学院、学校同时建档，学生工作处心理健康教育中心评估，做好转介、转诊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15pt;margin-top:0.9pt;height:82.65pt;width:98.4pt;z-index:251687936;mso-width-relative:page;mso-height-relative:page;" fillcolor="#FFFFFF [3201]" filled="t" stroked="t" coordsize="21600,21600" o:gfxdata="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P/0O3UAAAACQEAAA8AAAAAAAAAAQAgAAAAIgAAAGRycy9kb3ducmV2LnhtbFBLAQIUABQA&#10;AAAIAIdO4kDzbR+RZgIAAMYEAAAOAAAAAAAAAAEAIAAAACMBAABkcnMvZTJvRG9jLnhtbFBLBQYA&#10;AAAABgAGAFkBAAD7BQAAAAA=&#10;">
                <v:fill on="t" focussize="0,0"/>
                <v:stroke weight="0.5pt" color="#000000 [3204]" joinstyle="round"/>
                <v:imagedata o:title=""/>
                <o:lock v:ext="edit" aspectratio="f"/>
                <v:textbox>
                  <w:txbxContent>
                    <w:p>
                      <w:p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二级学院、学校同时建档，学生工作处心理健康教育中心评估，做好转介、转诊</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5" w:name="_Toc82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eastAsia" w:ascii="方正仿宋_GBK" w:hAnsi="方正仿宋_GBK" w:eastAsia="方正仿宋_GBK" w:cs="方正仿宋_GBK"/>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（一）及时报告，进行呼救，终止危机行为</w:t>
      </w:r>
      <w:bookmarkEnd w:id="30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发现者要立即报告学校可以马上联系到的有关人员：辅导员（班主任）、二级学院分管学生工作的领导、学生工作处、保卫处等，学生工作处、保卫处、辅导员（班主任）等有关领导要以最快速度到达事发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2.拨打报警电话110。报警时应陈述清楚详细地点和详细情况。警方到达后，与警方密切合作。拨打急救电话120，通知急救中心、学校医务室或最近的医院，及时抢救生命。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3.向分管领导汇报。以最快的时间收集基本情况（含）基本信息，现场目击者描述等），及时向分管领导汇报。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6" w:name="_Toc5309"/>
      <w:r>
        <w:rPr>
          <w:rFonts w:hint="eastAsia" w:ascii="方正仿宋_GBK" w:hAnsi="方正仿宋_GBK" w:eastAsia="方正仿宋_GBK" w:cs="方正仿宋_GBK"/>
          <w:b w:val="0"/>
          <w:bCs/>
          <w:color w:val="auto"/>
          <w:sz w:val="32"/>
          <w:szCs w:val="32"/>
          <w:highlight w:val="none"/>
          <w:lang w:val="en-US" w:eastAsia="zh-CN"/>
        </w:rPr>
        <w:t>（二）现场处置</w:t>
      </w:r>
      <w:bookmarkEnd w:id="30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协助保卫处配合公安部门，协调校内有关部门完成以下工作。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1.保卫处应尽可能准备各种应急的救生工具（救生气垫），学校医务人员应准备医疗急救包或转运车辆和担架。防止当事人随时实施自杀。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2.尝试与当事人沟通（如果已确认当事人的身份，通常找当事人比较信任的人），设法稳定当事人的情绪，延迟当事人的自杀行为，避免刺激当事人的情绪。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3.由保卫处设置警戒线，确保无无关人员接近现场，同时组织人力引导交通。防止其他人员围观、拍照、录像。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4.由保卫处出面，配合警方进行救助。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5.排查学生身份，如在现场无法确认当事人的身份，需记录服饰、身高、相貌特征等基本情况，尽快进行排查，排查不惊扰学生。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7" w:name="_Toc14690"/>
      <w:r>
        <w:rPr>
          <w:rFonts w:hint="eastAsia" w:ascii="方正仿宋_GBK" w:hAnsi="方正仿宋_GBK" w:eastAsia="方正仿宋_GBK" w:cs="方正仿宋_GBK"/>
          <w:b w:val="0"/>
          <w:bCs/>
          <w:color w:val="auto"/>
          <w:sz w:val="32"/>
          <w:szCs w:val="32"/>
          <w:highlight w:val="none"/>
          <w:lang w:val="en-US" w:eastAsia="zh-CN"/>
        </w:rPr>
        <w:t>（三）通知家长</w:t>
      </w:r>
      <w:bookmarkEnd w:id="30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1.通知家长到校。一般由学生家长较为熟悉的辅导员（班主任）通知。通知时需注意措辞，既说明严重程度，又不能给家长造成突然的巨大心理压力，在家长来学校的过程中，逐步透露学生的状况。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2.如学生在医院救治，陪同家长赶往医院。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08" w:name="_Toc3511"/>
      <w:r>
        <w:rPr>
          <w:rFonts w:hint="eastAsia" w:ascii="方正仿宋_GBK" w:hAnsi="方正仿宋_GBK" w:eastAsia="方正仿宋_GBK" w:cs="方正仿宋_GBK"/>
          <w:b w:val="0"/>
          <w:bCs/>
          <w:color w:val="auto"/>
          <w:sz w:val="32"/>
          <w:szCs w:val="32"/>
          <w:highlight w:val="none"/>
          <w:lang w:val="en-US" w:eastAsia="zh-CN"/>
        </w:rPr>
        <w:t>（四）提交报告</w:t>
      </w:r>
      <w:bookmarkEnd w:id="30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向学校分管校领导、学生工作处提交书面报告。事件处理完毕后，由自杀未遂者所在二级学院的负责老师提交相关报告，供存档备查。报告包括：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1.个人基本信息。该生的基本个人信息，包括姓名、性别、二级学院、年级、学制、专业、班级、家庭情况、情感状态、性格特征、爱好、学习成绩、人际关系等。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2.事件发生情况。说明自杀未遂事件发生的基本过程，如时间、地点、发生方式、处理结果等。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3.原因分析。促进危机事件发生的原因分析，如该生在学校里的具体表现等。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4.调取有关部门档案。如有需要，可至心理中心调取新生入学时心理测评数据、学生咨询记录等（在必要情况下）档案；若学生出现躯体症状，可至医务室调取就诊记录，档案内容要注意保密。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 xml:space="preserve">5.收集当事人同学的评价。汇总整理同学对该生平时表现的反映。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6.调查个人社交软件。调查自杀学生在QQ空间、朋友圈、微博等个人社交软件上的情况。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7.未来工作方向思考。需思考后续工作。</w:t>
      </w:r>
      <w:bookmarkStart w:id="309" w:name="_Toc1167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（五）监护</w:t>
      </w:r>
      <w:bookmarkEnd w:id="30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如果当事人暂不需要就医抢救，则要做好监护工作。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1.二级学院负责看护。家长到达学校之前，看护工作一般情况下由学生所在二级学院负责，一般是24小时监护。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2.两人以上在场。在看护学生时，至少有两人同时在场，保证必要时两人交替工作，看护人最好是该生熟悉并信任的教师。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临时安全住宿。家长到校之前，该生可住在学校的空置学生宿舍里，一定选择一楼或二楼的房间，同时有两人以上的辅导员（班主任）或学生干部陪伴，一旦该生情绪失控，试图跳楼时能尽可能降低风险。同时要将有可能被拿来用作自杀工具的危险物品全部收走，确保该生生命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4.尽快就医。辅导员（班主任）和学生无法完全有效地阻止危险的发生，监护时间越短越好，应尽快将学生送至医院就诊。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 xml:space="preserve">5.简短培训看护人员。看护人员执行监护任务之前，应知晓心理危机的特点、可能发生的危险情况、被监护学生可能产生的反应、不能两人同时离开当事人等具体工作方法和需要注意的重要事项。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6.严守保密原则。除保密例外情况外，需将泄密程度控制在最小范围内</w:t>
      </w:r>
      <w:bookmarkStart w:id="310" w:name="_Toc3135"/>
      <w:r>
        <w:rPr>
          <w:rFonts w:hint="eastAsia" w:ascii="方正仿宋_GBK" w:hAnsi="方正仿宋_GBK" w:eastAsia="方正仿宋_GBK" w:cs="方正仿宋_GBK"/>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（六）转介医院，专业评估</w:t>
      </w:r>
      <w:bookmarkEnd w:id="31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1.自杀未遂者就诊之后，如诊断的结果为精神疾病，建议学生根据诊断结果继续接受治疗，如医生要求治疗而自杀未遂的学生或家长不同意，则要求该生休学，家长带学生离校。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2.到医院进行诊断，一般由家长陪同。因特殊情况家长不能陪同的，由学生所在二级学院辅导员（班主任）陪同。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3.就医后，辅导员（班主任）需收集诊断证明或诊断结果凭证存档备查。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11" w:name="_Toc13973"/>
      <w:r>
        <w:rPr>
          <w:rFonts w:hint="eastAsia" w:ascii="方正仿宋_GBK" w:hAnsi="方正仿宋_GBK" w:eastAsia="方正仿宋_GBK" w:cs="方正仿宋_GBK"/>
          <w:b w:val="0"/>
          <w:bCs/>
          <w:color w:val="auto"/>
          <w:sz w:val="32"/>
          <w:szCs w:val="32"/>
          <w:highlight w:val="none"/>
          <w:lang w:val="en-US" w:eastAsia="zh-CN"/>
        </w:rPr>
        <w:t>（七）确诊为精神疾病患者的应对措施</w:t>
      </w:r>
      <w:bookmarkEnd w:id="3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1.医生建议住院治疗的学生要住院治疗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学生住院治疗要由家长办理住院手续，因特殊情况家长不能陪同，学校老师需持有家长或监护人的委托书（内容：委托学校代理家长办理住院手续，委托人身份证复印件，委托人签字盖章），代替家长办理住院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2.医生建议或家长提出回家服药休养可回家休养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为医生建议或家长提出回家服药休养的学生办理休、退学手续，向家长介绍在休养期间精神病护理的有关常识，避免学生在休养期间再次发生自杀行为。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3.保持联系，经常关怀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在学生休养期间辅导员（班主任）及同学要与学生保持联系，关心、鼓励学生战胜疾病，尽快恢复健康。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4.复学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患有精神疾病康复后提出复学的学生，需持有正规医院精神科或有关科室医生出具的诊断证明或诊断结果（证明其状态可进行一般的生活学习，可以复学），方可办理复学手续。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12" w:name="_Toc8501"/>
      <w:r>
        <w:rPr>
          <w:rFonts w:hint="eastAsia" w:ascii="方正仿宋_GBK" w:hAnsi="方正仿宋_GBK" w:eastAsia="方正仿宋_GBK" w:cs="方正仿宋_GBK"/>
          <w:b w:val="0"/>
          <w:bCs/>
          <w:color w:val="auto"/>
          <w:sz w:val="32"/>
          <w:szCs w:val="32"/>
          <w:highlight w:val="none"/>
          <w:lang w:val="en-US" w:eastAsia="zh-CN"/>
        </w:rPr>
        <w:t>（八）对在学校坚持学习学生的心理辅导</w:t>
      </w:r>
      <w:bookmarkEnd w:id="31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1.辅导员（班主任）心理疏导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辅导员（班主任）因与学生关系较近，可与学生谈心谈话，关心、陪伴学生，减少学生的负面情绪。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2.心理中心提供专业咨询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K" w:hAnsi="方正仿宋_GBK" w:eastAsia="方正仿宋_GBK" w:cs="方正仿宋_GBK"/>
          <w:b w:val="0"/>
          <w:bCs/>
          <w:color w:val="auto"/>
          <w:sz w:val="32"/>
          <w:szCs w:val="32"/>
          <w:highlight w:val="none"/>
          <w:lang w:val="en-US" w:eastAsia="zh-CN"/>
        </w:rPr>
      </w:pPr>
      <w:bookmarkStart w:id="313" w:name="_Toc12060"/>
      <w:r>
        <w:rPr>
          <w:rFonts w:hint="eastAsia" w:ascii="方正仿宋_GBK" w:hAnsi="方正仿宋_GBK" w:eastAsia="方正仿宋_GBK" w:cs="方正仿宋_GBK"/>
          <w:b w:val="0"/>
          <w:bCs/>
          <w:color w:val="auto"/>
          <w:sz w:val="32"/>
          <w:szCs w:val="32"/>
          <w:highlight w:val="none"/>
          <w:lang w:val="en-US" w:eastAsia="zh-CN"/>
        </w:rPr>
        <w:t>（九）持续关怀</w:t>
      </w:r>
      <w:bookmarkEnd w:id="313"/>
      <w:r>
        <w:rPr>
          <w:rFonts w:hint="eastAsia" w:ascii="方正仿宋_GBK" w:hAnsi="方正仿宋_GBK" w:eastAsia="方正仿宋_GBK" w:cs="方正仿宋_GBK"/>
          <w:b w:val="0"/>
          <w:bCs/>
          <w:color w:val="auto"/>
          <w:sz w:val="32"/>
          <w:szCs w:val="32"/>
          <w:highlight w:val="none"/>
          <w:lang w:val="en-US" w:eastAsia="zh-CN"/>
        </w:rPr>
        <w:t>学生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方正仿宋_GBK" w:hAnsi="方正仿宋_GBK" w:eastAsia="方正仿宋_GBK" w:cs="方正仿宋_GBK"/>
          <w:b w:val="0"/>
          <w:bCs/>
          <w:color w:val="auto"/>
          <w:sz w:val="32"/>
          <w:szCs w:val="32"/>
          <w:highlight w:val="none"/>
          <w:lang w:val="en-US" w:eastAsia="zh-CN"/>
        </w:rPr>
      </w:pPr>
      <w:bookmarkStart w:id="314" w:name="_Toc15360"/>
      <w:r>
        <w:rPr>
          <w:rFonts w:hint="eastAsia" w:ascii="方正仿宋_GBK" w:hAnsi="方正仿宋_GBK" w:eastAsia="方正仿宋_GBK" w:cs="方正仿宋_GBK"/>
          <w:b w:val="0"/>
          <w:bCs/>
          <w:color w:val="auto"/>
          <w:sz w:val="32"/>
          <w:szCs w:val="32"/>
          <w:highlight w:val="none"/>
          <w:lang w:val="en-US" w:eastAsia="zh-CN"/>
        </w:rPr>
        <w:t>（十）总结经验教训</w:t>
      </w:r>
      <w:bookmarkEnd w:id="31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K" w:hAnsi="方正仿宋_GBK" w:eastAsia="方正仿宋_GBK" w:cs="方正仿宋_GBK"/>
          <w:b w:val="0"/>
          <w:bCs/>
          <w:color w:val="auto"/>
          <w:sz w:val="32"/>
          <w:szCs w:val="32"/>
          <w:highlight w:val="none"/>
          <w:lang w:val="en-US" w:eastAsia="zh-CN"/>
        </w:rPr>
      </w:pPr>
      <w:r>
        <w:rPr>
          <w:rFonts w:hint="eastAsia" w:ascii="方正仿宋_GBK" w:hAnsi="方正仿宋_GBK" w:eastAsia="方正仿宋_GBK" w:cs="方正仿宋_GBK"/>
          <w:b w:val="0"/>
          <w:bCs/>
          <w:color w:val="auto"/>
          <w:sz w:val="32"/>
          <w:szCs w:val="32"/>
          <w:highlight w:val="none"/>
          <w:lang w:val="en-US" w:eastAsia="zh-CN"/>
        </w:rPr>
        <w:t>完成事件处理全过程报告，分析学生自杀原因，总结工作中的经验和教训，完善学校心理危机预防和干预工作，加强学生的心理健康教育，做到问题早发现，危机早干预。</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i w:val="0"/>
          <w:iCs w:val="0"/>
          <w:caps w:val="0"/>
          <w:color w:val="auto"/>
          <w:spacing w:val="0"/>
          <w:sz w:val="44"/>
          <w:szCs w:val="44"/>
          <w:highlight w:val="none"/>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default" w:eastAsia="方正黑体_GBK" w:asciiTheme="majorAscii" w:hAnsiTheme="majorAscii" w:cstheme="majorBidi"/>
          <w:b/>
          <w:bCs w:val="0"/>
          <w:color w:val="auto"/>
          <w:kern w:val="2"/>
          <w:sz w:val="32"/>
          <w:szCs w:val="32"/>
          <w:highlight w:val="none"/>
          <w:lang w:val="en-US" w:eastAsia="zh-CN" w:bidi="ar-SA"/>
        </w:rPr>
      </w:pPr>
      <w:r>
        <w:rPr>
          <w:rFonts w:hint="eastAsia" w:eastAsia="方正黑体_GBK" w:asciiTheme="majorAscii" w:hAnsiTheme="majorAscii" w:cstheme="majorBidi"/>
          <w:b/>
          <w:bCs w:val="0"/>
          <w:color w:val="auto"/>
          <w:kern w:val="2"/>
          <w:sz w:val="32"/>
          <w:szCs w:val="32"/>
          <w:highlight w:val="none"/>
          <w:lang w:val="en-US" w:eastAsia="zh-CN" w:bidi="ar-SA"/>
        </w:rPr>
        <w:t>第七章  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楷体_GBK" w:hAnsi="楷体" w:eastAsia="方正楷体_GBK" w:cs="宋体"/>
          <w:b/>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楷体" w:eastAsia="方正楷体_GBK" w:cs="宋体"/>
          <w:b/>
          <w:color w:val="auto"/>
          <w:sz w:val="32"/>
          <w:szCs w:val="32"/>
          <w:highlight w:val="none"/>
          <w:lang w:val="en-US" w:eastAsia="zh-CN"/>
        </w:rPr>
        <w:t>第十一条</w:t>
      </w:r>
      <w:r>
        <w:rPr>
          <w:rFonts w:hint="eastAsia" w:ascii="方正仿宋_GBK" w:hAnsi="方正仿宋_GBK" w:eastAsia="方正仿宋_GBK" w:cs="方正仿宋_GBK"/>
          <w:color w:val="auto"/>
          <w:sz w:val="32"/>
          <w:szCs w:val="32"/>
          <w:highlight w:val="none"/>
          <w:lang w:val="en-US" w:eastAsia="zh-CN"/>
        </w:rPr>
        <w:t xml:space="preserve">  本预案由学生工作处负责解释。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方正楷体_GBK" w:hAnsi="楷体" w:eastAsia="方正楷体_GBK" w:cs="宋体"/>
          <w:b/>
          <w:color w:val="auto"/>
          <w:sz w:val="32"/>
          <w:szCs w:val="32"/>
          <w:highlight w:val="none"/>
          <w:lang w:val="en-US" w:eastAsia="zh-CN"/>
        </w:rPr>
        <w:t>第十二条</w:t>
      </w:r>
      <w:r>
        <w:rPr>
          <w:rFonts w:hint="eastAsia" w:ascii="方正仿宋_GBK" w:hAnsi="方正仿宋_GBK" w:eastAsia="方正仿宋_GBK" w:cs="方正仿宋_GBK"/>
          <w:color w:val="auto"/>
          <w:sz w:val="32"/>
          <w:szCs w:val="32"/>
          <w:highlight w:val="none"/>
          <w:lang w:val="en-US" w:eastAsia="zh-CN"/>
        </w:rPr>
        <w:t xml:space="preserve">  本预案自2022年9月1日起实施。</w:t>
      </w:r>
    </w:p>
    <w:p>
      <w:pPr>
        <w:pStyle w:val="2"/>
        <w:spacing w:before="0" w:beforeLines="0" w:line="560" w:lineRule="exact"/>
        <w:ind w:firstLine="0" w:firstLineChars="0"/>
        <w:rPr>
          <w:rFonts w:hint="eastAsia" w:ascii="方正公文小标宋" w:hAnsi="方正公文小标宋" w:eastAsia="方正公文小标宋" w:cs="方正公文小标宋"/>
          <w:sz w:val="32"/>
          <w:szCs w:val="32"/>
        </w:rPr>
      </w:pPr>
      <w:bookmarkStart w:id="315" w:name="_Toc30061"/>
      <w:bookmarkStart w:id="316" w:name="_Toc3703"/>
    </w:p>
    <w:p>
      <w:pPr>
        <w:pStyle w:val="2"/>
        <w:spacing w:before="0" w:beforeLines="0" w:line="560" w:lineRule="exact"/>
        <w:ind w:firstLine="0" w:firstLineChars="0"/>
        <w:rPr>
          <w:rFonts w:hint="eastAsia" w:ascii="方正公文小标宋" w:hAnsi="方正公文小标宋" w:eastAsia="方正公文小标宋" w:cs="方正公文小标宋"/>
        </w:rPr>
      </w:pPr>
      <w:bookmarkStart w:id="317" w:name="_Toc30343"/>
      <w:r>
        <w:rPr>
          <w:rFonts w:hint="eastAsia" w:ascii="方正公文小标宋" w:hAnsi="方正公文小标宋" w:eastAsia="方正公文小标宋" w:cs="方正公文小标宋"/>
        </w:rPr>
        <w:t>云南省生源地信用助学贷款实施暂行办法</w:t>
      </w:r>
      <w:bookmarkEnd w:id="315"/>
      <w:bookmarkEnd w:id="317"/>
    </w:p>
    <w:p>
      <w:pPr>
        <w:spacing w:line="560" w:lineRule="exact"/>
        <w:jc w:val="center"/>
        <w:rPr>
          <w:rFonts w:ascii="方正黑体_GBK" w:hAnsi="方正黑体_GBK" w:eastAsia="方正黑体_GBK" w:cs="方正黑体_GBK"/>
          <w:b/>
          <w:sz w:val="32"/>
          <w:szCs w:val="32"/>
        </w:rPr>
      </w:pPr>
    </w:p>
    <w:p>
      <w:pPr>
        <w:pStyle w:val="3"/>
        <w:spacing w:line="560" w:lineRule="exact"/>
        <w:rPr>
          <w:b/>
          <w:bCs w:val="0"/>
        </w:rPr>
      </w:pPr>
      <w:bookmarkStart w:id="318" w:name="_Toc16369_WPSOffice_Level1"/>
      <w:bookmarkStart w:id="319" w:name="_Toc15379267"/>
      <w:bookmarkStart w:id="320" w:name="_Toc19006"/>
      <w:bookmarkStart w:id="321" w:name="_Toc541"/>
      <w:r>
        <w:rPr>
          <w:rFonts w:hint="eastAsia"/>
          <w:b/>
          <w:bCs w:val="0"/>
        </w:rPr>
        <w:t>第一章  总则</w:t>
      </w:r>
      <w:bookmarkEnd w:id="318"/>
      <w:bookmarkEnd w:id="319"/>
      <w:bookmarkEnd w:id="320"/>
      <w:bookmarkEnd w:id="321"/>
    </w:p>
    <w:p>
      <w:pPr>
        <w:spacing w:line="560" w:lineRule="exact"/>
        <w:ind w:firstLine="643" w:firstLineChars="200"/>
        <w:jc w:val="center"/>
        <w:rPr>
          <w:rFonts w:ascii="方正黑体_GBK" w:eastAsia="方正黑体_GBK"/>
          <w:b/>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第一条 </w:t>
      </w:r>
      <w:r>
        <w:rPr>
          <w:rFonts w:hint="eastAsia" w:ascii="方正仿宋_GBK" w:eastAsia="方正仿宋_GBK"/>
          <w:sz w:val="32"/>
          <w:szCs w:val="32"/>
        </w:rPr>
        <w:t xml:space="preserve"> 为贯彻落实《国务院关于建立健全普通本科高校、高等职业学校和中等职业学校家庭经济困难学生资助政策体系的意见》（国发〔2007〕13号）、《国务院办公厅转发教育部、财政部、人民银行、银监会关于进一步完善国家助学贷款工作若干意见的通知》(国办发〔2004〕51号)和《财政部、教育部、银监会关于大力开展生源地信用助学贷款的通知》(财教〔2008〕196 号)等文件精神切实推进我省国家助学贷款工作,结合我省实际，制定本办法。</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第二条</w:t>
      </w:r>
      <w:r>
        <w:rPr>
          <w:rFonts w:hint="eastAsia" w:ascii="方正仿宋_GBK" w:eastAsia="方正仿宋_GBK"/>
          <w:sz w:val="32"/>
          <w:szCs w:val="32"/>
        </w:rPr>
        <w:t xml:space="preserve">  生源地信用助学贷款是指国家开发银行等金融机构（以下简称经办银行）向符合条件的家庭经济困难的普通高校新生和在校生（以下简称学生）发放的、在学生入学前户籍所在县（市、区）办理的助学贷款。生源地贷款为信用贷款，学生和家长（或其他法定监护人）为共同借款人（以下简称借款人），共同承担还款责任。</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第三条</w:t>
      </w:r>
      <w:r>
        <w:rPr>
          <w:rFonts w:hint="eastAsia" w:ascii="方正仿宋_GBK" w:eastAsia="方正仿宋_GBK"/>
          <w:sz w:val="32"/>
          <w:szCs w:val="32"/>
        </w:rPr>
        <w:t xml:space="preserve">  生源地信用助学贷款是国家助学贷款重要的组成部分，是进一步完善国家助学贷款运行机制、推动国家助学贷款工作的重要步骤，是利用财政、金融手段、创新金融服务体系解决家庭经济困难学生就学问题的重要探索和实践。</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第四条</w:t>
      </w:r>
      <w:r>
        <w:rPr>
          <w:rFonts w:hint="eastAsia" w:ascii="方正仿宋_GBK" w:eastAsia="方正仿宋_GBK"/>
          <w:sz w:val="32"/>
          <w:szCs w:val="32"/>
        </w:rPr>
        <w:t xml:space="preserve">  生源地信用助学贷款以国家开发银行为主承办行，同时鼓励其他银行类金融机构开展此项业务。如有需要，国家开发银行及有关金融机构可通过委托代理方式由其他金融机构辅助结算管理（以下简称委托代理行）。</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第五条  </w:t>
      </w:r>
      <w:r>
        <w:rPr>
          <w:rFonts w:hint="eastAsia" w:ascii="方正仿宋_GBK" w:eastAsia="方正仿宋_GBK"/>
          <w:sz w:val="32"/>
          <w:szCs w:val="32"/>
        </w:rPr>
        <w:t>生源地信用助学贷款按照“防范风险，方便贷款”的原则，由借款人在户口所在县（市、区）的资助管理中心办理。</w:t>
      </w:r>
    </w:p>
    <w:p>
      <w:pPr>
        <w:spacing w:line="560" w:lineRule="exact"/>
        <w:rPr>
          <w:rFonts w:ascii="方正仿宋_GBK" w:eastAsia="方正仿宋_GBK"/>
          <w:sz w:val="32"/>
          <w:szCs w:val="32"/>
        </w:rPr>
      </w:pPr>
      <w:r>
        <w:rPr>
          <w:rFonts w:hint="eastAsia" w:ascii="方正仿宋_GBK" w:eastAsia="方正仿宋_GBK"/>
          <w:sz w:val="32"/>
          <w:szCs w:val="32"/>
        </w:rPr>
        <w:t xml:space="preserve"> </w:t>
      </w:r>
    </w:p>
    <w:p>
      <w:pPr>
        <w:pStyle w:val="3"/>
        <w:spacing w:line="560" w:lineRule="exact"/>
        <w:rPr>
          <w:rFonts w:hint="eastAsia"/>
          <w:b/>
          <w:bCs w:val="0"/>
        </w:rPr>
      </w:pPr>
      <w:bookmarkStart w:id="322" w:name="_Toc25679_WPSOffice_Level1"/>
      <w:bookmarkStart w:id="323" w:name="_Toc31073"/>
      <w:bookmarkStart w:id="324" w:name="_Toc8207"/>
      <w:bookmarkStart w:id="325" w:name="_Toc15379268"/>
      <w:r>
        <w:rPr>
          <w:rFonts w:hint="eastAsia"/>
          <w:b/>
          <w:bCs w:val="0"/>
        </w:rPr>
        <w:t>第二章  组织管理</w:t>
      </w:r>
      <w:bookmarkEnd w:id="322"/>
      <w:bookmarkEnd w:id="323"/>
      <w:bookmarkEnd w:id="324"/>
      <w:bookmarkEnd w:id="325"/>
    </w:p>
    <w:p>
      <w:pPr>
        <w:spacing w:line="560" w:lineRule="exact"/>
        <w:jc w:val="center"/>
        <w:rPr>
          <w:rFonts w:ascii="方正黑体_GBK" w:eastAsia="方正黑体_GBK"/>
          <w:b/>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第六条  </w:t>
      </w:r>
      <w:r>
        <w:rPr>
          <w:rFonts w:hint="eastAsia" w:ascii="方正仿宋_GBK" w:eastAsia="方正仿宋_GBK"/>
          <w:sz w:val="32"/>
          <w:szCs w:val="32"/>
        </w:rPr>
        <w:t>为保证生源地信用助学贷款的顺利实施，成立由省教育厅牵头，省财政厅、云南银监局、国家开发银行云南省分行等职能部门负责同志为成员的云南省生源地信用助学贷款工作协调领导小组，加强对生源地信用助学贷款工作的领导。协调领导小组主要职责是研究解决生源地信用助学贷款工作实施过程中出现的重大问题，协调相关职能部门间的关系，组织宣传并落实相关政策，推进全省有关工作。</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第七条  </w:t>
      </w:r>
      <w:r>
        <w:rPr>
          <w:rFonts w:hint="eastAsia" w:ascii="方正仿宋_GBK" w:eastAsia="方正仿宋_GBK"/>
          <w:sz w:val="32"/>
          <w:szCs w:val="32"/>
        </w:rPr>
        <w:t>云南省国家助学贷款管理中心为领导小组办公室的日常办事机构，主要职责为：负责协调全省生源地信用助学贷款工作，并推动和指导各州（市）、县（市、区）助学贷款工作；指导各州（市）、县（市、区）建立学生资助管理中心，制定相关管理考核制度；定期向省财政厅和经办银行通报工作情况；归集贴息资金和风险补偿金，保证及时足额向经办银行划拨；建立并加强生源地信用助学贷款信息管理系统，建立与人民银行征信系统和各高校的信息联结机制，及时向高校、州（市）级资助中心和经办银行提供借款学生的动态信息。</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第八条</w:t>
      </w:r>
      <w:r>
        <w:rPr>
          <w:rFonts w:hint="eastAsia" w:ascii="方正仿宋_GBK" w:eastAsia="方正仿宋_GBK"/>
          <w:sz w:val="32"/>
          <w:szCs w:val="32"/>
        </w:rPr>
        <w:t xml:space="preserve">  按照省政府确定的贴息资金和风险补偿金分担原则，财政部门足额安排并及时拨付贴息资金和风险补偿金，会同教育等部门加强贴息资金和风险补偿金使用管理和监督。县级财政部门要积极配合教育等部门协调有关事项，足额安排县级学生资助管理中心的经费，会同同级教育行政部门领导和监督县级学生资助管理中心开展生源地信用助学贷款工作。</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第九条</w:t>
      </w:r>
      <w:r>
        <w:rPr>
          <w:rFonts w:hint="eastAsia" w:ascii="方正仿宋_GBK" w:eastAsia="方正仿宋_GBK"/>
          <w:sz w:val="32"/>
          <w:szCs w:val="32"/>
        </w:rPr>
        <w:t xml:space="preserve">  银监部门负责会同财政、教育部门对银行业金融机构开办生源地信用助学贷款业务进行指导，定期进行检查和评价，督促经办银行完善金融服务、提高工作效率。银监部门负责对银行业金融机构定期通报生源地信用助学贷款违约情况，实现信息共享。</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第十条</w:t>
      </w:r>
      <w:r>
        <w:rPr>
          <w:rFonts w:hint="eastAsia" w:ascii="方正仿宋_GBK" w:eastAsia="方正仿宋_GBK"/>
          <w:sz w:val="32"/>
          <w:szCs w:val="32"/>
        </w:rPr>
        <w:t xml:space="preserve">  国家开发银行等开办生源地信用助学贷款业务的金融机构要按照国家信贷政策，科学合理设计贷款方式和期限结构，制订生源地信用助学贷款的操作规程，负责审核、发放和管理贷款，确保贷款渠道畅通，使符合条件且有贷款需求的家庭经济困难学生都能申请获得生源地信用助学贷款。要会同财政、教育部门根据生源地信用助学贷款承贷周期不同阶段的特点，建立以学生为中心的家庭、高校和就业单位三地的贷款产品、信息和信用联结，形成贷款学生借款期间全过程的信用管理。</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第十一条</w:t>
      </w:r>
      <w:r>
        <w:rPr>
          <w:rFonts w:hint="eastAsia" w:ascii="方正仿宋_GBK" w:eastAsia="方正仿宋_GBK"/>
          <w:sz w:val="32"/>
          <w:szCs w:val="32"/>
        </w:rPr>
        <w:t xml:space="preserve">  各州（市）和县（市、区）应组建相应的学生资助工作领导小组和办公室。州（市）级资助中心主要负责组织、指导、考核和监督本地区县级资助中心开展工作，并定期向省级资助机构上报全州（市）生源地信用助学贷款开展情况；州（市）、县（市、区）财政部门要积极参与生源地信用助学贷款管理，参与协调有关事项，足额安排市、县级资助中心经费。县（市、区）人民政府、县（市、区）教育局应与经办银行签订《生源地信用助学贷款县级合作协议》，并将生源地信用助学贷款工作纳入县教育局年度目标责任考核范围。</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第十二条</w:t>
      </w:r>
      <w:r>
        <w:rPr>
          <w:rFonts w:hint="eastAsia" w:ascii="方正仿宋_GBK" w:eastAsia="方正仿宋_GBK"/>
          <w:sz w:val="32"/>
          <w:szCs w:val="32"/>
        </w:rPr>
        <w:t xml:space="preserve">  县级教育行政部门要按照《国务院关于建立健全普通本科高校、高等职业学校和中等职业学校家庭经济困难学生资助政策体系的意见》的要求，在整合现有资源的基础上，成立学生资助管理中心。主要职责是：</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一）负责收集、整理、汇总学生的家庭经济状况、生源地信用助学贷款需求等信息；对贷款学生的家庭经济困难情况进行调查、认定；建立学生信用和贷款资格评议小组，确定符合贷款条件的学生名单，测算贷款需求，编制贷款预案；办理生源地信用助学贷款的申请、初审等管理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二）接受高等学校、生源地信用助学贷款和国家助学贷款经办银行的委托，建立与贷款学生家庭的联系制度，跟踪了解贷款学生的家庭经济状况变化情况；受经办银行委托催还贷款；负责向省级学生资助管理中心、高等学校和经办银行定期报送贷款学生的有关信息等，加强与高校沟通，避免重复贷款。</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（三）生源地信用助学贷款的宣传工作。会同当地有关部门组织新闻媒体在本县（市、区）范围内，利用广大人民群众和学生喜闻乐见的形式，开展生源地信用助学贷款政策的宣传和咨询工作。</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没有成立学生资助管理中心的县，应暂由各县级教育行政部门尽快协调专人负责上述工作。</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第十三条 </w:t>
      </w:r>
      <w:r>
        <w:rPr>
          <w:rFonts w:hint="eastAsia" w:ascii="方正仿宋_GBK" w:eastAsia="方正仿宋_GBK"/>
          <w:sz w:val="32"/>
          <w:szCs w:val="32"/>
        </w:rPr>
        <w:t xml:space="preserve"> 各有关普通高中要配合县级学生资助管理中心及经办银行，提供当年高考招生录取情况及生源地信用助学贷款需求情况，协助做好贷款申请、审批和发放等工作。有关高等学校要加强对学生的诚信教育，培养学生的诚信意识，教育学生毕业后按照合同约定履行还款义务；根据有关县级学生资助管理中心需要，协助提供生源地信用助学贷款学生的相关信息和高校收费账户信息等资料。</w:t>
      </w:r>
    </w:p>
    <w:p>
      <w:pPr>
        <w:spacing w:line="560" w:lineRule="exact"/>
        <w:rPr>
          <w:rFonts w:ascii="方正仿宋_GBK" w:eastAsia="方正仿宋_GBK"/>
          <w:sz w:val="32"/>
          <w:szCs w:val="32"/>
        </w:rPr>
      </w:pPr>
      <w:r>
        <w:rPr>
          <w:rFonts w:hint="eastAsia" w:ascii="方正仿宋_GBK" w:eastAsia="方正仿宋_GBK"/>
          <w:sz w:val="32"/>
          <w:szCs w:val="32"/>
        </w:rPr>
        <w:t xml:space="preserve"> </w:t>
      </w:r>
    </w:p>
    <w:p>
      <w:pPr>
        <w:pStyle w:val="3"/>
        <w:spacing w:line="560" w:lineRule="exact"/>
        <w:rPr>
          <w:rFonts w:hint="eastAsia"/>
          <w:b/>
          <w:bCs w:val="0"/>
        </w:rPr>
      </w:pPr>
      <w:bookmarkStart w:id="326" w:name="_Toc15379269"/>
      <w:bookmarkStart w:id="327" w:name="_Toc2084_WPSOffice_Level1"/>
      <w:bookmarkStart w:id="328" w:name="_Toc1611"/>
      <w:bookmarkStart w:id="329" w:name="_Toc11088"/>
      <w:r>
        <w:rPr>
          <w:rFonts w:hint="eastAsia"/>
          <w:b/>
          <w:bCs w:val="0"/>
        </w:rPr>
        <w:t>第三章  贷款对象及条件</w:t>
      </w:r>
      <w:bookmarkEnd w:id="326"/>
      <w:bookmarkEnd w:id="327"/>
      <w:bookmarkEnd w:id="328"/>
      <w:bookmarkEnd w:id="329"/>
    </w:p>
    <w:p>
      <w:pPr>
        <w:spacing w:line="560" w:lineRule="exact"/>
        <w:jc w:val="center"/>
        <w:rPr>
          <w:rFonts w:ascii="方正黑体_GBK" w:eastAsia="方正黑体_GBK"/>
          <w:b/>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第十四条</w:t>
      </w:r>
      <w:r>
        <w:rPr>
          <w:rFonts w:hint="eastAsia" w:ascii="方正仿宋_GBK" w:eastAsia="方正仿宋_GBK"/>
          <w:sz w:val="32"/>
          <w:szCs w:val="32"/>
        </w:rPr>
        <w:t xml:space="preserve">  申请生源地信用助学贷款的学生和共同借款人必须同时符合以下条件：</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（一）具有中华人民共和国国籍。</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（二）诚实守信，遵纪守法。</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三）已被根据国家有关规定批准设立、实施高等学历教育的全日制普通本科高校、高等职业学校和高等专科学校（含民办高校和独立学院，学校名单以教育部公布的为准）正式录取，取得真实、合法、有效的录取通知书的新生或高校在读的本专科学生、研究生和第二学士学生。</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（四）学生本人入学前户籍、其父母（或其他法定监护人）户籍均在本县（市、区）。</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（五）家庭经济困难，所能获得的收入不足以支付在校期间完成学业所需的基本费用。</w:t>
      </w:r>
    </w:p>
    <w:p>
      <w:pPr>
        <w:pStyle w:val="3"/>
        <w:spacing w:line="560" w:lineRule="exact"/>
        <w:rPr>
          <w:rFonts w:hint="eastAsia"/>
          <w:b/>
          <w:bCs w:val="0"/>
        </w:rPr>
      </w:pPr>
      <w:r>
        <w:rPr>
          <w:rFonts w:hint="eastAsia" w:ascii="方正仿宋_GBK" w:eastAsia="方正仿宋_GBK"/>
          <w:sz w:val="32"/>
          <w:szCs w:val="32"/>
        </w:rPr>
        <w:t xml:space="preserve"> </w:t>
      </w:r>
    </w:p>
    <w:p>
      <w:pPr>
        <w:pStyle w:val="3"/>
        <w:spacing w:line="560" w:lineRule="exact"/>
        <w:rPr>
          <w:rFonts w:hint="eastAsia"/>
          <w:b/>
          <w:bCs w:val="0"/>
        </w:rPr>
      </w:pPr>
      <w:bookmarkStart w:id="330" w:name="_Toc2635_WPSOffice_Level1"/>
      <w:bookmarkStart w:id="331" w:name="_Toc26456"/>
      <w:bookmarkStart w:id="332" w:name="_Toc15379270"/>
      <w:bookmarkStart w:id="333" w:name="_Toc27230"/>
      <w:r>
        <w:rPr>
          <w:rFonts w:hint="eastAsia"/>
          <w:b/>
          <w:bCs w:val="0"/>
        </w:rPr>
        <w:t>第四章  贷款金额、期限和利率</w:t>
      </w:r>
      <w:bookmarkEnd w:id="330"/>
      <w:bookmarkEnd w:id="331"/>
      <w:bookmarkEnd w:id="332"/>
      <w:bookmarkEnd w:id="333"/>
    </w:p>
    <w:p>
      <w:pPr>
        <w:spacing w:line="560" w:lineRule="exact"/>
        <w:jc w:val="center"/>
        <w:rPr>
          <w:rFonts w:ascii="方正黑体_GBK" w:eastAsia="方正黑体_GBK"/>
          <w:b/>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第十五条 </w:t>
      </w:r>
      <w:r>
        <w:rPr>
          <w:rFonts w:hint="eastAsia" w:ascii="方正仿宋_GBK" w:eastAsia="方正仿宋_GBK"/>
          <w:sz w:val="32"/>
          <w:szCs w:val="32"/>
        </w:rPr>
        <w:t xml:space="preserve"> 生源地信用助学贷款按年度申请、审批和发放。每个借款人每年申请的贷款原则上最高不超过</w:t>
      </w:r>
      <w:r>
        <w:rPr>
          <w:rFonts w:hint="eastAsia" w:ascii="方正仿宋_GBK" w:eastAsia="方正仿宋_GBK"/>
          <w:sz w:val="32"/>
          <w:szCs w:val="32"/>
          <w:highlight w:val="yellow"/>
          <w:lang w:val="en-US" w:eastAsia="zh-CN"/>
        </w:rPr>
        <w:t>12000</w:t>
      </w:r>
      <w:r>
        <w:rPr>
          <w:rFonts w:hint="eastAsia" w:ascii="方正仿宋_GBK" w:eastAsia="方正仿宋_GBK"/>
          <w:sz w:val="32"/>
          <w:szCs w:val="32"/>
          <w:highlight w:val="yellow"/>
        </w:rPr>
        <w:t>元</w:t>
      </w:r>
      <w:r>
        <w:rPr>
          <w:rFonts w:hint="eastAsia" w:ascii="方正仿宋_GBK" w:eastAsia="方正仿宋_GBK"/>
          <w:sz w:val="32"/>
          <w:szCs w:val="32"/>
        </w:rPr>
        <w:t>，</w:t>
      </w:r>
      <w:r>
        <w:rPr>
          <w:rFonts w:hint="eastAsia" w:ascii="方正仿宋_GBK" w:eastAsia="方正仿宋_GBK"/>
          <w:sz w:val="32"/>
          <w:szCs w:val="32"/>
          <w:highlight w:val="yellow"/>
          <w:lang w:val="en-US" w:eastAsia="zh-CN"/>
        </w:rPr>
        <w:t>申请的国家助学贷款应优先于支付在校期间学费和住宿费，超出部分可用于弥补日常生活费用。</w:t>
      </w:r>
      <w:r>
        <w:rPr>
          <w:rFonts w:hint="eastAsia" w:ascii="方正仿宋_GBK" w:eastAsia="方正仿宋_GBK"/>
          <w:sz w:val="32"/>
          <w:szCs w:val="32"/>
        </w:rPr>
        <w:t>高校在读学生当年在高校获得了国家助学贷款的，不得同时申请生源地信用助学贷款。</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第十六条</w:t>
      </w:r>
      <w:r>
        <w:rPr>
          <w:rFonts w:hint="eastAsia" w:ascii="方正仿宋_GBK" w:eastAsia="方正仿宋_GBK"/>
          <w:sz w:val="32"/>
          <w:szCs w:val="32"/>
        </w:rPr>
        <w:t xml:space="preserve">  生源地信用助学贷款期限原则上按全日制</w:t>
      </w:r>
      <w:r>
        <w:rPr>
          <w:rFonts w:hint="eastAsia" w:ascii="方正仿宋_GBK" w:eastAsia="方正仿宋_GBK"/>
          <w:sz w:val="32"/>
          <w:szCs w:val="32"/>
          <w:highlight w:val="yellow"/>
        </w:rPr>
        <w:t>本专科学制加</w:t>
      </w:r>
      <w:r>
        <w:rPr>
          <w:rFonts w:hint="eastAsia" w:ascii="方正仿宋_GBK" w:eastAsia="方正仿宋_GBK"/>
          <w:sz w:val="32"/>
          <w:szCs w:val="32"/>
          <w:highlight w:val="yellow"/>
          <w:lang w:val="en-US" w:eastAsia="zh-CN"/>
        </w:rPr>
        <w:t>15</w:t>
      </w:r>
      <w:r>
        <w:rPr>
          <w:rFonts w:hint="eastAsia" w:ascii="方正仿宋_GBK" w:eastAsia="方正仿宋_GBK"/>
          <w:sz w:val="32"/>
          <w:szCs w:val="32"/>
          <w:highlight w:val="yellow"/>
        </w:rPr>
        <w:t>年确定，最长不超过</w:t>
      </w:r>
      <w:r>
        <w:rPr>
          <w:rFonts w:hint="eastAsia" w:ascii="方正仿宋_GBK" w:eastAsia="方正仿宋_GBK"/>
          <w:sz w:val="32"/>
          <w:szCs w:val="32"/>
          <w:highlight w:val="yellow"/>
          <w:lang w:val="en-US" w:eastAsia="zh-CN"/>
        </w:rPr>
        <w:t>22</w:t>
      </w:r>
      <w:r>
        <w:rPr>
          <w:rFonts w:hint="eastAsia" w:ascii="方正仿宋_GBK" w:eastAsia="方正仿宋_GBK"/>
          <w:sz w:val="32"/>
          <w:szCs w:val="32"/>
          <w:highlight w:val="yellow"/>
        </w:rPr>
        <w:t>年</w:t>
      </w:r>
      <w:r>
        <w:rPr>
          <w:rFonts w:hint="eastAsia" w:ascii="方正仿宋_GBK" w:eastAsia="方正仿宋_GBK"/>
          <w:sz w:val="32"/>
          <w:szCs w:val="32"/>
          <w:highlight w:val="yellow"/>
          <w:lang w:eastAsia="zh-CN"/>
        </w:rPr>
        <w:t>。</w:t>
      </w:r>
      <w:r>
        <w:rPr>
          <w:rFonts w:hint="eastAsia" w:ascii="方正仿宋_GBK" w:eastAsia="方正仿宋_GBK"/>
          <w:sz w:val="32"/>
          <w:szCs w:val="32"/>
        </w:rPr>
        <w:t>学制超过4年或继续攻读研究生学位、第二学士学位的，相应缩短学生毕业后的还贷期限。</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第十七条 </w:t>
      </w:r>
      <w:r>
        <w:rPr>
          <w:rFonts w:hint="eastAsia" w:ascii="方正仿宋_GBK" w:eastAsia="方正仿宋_GBK"/>
          <w:sz w:val="32"/>
          <w:szCs w:val="32"/>
        </w:rPr>
        <w:t xml:space="preserve"> 生源地信用助学贷款利率执行中国人民银行同期公布的同档次基准利率，不得上浮。</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第十八条</w:t>
      </w:r>
      <w:r>
        <w:rPr>
          <w:rFonts w:hint="eastAsia" w:ascii="方正仿宋_GBK" w:eastAsia="方正仿宋_GBK"/>
          <w:sz w:val="32"/>
          <w:szCs w:val="32"/>
        </w:rPr>
        <w:t xml:space="preserve">  生源地信用助学贷款利息按年计收。学生在校期间的利息由财政全额贴息，毕业后的利息由学生和家长（或其他法定监护人）共同负担。学生在校及毕业后</w:t>
      </w:r>
      <w:r>
        <w:rPr>
          <w:rFonts w:hint="eastAsia" w:ascii="方正仿宋_GBK" w:eastAsia="方正仿宋_GBK"/>
          <w:sz w:val="32"/>
          <w:szCs w:val="32"/>
          <w:lang w:val="en-US" w:eastAsia="zh-CN"/>
        </w:rPr>
        <w:t>五</w:t>
      </w:r>
      <w:r>
        <w:rPr>
          <w:rFonts w:hint="eastAsia" w:ascii="方正仿宋_GBK" w:eastAsia="方正仿宋_GBK"/>
          <w:sz w:val="32"/>
          <w:szCs w:val="32"/>
        </w:rPr>
        <w:t>年期间为宽限期，宽限期后由学生和家长（或其他法定监护人）按借款合同约定，按年度分期偿还贷款本息。鼓励提前还款，除应付本息外，提前还款不加收任何费用。</w:t>
      </w:r>
    </w:p>
    <w:p>
      <w:pPr>
        <w:pStyle w:val="3"/>
        <w:spacing w:line="560" w:lineRule="exact"/>
        <w:rPr>
          <w:rFonts w:hint="eastAsia"/>
          <w:b/>
          <w:bCs w:val="0"/>
        </w:rPr>
      </w:pPr>
    </w:p>
    <w:p>
      <w:pPr>
        <w:pStyle w:val="3"/>
        <w:spacing w:line="560" w:lineRule="exact"/>
        <w:rPr>
          <w:rFonts w:hint="eastAsia"/>
          <w:b/>
          <w:bCs w:val="0"/>
        </w:rPr>
      </w:pPr>
      <w:bookmarkStart w:id="334" w:name="_Toc6542_WPSOffice_Level1"/>
      <w:bookmarkStart w:id="335" w:name="_Toc15379271"/>
      <w:bookmarkStart w:id="336" w:name="_Toc13809"/>
      <w:bookmarkStart w:id="337" w:name="_Toc19716"/>
      <w:r>
        <w:rPr>
          <w:rFonts w:hint="eastAsia"/>
          <w:b/>
          <w:bCs w:val="0"/>
        </w:rPr>
        <w:t>第五章  贷款程序</w:t>
      </w:r>
      <w:bookmarkEnd w:id="334"/>
      <w:bookmarkEnd w:id="335"/>
      <w:bookmarkEnd w:id="336"/>
      <w:bookmarkEnd w:id="337"/>
    </w:p>
    <w:p>
      <w:pPr>
        <w:spacing w:line="560" w:lineRule="exact"/>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第十九条</w:t>
      </w:r>
      <w:r>
        <w:rPr>
          <w:rFonts w:hint="eastAsia" w:ascii="方正仿宋_GBK" w:eastAsia="方正仿宋_GBK"/>
          <w:sz w:val="32"/>
          <w:szCs w:val="32"/>
        </w:rPr>
        <w:t xml:space="preserve">  贷款申请。符合借款条件的学生和共同借款人，向县级资助中心提出借款申请，同时提供以下材料：</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（一）借款人合法有效身份证及其复印件。</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（二）借款申请表。</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（三）学籍证明。新生凭大学录取通知书及其复印件；在校生凭《学生证》及借款学生所在高校出具的未在高校获得国家助学贷款的证明。</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（四）经办银行所需其他材料。</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第二十条</w:t>
      </w:r>
      <w:r>
        <w:rPr>
          <w:rFonts w:hint="eastAsia" w:ascii="方正仿宋_GBK" w:eastAsia="方正仿宋_GBK"/>
          <w:sz w:val="32"/>
          <w:szCs w:val="32"/>
        </w:rPr>
        <w:t xml:space="preserve">  贷款审查及合同签订。县级资助中心收到借款申请后，在一个工作日内对申请资料进行审查，审查合格的，指导借款学生到经办银行（或代理经办行）开设个人账户，并与申请借款学生及共同借款人签订合同和划款授权委托书，开具合同回执交申请借款学生。合同一式四份，正本三份，副本一份，借款学生执一份正本，共同借款人执一份副本，县级资助中心及借款银行各执一份正本，各份文本的效力相同。借款合同由经办银行统一印制，待经办银行审批通过后正式生效。</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第二十一条</w:t>
      </w:r>
      <w:r>
        <w:rPr>
          <w:rFonts w:hint="eastAsia" w:ascii="方正仿宋_GBK" w:eastAsia="方正仿宋_GBK"/>
          <w:sz w:val="32"/>
          <w:szCs w:val="32"/>
        </w:rPr>
        <w:t xml:space="preserve">  借款学生携带合同到学校报到，由学校按照合同回执要求填写并盖章，借款学生须在报到后20日内将合同回执寄回所在县级资助中心。报到后30个工作日内县资助中心未收到回执，视同学生撤销借款申请。</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按省助贷中心要求，县级资助中心将借款合同和合同回执分批次整理汇总后报送经办银行，同时将合同和合同回执情况汇总报州（市）助贷中心，州（市）助贷中心审核汇总后上报省助贷中心，省助贷中心审核同意后，书面申请经办银行对县级报送申请进行审批。</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第二十二条</w:t>
      </w:r>
      <w:r>
        <w:rPr>
          <w:rFonts w:hint="eastAsia" w:ascii="方正仿宋_GBK" w:eastAsia="方正仿宋_GBK"/>
          <w:sz w:val="32"/>
          <w:szCs w:val="32"/>
        </w:rPr>
        <w:t xml:space="preserve">  贷款审批。经办银行在收到省资助中心报送的审批申请后5个工作日内，对贷款进行审批，借款合同于经办银行审批后生效。经办银行将审批结果汇总，于1个工作日内送交省资助中心，省资助中心在接到审批结果后5个工作日内逐级下发给县资助中心，由其转交县级经办银行（或委托代理行）备案。</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第二十三条 </w:t>
      </w:r>
      <w:r>
        <w:rPr>
          <w:rFonts w:hint="eastAsia" w:ascii="方正仿宋_GBK" w:eastAsia="方正仿宋_GBK"/>
          <w:sz w:val="32"/>
          <w:szCs w:val="32"/>
        </w:rPr>
        <w:t xml:space="preserve"> 贷款发放。经办银行按审批结果将贷款发放至县级资助中心的账户（各县级资助中心应当在经办银行开立账户，暂未成立县级学生资助中心的，由县级教育行政部门代为开立账户）。县级经办银行（或委托代理行）于贷款资金到账2个工作日内，将贷款资金划付至借款学生个人账户并进行资金监管，之后根据借款学生就读高校要求，3个工作日内将贷款资金从个人账户划付至借款人就读学校的账户。</w:t>
      </w:r>
    </w:p>
    <w:p>
      <w:pPr>
        <w:spacing w:line="560" w:lineRule="exact"/>
        <w:rPr>
          <w:rFonts w:ascii="方正仿宋_GBK" w:eastAsia="方正仿宋_GBK"/>
          <w:sz w:val="32"/>
          <w:szCs w:val="32"/>
        </w:rPr>
      </w:pPr>
      <w:r>
        <w:rPr>
          <w:rFonts w:hint="eastAsia" w:ascii="方正仿宋_GBK" w:eastAsia="方正仿宋_GBK"/>
          <w:sz w:val="32"/>
          <w:szCs w:val="32"/>
        </w:rPr>
        <w:t xml:space="preserve"> </w:t>
      </w:r>
    </w:p>
    <w:p>
      <w:pPr>
        <w:pStyle w:val="3"/>
        <w:spacing w:line="560" w:lineRule="exact"/>
        <w:rPr>
          <w:rFonts w:hint="eastAsia"/>
          <w:b/>
          <w:bCs w:val="0"/>
        </w:rPr>
      </w:pPr>
      <w:bookmarkStart w:id="338" w:name="_Toc19188"/>
      <w:bookmarkStart w:id="339" w:name="_Toc20110_WPSOffice_Level1"/>
      <w:bookmarkStart w:id="340" w:name="_Toc15379272"/>
      <w:bookmarkStart w:id="341" w:name="_Toc24829"/>
      <w:r>
        <w:rPr>
          <w:rFonts w:hint="eastAsia"/>
          <w:b/>
          <w:bCs w:val="0"/>
        </w:rPr>
        <w:t>第六章  贷款贴息、本息回收</w:t>
      </w:r>
      <w:bookmarkEnd w:id="338"/>
      <w:bookmarkEnd w:id="339"/>
      <w:bookmarkEnd w:id="340"/>
      <w:bookmarkEnd w:id="341"/>
    </w:p>
    <w:p>
      <w:pPr>
        <w:spacing w:line="560" w:lineRule="exact"/>
        <w:jc w:val="center"/>
        <w:rPr>
          <w:rFonts w:ascii="方正黑体_GBK" w:eastAsia="方正黑体_GBK"/>
          <w:b/>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第二十四条  </w:t>
      </w:r>
      <w:r>
        <w:rPr>
          <w:rFonts w:hint="eastAsia" w:ascii="方正仿宋_GBK" w:eastAsia="方正仿宋_GBK"/>
          <w:sz w:val="32"/>
          <w:szCs w:val="32"/>
        </w:rPr>
        <w:t>借款学生在校期间利息全部由财政补贴，其中，考入中央高校的学生，其贷款贴息由中央财政承担。考入地方高校的学生，跨省就读的，其贷款贴息由中央财政承担；在本省就读的，其贷款贴息由省财政负担。</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经办银行于每年度结息日（12月20日）前30个工作日进行预结息，县级资助中心将预结息情况逐级上报省资助中心汇总，汇总结果经经办银行省行确认后，省资助中心向主管部门提出贴息申请。中央财政负担的贴息资金，按照中央财政有关规定办理划付手续；省财政负担的贴息资金，由省资助中心归集后在年度结息日前直接划付经办银行。</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第二十五条</w:t>
      </w:r>
      <w:r>
        <w:rPr>
          <w:rFonts w:hint="eastAsia" w:ascii="方正仿宋_GBK" w:eastAsia="方正仿宋_GBK"/>
          <w:sz w:val="32"/>
          <w:szCs w:val="32"/>
        </w:rPr>
        <w:t xml:space="preserve">  借款学生毕业后利息全部由学生及家长（或其他法定监护人）负担。其计息期自借款人取得毕业证书当年9月1日（含1日）起，当借款学生在校就读期间发生退学、开除、死亡、失踪等情况时，自办理有关手续之日的下月1日（含1日）起由借款人自付利息。</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 xml:space="preserve">第二十六条  </w:t>
      </w:r>
      <w:r>
        <w:rPr>
          <w:rFonts w:hint="eastAsia" w:ascii="方正仿宋_GBK" w:eastAsia="方正仿宋_GBK"/>
          <w:sz w:val="32"/>
          <w:szCs w:val="32"/>
        </w:rPr>
        <w:t>学生毕业后贷款进入还款期，县级资助中心按照借款合同的约定于贷款本息到期日前与县级经办银行（或委托代理行）核对借款学生名单、贷款金额、期限、利率等信息，由经办银行计算还本付息金额。县级资助中心应提前通知借款人在个人账户预存相应款项。经办银行于结息日或还本日从学生个人账户扣收贷款到期本息，并划转至结算账户，及时出具扣收清单。</w:t>
      </w:r>
    </w:p>
    <w:p>
      <w:pPr>
        <w:spacing w:line="560" w:lineRule="exact"/>
        <w:ind w:firstLine="640" w:firstLineChars="200"/>
        <w:rPr>
          <w:rFonts w:ascii="方正仿宋_GBK" w:eastAsia="方正仿宋_GBK"/>
          <w:sz w:val="32"/>
          <w:szCs w:val="32"/>
        </w:rPr>
      </w:pPr>
    </w:p>
    <w:p>
      <w:pPr>
        <w:pStyle w:val="3"/>
        <w:spacing w:line="560" w:lineRule="exact"/>
        <w:rPr>
          <w:rFonts w:hint="eastAsia"/>
          <w:b/>
          <w:bCs w:val="0"/>
        </w:rPr>
      </w:pPr>
      <w:bookmarkStart w:id="342" w:name="_Toc14929"/>
      <w:bookmarkStart w:id="343" w:name="_Toc23401_WPSOffice_Level1"/>
      <w:bookmarkStart w:id="344" w:name="_Toc15379273"/>
      <w:bookmarkStart w:id="345" w:name="_Toc30667"/>
      <w:r>
        <w:rPr>
          <w:rFonts w:hint="eastAsia"/>
          <w:b/>
          <w:bCs w:val="0"/>
        </w:rPr>
        <w:t>第七章  风险补偿金管理</w:t>
      </w:r>
      <w:bookmarkEnd w:id="342"/>
      <w:bookmarkEnd w:id="343"/>
      <w:bookmarkEnd w:id="344"/>
      <w:bookmarkEnd w:id="345"/>
    </w:p>
    <w:p>
      <w:pPr>
        <w:spacing w:line="560" w:lineRule="exact"/>
      </w:pPr>
    </w:p>
    <w:p>
      <w:pPr>
        <w:spacing w:line="560" w:lineRule="exact"/>
        <w:ind w:firstLine="643" w:firstLineChars="200"/>
        <w:rPr>
          <w:rFonts w:hint="default" w:ascii="方正仿宋_GBK" w:eastAsia="方正仿宋_GBK"/>
          <w:sz w:val="32"/>
          <w:szCs w:val="32"/>
          <w:highlight w:val="yellow"/>
          <w:lang w:val="en-US" w:eastAsia="zh-CN"/>
        </w:rPr>
      </w:pPr>
      <w:r>
        <w:rPr>
          <w:rFonts w:hint="eastAsia" w:ascii="方正楷体_GBK" w:eastAsia="方正楷体_GBK"/>
          <w:b/>
          <w:sz w:val="32"/>
          <w:szCs w:val="32"/>
        </w:rPr>
        <w:t>第二十七条</w:t>
      </w:r>
      <w:r>
        <w:rPr>
          <w:rFonts w:hint="eastAsia" w:ascii="方正仿宋_GBK" w:eastAsia="方正仿宋_GBK"/>
          <w:sz w:val="32"/>
          <w:szCs w:val="32"/>
        </w:rPr>
        <w:t xml:space="preserve">  </w:t>
      </w:r>
      <w:r>
        <w:rPr>
          <w:rFonts w:hint="eastAsia" w:ascii="方正仿宋_GBK" w:eastAsia="方正仿宋_GBK"/>
          <w:sz w:val="32"/>
          <w:szCs w:val="32"/>
          <w:highlight w:val="yellow"/>
          <w:lang w:val="en-US" w:eastAsia="zh-CN"/>
        </w:rPr>
        <w:t>云南省生源地信用助学贷款风险补偿金比例按当年贷款发生额的5%确定</w:t>
      </w:r>
      <w:r>
        <w:rPr>
          <w:rFonts w:hint="eastAsia" w:ascii="方正仿宋_GBK" w:eastAsia="方正仿宋_GBK"/>
          <w:sz w:val="32"/>
          <w:szCs w:val="32"/>
          <w:highlight w:val="yellow"/>
        </w:rPr>
        <w:t>。</w:t>
      </w:r>
      <w:r>
        <w:rPr>
          <w:rFonts w:hint="eastAsia" w:ascii="方正仿宋_GBK" w:eastAsia="方正仿宋_GBK"/>
          <w:sz w:val="32"/>
          <w:szCs w:val="32"/>
          <w:highlight w:val="yellow"/>
          <w:lang w:val="en-US" w:eastAsia="zh-CN"/>
        </w:rPr>
        <w:t>云南省风险补偿金比例根据中央政策变化和经济社会发展状况适时进行调整。依据教育领域财政事权划分改革精神，风险补偿金由中央和地方分担，考入中央部署高校和跨省就读所需经费，由中央财政承担支出责任；考入省内院校所需经费，由中央财政与地方财政按照5：5分担，地方承担部分经费由省、州市、县、高校按照4：2：2：2分担。</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中央财政负担的风险补偿金，按照中央财政有关规定办理划付手续；风险补偿金地方负担部分，由省资助中心归集后于每年12月20日前直接划付经办银行。</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第二十八条</w:t>
      </w:r>
      <w:r>
        <w:rPr>
          <w:rFonts w:hint="eastAsia" w:ascii="方正仿宋_GBK" w:eastAsia="方正仿宋_GBK"/>
          <w:sz w:val="32"/>
          <w:szCs w:val="32"/>
        </w:rPr>
        <w:t xml:space="preserve">  建立风险补偿金激励约束机制。经办银行收到风险补偿金，应确认为递延收益，待确认生源地助学贷款损失时，计入当期损益。已确认的生源地助学贷款损失，以后又收回的，相应回拨递延收益。风险补偿金若超出生源地信用助学贷款损失，超出部分由经办银行奖励给县级学生资助管理中心；若低于生源地信用助学贷款损失，不足部分由经办银行和县级财政部门各分担50%。</w:t>
      </w:r>
    </w:p>
    <w:p>
      <w:pPr>
        <w:spacing w:line="560" w:lineRule="exact"/>
        <w:jc w:val="center"/>
        <w:rPr>
          <w:rFonts w:ascii="方正黑体_GBK" w:hAnsi="方正黑体_GBK" w:eastAsia="方正黑体_GBK" w:cs="方正黑体_GBK"/>
          <w:sz w:val="32"/>
          <w:szCs w:val="32"/>
        </w:rPr>
      </w:pPr>
    </w:p>
    <w:p>
      <w:pPr>
        <w:pStyle w:val="3"/>
        <w:spacing w:line="560" w:lineRule="exact"/>
        <w:rPr>
          <w:rFonts w:hint="eastAsia"/>
          <w:b/>
          <w:bCs w:val="0"/>
        </w:rPr>
      </w:pPr>
      <w:bookmarkStart w:id="346" w:name="_Toc15379274"/>
      <w:bookmarkStart w:id="347" w:name="_Toc22717"/>
      <w:bookmarkStart w:id="348" w:name="_Toc5665"/>
      <w:bookmarkStart w:id="349" w:name="_Toc29881_WPSOffice_Level1"/>
      <w:r>
        <w:rPr>
          <w:rFonts w:hint="eastAsia"/>
          <w:b/>
          <w:bCs w:val="0"/>
        </w:rPr>
        <w:t>第八章  附则</w:t>
      </w:r>
      <w:bookmarkEnd w:id="346"/>
      <w:bookmarkEnd w:id="347"/>
      <w:bookmarkEnd w:id="348"/>
      <w:bookmarkEnd w:id="349"/>
    </w:p>
    <w:p>
      <w:pPr>
        <w:spacing w:line="560" w:lineRule="exact"/>
        <w:jc w:val="center"/>
        <w:rPr>
          <w:rFonts w:ascii="方正仿宋_GBK" w:eastAsia="方正仿宋_GBK"/>
          <w:sz w:val="32"/>
          <w:szCs w:val="32"/>
        </w:rPr>
      </w:pP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第二十九条</w:t>
      </w:r>
      <w:r>
        <w:rPr>
          <w:rFonts w:hint="eastAsia" w:ascii="方正仿宋_GBK" w:eastAsia="方正仿宋_GBK"/>
          <w:sz w:val="32"/>
          <w:szCs w:val="32"/>
        </w:rPr>
        <w:t xml:space="preserve">  生源地信用助学贷款呆坏账由国家开发银行等开办此项业务的金融机构按国家有关政策自主核销。</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第三十条</w:t>
      </w:r>
      <w:r>
        <w:rPr>
          <w:rFonts w:hint="eastAsia" w:ascii="方正仿宋_GBK" w:eastAsia="方正仿宋_GBK"/>
          <w:sz w:val="32"/>
          <w:szCs w:val="32"/>
        </w:rPr>
        <w:t xml:space="preserve">  各市、县级资助中心可结合当地实际情况，制定相应的实施细则。</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第三十一条</w:t>
      </w:r>
      <w:r>
        <w:rPr>
          <w:rFonts w:hint="eastAsia" w:ascii="方正仿宋_GBK" w:eastAsia="方正仿宋_GBK"/>
          <w:sz w:val="32"/>
          <w:szCs w:val="32"/>
        </w:rPr>
        <w:t xml:space="preserve">  本办法由云南省教育厅、云南省财政厅、云南银监局负责解释和修订，自发文之日起执行。原云南省教育厅、云南省财政厅、中国人民银行昆明中心支行、中国银行业监督管理委员会云南监管局制定的《云南省生源地国家助学贷款实施暂行办法》同时失效。</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0"/>
        <w:jc w:val="center"/>
        <w:textAlignment w:val="auto"/>
        <w:rPr>
          <w:rFonts w:hint="eastAsia" w:ascii="方正小标宋_GBK" w:hAnsi="方正小标宋_GBK" w:eastAsia="方正小标宋_GBK" w:cs="方正小标宋_GBK"/>
          <w:color w:val="auto"/>
          <w:sz w:val="36"/>
          <w:szCs w:val="36"/>
        </w:rPr>
      </w:pPr>
    </w:p>
    <w:p>
      <w:pPr>
        <w:pStyle w:val="2"/>
        <w:keepNext w:val="0"/>
        <w:keepLines w:val="0"/>
        <w:pageBreakBefore w:val="0"/>
        <w:widowControl w:val="0"/>
        <w:kinsoku/>
        <w:wordWrap/>
        <w:overflowPunct/>
        <w:topLinePunct w:val="0"/>
        <w:autoSpaceDE/>
        <w:autoSpaceDN/>
        <w:bidi w:val="0"/>
        <w:adjustRightInd/>
        <w:spacing w:before="156" w:line="560" w:lineRule="exact"/>
        <w:ind w:firstLine="0" w:firstLineChars="0"/>
        <w:jc w:val="center"/>
        <w:textAlignment w:val="auto"/>
        <w:rPr>
          <w:rFonts w:hint="eastAsia" w:ascii="方正小标宋_GBK" w:hAnsi="方正小标宋_GBK" w:eastAsia="方正小标宋_GBK" w:cs="方正小标宋_GBK"/>
          <w:color w:val="auto"/>
          <w:highlight w:val="none"/>
        </w:rPr>
      </w:pPr>
      <w:bookmarkStart w:id="350" w:name="_Toc2218"/>
      <w:bookmarkStart w:id="351" w:name="_Toc29334"/>
      <w:r>
        <w:rPr>
          <w:rFonts w:hint="eastAsia" w:ascii="方正小标宋_GBK" w:hAnsi="方正小标宋_GBK" w:eastAsia="方正小标宋_GBK" w:cs="方正小标宋_GBK"/>
          <w:color w:val="auto"/>
          <w:highlight w:val="none"/>
        </w:rPr>
        <w:t>云南城市建设职业学院毕业生就业工作实施细则</w:t>
      </w:r>
      <w:bookmarkEnd w:id="350"/>
      <w:bookmarkEnd w:id="351"/>
    </w:p>
    <w:p>
      <w:pPr>
        <w:pStyle w:val="2"/>
        <w:keepNext w:val="0"/>
        <w:keepLines w:val="0"/>
        <w:pageBreakBefore w:val="0"/>
        <w:widowControl w:val="0"/>
        <w:kinsoku/>
        <w:wordWrap/>
        <w:overflowPunct/>
        <w:topLinePunct w:val="0"/>
        <w:autoSpaceDE/>
        <w:autoSpaceDN/>
        <w:bidi w:val="0"/>
        <w:adjustRightInd/>
        <w:spacing w:before="156" w:line="560" w:lineRule="exact"/>
        <w:ind w:firstLine="0" w:firstLineChars="0"/>
        <w:jc w:val="center"/>
        <w:textAlignment w:val="auto"/>
        <w:rPr>
          <w:rFonts w:hint="eastAsia" w:ascii="方正小标宋_GBK" w:hAnsi="方正小标宋_GBK" w:eastAsia="方正小标宋_GBK" w:cs="方正小标宋_GBK"/>
          <w:color w:val="auto"/>
          <w:highlight w:val="none"/>
        </w:rPr>
      </w:pPr>
      <w:bookmarkStart w:id="352" w:name="_Toc8774"/>
      <w:bookmarkStart w:id="353" w:name="_Toc8768"/>
      <w:bookmarkStart w:id="354" w:name="_Toc23050"/>
      <w:bookmarkStart w:id="355" w:name="_Toc17043"/>
      <w:r>
        <w:rPr>
          <w:rFonts w:hint="eastAsia" w:ascii="方正小标宋_GBK" w:hAnsi="方正小标宋_GBK" w:eastAsia="方正小标宋_GBK" w:cs="方正小标宋_GBK"/>
          <w:color w:val="auto"/>
          <w:highlight w:val="none"/>
        </w:rPr>
        <w:t>（</w:t>
      </w:r>
      <w:r>
        <w:rPr>
          <w:rFonts w:hint="eastAsia" w:ascii="方正小标宋_GBK" w:hAnsi="方正小标宋_GBK" w:eastAsia="方正小标宋_GBK" w:cs="方正小标宋_GBK"/>
          <w:color w:val="auto"/>
          <w:highlight w:val="none"/>
          <w:lang w:val="en-US" w:eastAsia="zh-CN"/>
        </w:rPr>
        <w:t>修订</w:t>
      </w:r>
      <w:r>
        <w:rPr>
          <w:rFonts w:hint="eastAsia" w:ascii="方正小标宋_GBK" w:hAnsi="方正小标宋_GBK" w:eastAsia="方正小标宋_GBK" w:cs="方正小标宋_GBK"/>
          <w:color w:val="auto"/>
          <w:highlight w:val="none"/>
        </w:rPr>
        <w:t>）</w:t>
      </w:r>
      <w:bookmarkEnd w:id="352"/>
      <w:bookmarkEnd w:id="353"/>
      <w:bookmarkEnd w:id="354"/>
      <w:bookmarkEnd w:id="355"/>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4"/>
          <w:rFonts w:hint="eastAsia" w:ascii="方正黑体_GBK" w:hAnsi="方正黑体_GBK" w:eastAsia="方正黑体_GBK" w:cs="方正黑体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第一章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总则</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方正楷体_GBK" w:hAnsi="方正楷体_GBK" w:eastAsia="方正楷体_GBK" w:cs="方正楷体_GBK"/>
          <w:b/>
          <w:bCs/>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第一</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为切实做好毕业生就业工作，保证毕业生就业工作科学化、规范化、制度化，根据国家有关法律、政策和</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学校</w:t>
      </w:r>
      <w:r>
        <w:rPr>
          <w:rFonts w:hint="eastAsia" w:ascii="方正仿宋_GBK" w:hAnsi="方正仿宋_GBK" w:eastAsia="方正仿宋_GBK" w:cs="方正仿宋_GBK"/>
          <w:i w:val="0"/>
          <w:iCs w:val="0"/>
          <w:caps w:val="0"/>
          <w:color w:val="auto"/>
          <w:spacing w:val="0"/>
          <w:sz w:val="32"/>
          <w:szCs w:val="32"/>
          <w:shd w:val="clear" w:color="auto" w:fill="FFFFFF"/>
        </w:rPr>
        <w:t>相关规定，特制定本细则。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第二条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学校成立就业工作领导小组，</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全面负责学校毕业生就业创业工作，</w:t>
      </w:r>
      <w:r>
        <w:rPr>
          <w:rFonts w:hint="eastAsia" w:ascii="方正仿宋_GBK" w:hAnsi="方正仿宋_GBK" w:eastAsia="方正仿宋_GBK" w:cs="方正仿宋_GBK"/>
          <w:i w:val="0"/>
          <w:iCs w:val="0"/>
          <w:caps w:val="0"/>
          <w:color w:val="auto"/>
          <w:spacing w:val="0"/>
          <w:sz w:val="32"/>
          <w:szCs w:val="32"/>
          <w:shd w:val="clear" w:color="auto" w:fill="FFFFFF"/>
        </w:rPr>
        <w:t>各二级学院</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成</w:t>
      </w:r>
      <w:r>
        <w:rPr>
          <w:rFonts w:hint="eastAsia" w:ascii="方正仿宋_GBK" w:hAnsi="方正仿宋_GBK" w:eastAsia="方正仿宋_GBK" w:cs="方正仿宋_GBK"/>
          <w:i w:val="0"/>
          <w:iCs w:val="0"/>
          <w:caps w:val="0"/>
          <w:color w:val="auto"/>
          <w:spacing w:val="0"/>
          <w:sz w:val="32"/>
          <w:szCs w:val="32"/>
          <w:shd w:val="clear" w:color="auto" w:fill="FFFFFF"/>
        </w:rPr>
        <w:t>立就业工作组，</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负责本学院毕业生就业创业工作。学校</w:t>
      </w:r>
      <w:r>
        <w:rPr>
          <w:rFonts w:hint="eastAsia" w:ascii="方正仿宋_GBK" w:hAnsi="方正仿宋_GBK" w:eastAsia="方正仿宋_GBK" w:cs="方正仿宋_GBK"/>
          <w:i w:val="0"/>
          <w:iCs w:val="0"/>
          <w:caps w:val="0"/>
          <w:color w:val="auto"/>
          <w:spacing w:val="0"/>
          <w:sz w:val="32"/>
          <w:szCs w:val="32"/>
          <w:shd w:val="clear" w:color="auto" w:fill="FFFFFF"/>
        </w:rPr>
        <w:t>建立</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就业依据审核“</w:t>
      </w:r>
      <w:r>
        <w:rPr>
          <w:rFonts w:hint="eastAsia" w:ascii="方正仿宋_GBK" w:hAnsi="方正仿宋_GBK" w:eastAsia="方正仿宋_GBK" w:cs="方正仿宋_GBK"/>
          <w:i w:val="0"/>
          <w:iCs w:val="0"/>
          <w:caps w:val="0"/>
          <w:color w:val="auto"/>
          <w:spacing w:val="0"/>
          <w:sz w:val="32"/>
          <w:szCs w:val="32"/>
          <w:shd w:val="clear" w:color="auto" w:fill="FFFFFF"/>
        </w:rPr>
        <w:t>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院</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-班-生”四级实名责任制</w:t>
      </w:r>
      <w:r>
        <w:rPr>
          <w:rFonts w:hint="eastAsia" w:ascii="方正仿宋_GBK" w:hAnsi="方正仿宋_GBK" w:eastAsia="方正仿宋_GBK" w:cs="方正仿宋_GBK"/>
          <w:i w:val="0"/>
          <w:iCs w:val="0"/>
          <w:caps w:val="0"/>
          <w:color w:val="auto"/>
          <w:spacing w:val="0"/>
          <w:sz w:val="32"/>
          <w:szCs w:val="32"/>
          <w:shd w:val="clear" w:color="auto" w:fill="FFFFFF"/>
        </w:rPr>
        <w:t>，共同做好毕业生就业工作。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第二章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职责分工</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第三条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学校成立就业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指导中心，挂靠学生</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工作</w:t>
      </w:r>
      <w:r>
        <w:rPr>
          <w:rFonts w:hint="eastAsia" w:ascii="方正仿宋_GBK" w:hAnsi="方正仿宋_GBK" w:eastAsia="方正仿宋_GBK" w:cs="方正仿宋_GBK"/>
          <w:i w:val="0"/>
          <w:iCs w:val="0"/>
          <w:caps w:val="0"/>
          <w:color w:val="auto"/>
          <w:spacing w:val="0"/>
          <w:sz w:val="32"/>
          <w:szCs w:val="32"/>
          <w:shd w:val="clear" w:color="auto" w:fill="FFFFFF"/>
        </w:rPr>
        <w:t>处，全面负责毕业生就业工作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应</w:t>
      </w:r>
      <w:r>
        <w:rPr>
          <w:rFonts w:hint="eastAsia" w:ascii="方正仿宋_GBK" w:hAnsi="方正仿宋_GBK" w:eastAsia="方正仿宋_GBK" w:cs="方正仿宋_GBK"/>
          <w:i w:val="0"/>
          <w:iCs w:val="0"/>
          <w:caps w:val="0"/>
          <w:color w:val="auto"/>
          <w:spacing w:val="0"/>
          <w:sz w:val="32"/>
          <w:szCs w:val="32"/>
          <w:shd w:val="clear" w:color="auto" w:fill="FFFFFF"/>
        </w:rPr>
        <w:t>建立科学、有效、完善的就业指导服务体系，发挥毕业生就业指导、服务职能。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第四条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指导中心主要职责：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一</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根据教育部及上级有关部门精神，制定就业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方案</w:t>
      </w:r>
      <w:r>
        <w:rPr>
          <w:rFonts w:hint="eastAsia" w:ascii="方正仿宋_GBK" w:hAnsi="方正仿宋_GBK" w:eastAsia="方正仿宋_GBK" w:cs="方正仿宋_GBK"/>
          <w:i w:val="0"/>
          <w:iCs w:val="0"/>
          <w:caps w:val="0"/>
          <w:color w:val="auto"/>
          <w:spacing w:val="0"/>
          <w:sz w:val="32"/>
          <w:szCs w:val="32"/>
          <w:shd w:val="clear" w:color="auto" w:fill="FFFFFF"/>
        </w:rPr>
        <w:t>，部署全校就业工作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组织研究并指导实施全校毕业生就业制度改革；全面落实毕业生就业指导工作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二</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组织、管理、指导、检查、评估二级学院毕业生就业工作；组织全校就业工作人员培训</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三</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负责开展就业指导工作，对学生开展就业指导、职业生涯规划指导；建立毕业生跟踪调查反馈系统；为学校的专业设置与改革等方面提供依据及建议；完成学校年度毕业生就业质量报告撰写工作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四</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加强对外宣传，建立用人单位资料库，加强就业基地建设；负责就业信息网建设；收集、整理发布就业信息</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五</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负责毕业生资格审查及毕业生生源统计，负责毕业生就业信息统计，并向</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上级</w:t>
      </w:r>
      <w:r>
        <w:rPr>
          <w:rFonts w:hint="eastAsia" w:ascii="方正仿宋_GBK" w:hAnsi="方正仿宋_GBK" w:eastAsia="方正仿宋_GBK" w:cs="方正仿宋_GBK"/>
          <w:i w:val="0"/>
          <w:iCs w:val="0"/>
          <w:caps w:val="0"/>
          <w:color w:val="auto"/>
          <w:spacing w:val="0"/>
          <w:sz w:val="32"/>
          <w:szCs w:val="32"/>
          <w:shd w:val="clear" w:color="auto" w:fill="FFFFFF"/>
        </w:rPr>
        <w:t>主管部门上报</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六</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了解毕业生思想动态，收集毕业生信息，负责毕业生就业思想政治教育</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七</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负责组织、协调毕业生派遗和离校办理等工作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八</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负责毕业生工作推荐，就业协议审核、鉴证、登记和管理工作；负责年度毕业生就业状况反馈、</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毕业去向落实率</w:t>
      </w:r>
      <w:r>
        <w:rPr>
          <w:rFonts w:hint="eastAsia" w:ascii="方正仿宋_GBK" w:hAnsi="方正仿宋_GBK" w:eastAsia="方正仿宋_GBK" w:cs="方正仿宋_GBK"/>
          <w:i w:val="0"/>
          <w:iCs w:val="0"/>
          <w:caps w:val="0"/>
          <w:color w:val="auto"/>
          <w:spacing w:val="0"/>
          <w:sz w:val="32"/>
          <w:szCs w:val="32"/>
          <w:shd w:val="clear" w:color="auto" w:fill="FFFFFF"/>
        </w:rPr>
        <w:t>统计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上报</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九</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负责组织毕业生供需见面双选会</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十</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负责学校创业教育工作的开展</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十一</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完成上级主管部门和学校临时交办的其他工作。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第五条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二级学院就业工作组（以下简称工作组）的主要职责：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一</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根据学校关于毕业生就业工作有关规定，制定本学院毕业生就业工作</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方案</w:t>
      </w:r>
      <w:r>
        <w:rPr>
          <w:rFonts w:hint="eastAsia" w:ascii="方正仿宋_GBK" w:hAnsi="方正仿宋_GBK" w:eastAsia="方正仿宋_GBK" w:cs="方正仿宋_GBK"/>
          <w:i w:val="0"/>
          <w:iCs w:val="0"/>
          <w:caps w:val="0"/>
          <w:color w:val="auto"/>
          <w:spacing w:val="0"/>
          <w:sz w:val="32"/>
          <w:szCs w:val="32"/>
          <w:shd w:val="clear" w:color="auto" w:fill="FFFFFF"/>
        </w:rPr>
        <w:t>并抓好落实；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二</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做好就业政策宣传，使毕业生了解政策、知晓政策、用好政策；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三</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开展就业思想政治教育工作；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四</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实事求是对毕业生在校期间德、智、体等各方面基本情况进行鉴定，并按照档案管理有关规定，认真核对无误后归档；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五</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各二级学院严格按照《教育部办公厅关于进一步做好普通高校毕业生就业统计与核查工作的通知》教学厅函〔2021〕19号文件要求，</w:t>
      </w:r>
      <w:r>
        <w:rPr>
          <w:rFonts w:hint="eastAsia" w:ascii="方正仿宋_GBK" w:hAnsi="方正仿宋_GBK" w:eastAsia="方正仿宋_GBK" w:cs="方正仿宋_GBK"/>
          <w:i w:val="0"/>
          <w:iCs w:val="0"/>
          <w:caps w:val="0"/>
          <w:color w:val="auto"/>
          <w:spacing w:val="0"/>
          <w:sz w:val="32"/>
          <w:szCs w:val="32"/>
          <w:shd w:val="clear" w:color="auto" w:fill="FFFFFF"/>
        </w:rPr>
        <w:t>做好</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毕业生</w:t>
      </w:r>
      <w:r>
        <w:rPr>
          <w:rFonts w:hint="eastAsia" w:ascii="方正仿宋_GBK" w:hAnsi="方正仿宋_GBK" w:eastAsia="方正仿宋_GBK" w:cs="方正仿宋_GBK"/>
          <w:i w:val="0"/>
          <w:iCs w:val="0"/>
          <w:caps w:val="0"/>
          <w:color w:val="auto"/>
          <w:spacing w:val="0"/>
          <w:sz w:val="32"/>
          <w:szCs w:val="32"/>
          <w:shd w:val="clear" w:color="auto" w:fill="FFFFFF"/>
        </w:rPr>
        <w:t>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数据</w:t>
      </w:r>
      <w:r>
        <w:rPr>
          <w:rFonts w:hint="eastAsia" w:ascii="方正仿宋_GBK" w:hAnsi="方正仿宋_GBK" w:eastAsia="方正仿宋_GBK" w:cs="方正仿宋_GBK"/>
          <w:i w:val="0"/>
          <w:iCs w:val="0"/>
          <w:caps w:val="0"/>
          <w:color w:val="auto"/>
          <w:spacing w:val="0"/>
          <w:sz w:val="32"/>
          <w:szCs w:val="32"/>
          <w:shd w:val="clear" w:color="auto" w:fill="FFFFFF"/>
        </w:rPr>
        <w:t>统计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审核</w:t>
      </w:r>
      <w:r>
        <w:rPr>
          <w:rFonts w:hint="eastAsia" w:ascii="方正仿宋_GBK" w:hAnsi="方正仿宋_GBK" w:eastAsia="方正仿宋_GBK" w:cs="方正仿宋_GBK"/>
          <w:i w:val="0"/>
          <w:iCs w:val="0"/>
          <w:caps w:val="0"/>
          <w:color w:val="auto"/>
          <w:spacing w:val="0"/>
          <w:sz w:val="32"/>
          <w:szCs w:val="32"/>
          <w:shd w:val="clear" w:color="auto" w:fill="FFFFFF"/>
        </w:rPr>
        <w:t>工作，负责本学院毕业生基本资料的编制、毕业资格审查和数据上报工作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六</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做好就业信息收集、整理、发布工作；负责接待本学院用人单位来访工作；负责本学院内</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校园双选会</w:t>
      </w:r>
      <w:r>
        <w:rPr>
          <w:rFonts w:hint="eastAsia" w:ascii="方正仿宋_GBK" w:hAnsi="方正仿宋_GBK" w:eastAsia="方正仿宋_GBK" w:cs="方正仿宋_GBK"/>
          <w:i w:val="0"/>
          <w:iCs w:val="0"/>
          <w:caps w:val="0"/>
          <w:color w:val="auto"/>
          <w:spacing w:val="0"/>
          <w:sz w:val="32"/>
          <w:szCs w:val="32"/>
          <w:shd w:val="clear" w:color="auto" w:fill="FFFFFF"/>
        </w:rPr>
        <w:t>工作；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七</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建立毕业生信息库、用人单位信息库；建立毕业生就业基地；做好毕业生就业跟踪工作，</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困难毕业生联系帮扶、台账管理</w:t>
      </w:r>
      <w:r>
        <w:rPr>
          <w:rFonts w:hint="eastAsia" w:ascii="方正仿宋_GBK" w:hAnsi="方正仿宋_GBK" w:eastAsia="方正仿宋_GBK" w:cs="方正仿宋_GBK"/>
          <w:i w:val="0"/>
          <w:iCs w:val="0"/>
          <w:caps w:val="0"/>
          <w:color w:val="auto"/>
          <w:spacing w:val="0"/>
          <w:sz w:val="32"/>
          <w:szCs w:val="32"/>
          <w:shd w:val="clear" w:color="auto" w:fill="FFFFFF"/>
        </w:rPr>
        <w:t>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八</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完成学校及就业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指导中心交办的其他工作</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eastAsia="zh-CN"/>
        </w:rPr>
      </w:pP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六</w:t>
      </w: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 xml:space="preserve"> 校、院两级毕业生就业工作部门及工作人员，应积极适应就业工作职能转变的新情况，树立为毕业生、用人单位提供良好就业环境和服务的新观念，提高就业工作质量和水平。</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eastAsia="zh-CN"/>
        </w:rPr>
      </w:pP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七</w:t>
      </w: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 xml:space="preserve"> 校、院两级毕业生就业工作部门要积极研究和探讨就业工作的新模式，特别是如何有效地加强毕业生的就业指导。</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eastAsia="zh-CN"/>
        </w:rPr>
      </w:pP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八</w:t>
      </w:r>
      <w:r>
        <w:rPr>
          <w:rFonts w:hint="eastAsia" w:ascii="方正楷体_GBK" w:hAnsi="方正楷体_GBK" w:eastAsia="方正楷体_GBK" w:cs="方正楷体_GBK"/>
          <w:b/>
          <w:bCs/>
          <w:i w:val="0"/>
          <w:iCs w:val="0"/>
          <w:caps w:val="0"/>
          <w:color w:val="auto"/>
          <w:spacing w:val="0"/>
          <w:sz w:val="32"/>
          <w:szCs w:val="32"/>
          <w:shd w:val="clear" w:color="auto" w:fill="FFFFFF"/>
          <w:lang w:eastAsia="zh-CN"/>
        </w:rPr>
        <w:t>条</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学校要积极研究和探讨社会主义市场经济条件下，以高校为主的毕业生就业人才市场的建设和发展。就业工作部门要不断加强推荐毕业生就业力度，要努力拓宽毕业生就业渠道，提高就业率和就业质量。</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校、院两级就业工作部门要积极地与用人单位取得广泛的联系，发展友好合作关系，建立起更多的毕业生就业基地。</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第三章</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毕业生就业工作程序</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九</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 xml:space="preserve"> 学校就业工作程序包括：毕业生资格审查、收集整理发布毕业生供需信息、开展就业创业指导、举办双选会、编制就业计划、建设就业基地、总结就业工作等。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十</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 xml:space="preserve"> 毕业生就业程序包括：完成学业、掌握就业求职技巧、准备个人资料、参加双向选择、签订协议、办理离校手续、到单位报到等。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十一</w:t>
      </w:r>
      <w:r>
        <w:rPr>
          <w:rFonts w:hint="eastAsia" w:ascii="方正楷体_GBK" w:hAnsi="方正楷体_GBK" w:eastAsia="方正楷体_GBK" w:cs="方正楷体_GBK"/>
          <w:b/>
          <w:bCs/>
          <w:i w:val="0"/>
          <w:iCs w:val="0"/>
          <w:caps w:val="0"/>
          <w:color w:val="auto"/>
          <w:spacing w:val="0"/>
          <w:sz w:val="32"/>
          <w:szCs w:val="32"/>
          <w:shd w:val="clear" w:color="auto" w:fill="FFFFFF"/>
        </w:rPr>
        <w:t xml:space="preserve">条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单位招聘程序包括：向学校就业指导中心提交单位有效证件、提供岗位需求信息、招聘洽谈、审查考核毕业生、确定人选并签订就业协议、做好接收毕业生准备。</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lang w:val="en-US" w:eastAsia="zh-CN"/>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四</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需求信息和</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供需</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洽谈</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第十二条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学校就业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指导中心负责收集全国范围内用人单位需求信息。二级学院根据自己专业优势或利用与用人单位的合作关系等各种渠道，收集需求信息并做好用人信息登记。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第十三条</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学校通过就业网站、就业公告栏等方式发布就业信息，各二级学院要组织学生充分利用多种手段，及时了解就业信息。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第十四条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双选会是落实毕业生就业计划的重要形式，由学校就业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指导中心主办，各二级学院可以承办专场双选会。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五</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就业指导</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textAlignment w:val="auto"/>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pP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pP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 xml:space="preserve">第十五条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就业指导是学校教学工作的重要组成部分，是帮助学生了解国家的就业政策和形势，树立正确的职业理想和观念，培养择业能力，做好职业生涯规划，保证毕业生顺利就业和健康发展的有效途径和手段。</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第十六条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就业指导的内容包括就业形势与政策、职业与择业、素质与技能、创业与成才等，重点是进行毕业生就业方针政策、法律法规的宣传，择业观和创业成才教育，个性认识和职业生涯规划辅导，以及求职择业技能技巧培训。就业指导要理论联系实际，注重实效，可采用课堂教学、报告会、专题讲座、咨询辅导、模拟训练等多种形式进行</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十七</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校、院两级毕业生就业工作部门应规定具体的时间、地点、人员进行日常性的就业咨询和服务，以满足毕业生就业的需要。</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jc w:val="center"/>
        <w:textAlignment w:val="auto"/>
        <w:rPr>
          <w:rFonts w:hint="eastAsia" w:ascii="方正黑体_GBK" w:hAnsi="方正黑体_GBK" w:eastAsia="方正黑体_GBK" w:cs="方正黑体_GBK"/>
          <w:b/>
          <w:bCs/>
          <w:i w:val="0"/>
          <w:iCs w:val="0"/>
          <w:caps w:val="0"/>
          <w:color w:val="auto"/>
          <w:spacing w:val="0"/>
          <w:sz w:val="32"/>
          <w:szCs w:val="32"/>
          <w:shd w:val="clear" w:color="auto" w:fill="FFFFFF"/>
        </w:rPr>
      </w:pPr>
      <w:r>
        <w:rPr>
          <w:rFonts w:hint="eastAsia" w:ascii="方正黑体_GBK" w:hAnsi="方正黑体_GBK" w:eastAsia="方正黑体_GBK" w:cs="方正黑体_GBK"/>
          <w:b/>
          <w:bCs/>
          <w:i w:val="0"/>
          <w:iCs w:val="0"/>
          <w:caps w:val="0"/>
          <w:color w:val="auto"/>
          <w:spacing w:val="0"/>
          <w:sz w:val="32"/>
          <w:szCs w:val="32"/>
          <w:shd w:val="clear" w:color="auto" w:fill="FFFFFF"/>
        </w:rPr>
        <w:t>第</w:t>
      </w:r>
      <w:r>
        <w:rPr>
          <w:rFonts w:hint="eastAsia" w:ascii="方正黑体_GBK" w:hAnsi="方正黑体_GBK" w:eastAsia="方正黑体_GBK" w:cs="方正黑体_GBK"/>
          <w:b/>
          <w:bCs/>
          <w:i w:val="0"/>
          <w:iCs w:val="0"/>
          <w:caps w:val="0"/>
          <w:color w:val="auto"/>
          <w:spacing w:val="0"/>
          <w:sz w:val="32"/>
          <w:szCs w:val="32"/>
          <w:shd w:val="clear" w:color="auto" w:fill="FFFFFF"/>
          <w:lang w:val="en-US" w:eastAsia="zh-CN"/>
        </w:rPr>
        <w:t>六</w:t>
      </w:r>
      <w:r>
        <w:rPr>
          <w:rFonts w:hint="eastAsia" w:ascii="方正黑体_GBK" w:hAnsi="方正黑体_GBK" w:eastAsia="方正黑体_GBK" w:cs="方正黑体_GBK"/>
          <w:b/>
          <w:bCs/>
          <w:i w:val="0"/>
          <w:iCs w:val="0"/>
          <w:caps w:val="0"/>
          <w:color w:val="auto"/>
          <w:spacing w:val="0"/>
          <w:sz w:val="32"/>
          <w:szCs w:val="32"/>
          <w:shd w:val="clear" w:color="auto" w:fill="FFFFFF"/>
        </w:rPr>
        <w:t>章</w:t>
      </w:r>
      <w:r>
        <w:rPr>
          <w:rFonts w:hint="eastAsia" w:ascii="方正黑体_GBK" w:hAnsi="方正黑体_GBK" w:eastAsia="方正黑体_GBK" w:cs="方正黑体_GBK"/>
          <w:b/>
          <w:bCs/>
          <w:i w:val="0"/>
          <w:iCs w:val="0"/>
          <w:caps w:val="0"/>
          <w:color w:val="auto"/>
          <w:spacing w:val="0"/>
          <w:sz w:val="32"/>
          <w:szCs w:val="32"/>
          <w:shd w:val="clear" w:color="auto" w:fill="FFFFFF"/>
          <w:lang w:val="en-US" w:eastAsia="zh-CN"/>
        </w:rPr>
        <w:t xml:space="preserve"> </w:t>
      </w:r>
      <w:r>
        <w:rPr>
          <w:rFonts w:hint="eastAsia" w:ascii="方正黑体_GBK" w:hAnsi="方正黑体_GBK" w:eastAsia="方正黑体_GBK" w:cs="方正黑体_GBK"/>
          <w:b/>
          <w:bCs/>
          <w:i w:val="0"/>
          <w:iCs w:val="0"/>
          <w:caps w:val="0"/>
          <w:color w:val="auto"/>
          <w:spacing w:val="0"/>
          <w:sz w:val="32"/>
          <w:szCs w:val="32"/>
          <w:shd w:val="clear" w:color="auto" w:fill="FFFFFF"/>
        </w:rPr>
        <w:t xml:space="preserve"> 毕业教育与毕业鉴定</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十八</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毕业生在结束全部教学任务后到毕业离校阶段为毕业生教育阶段。毕业教育阶段的主要内容有毕业鉴定、以成才和创业为主的思想教育、以建校爱校为主的文明离校活动，同时办理离校手续。</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第十</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九</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教育是毕业生就业工作的重要环节，是做好毕业生就业工作的重要保证和基础，是实现德育目标的重要内容，必须把毕业教育贯穿于毕业生就业的全过程。采取多种形式对毕业生进行理想信念教育、国家政治经济形势教育、就业形势与政策教育、文明离校教育等，指导毕业生在签订协议时保护自己的合法权益。 </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 xml:space="preserve"> 毕业鉴定是学生毕业时，学校根据《普通高等学校学生管理规定》、《高等学校学生行为准则》的要求对其做出的组织鉴定。包括学生在校期间德、智、体</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美、劳</w:t>
      </w:r>
      <w:r>
        <w:rPr>
          <w:rFonts w:hint="eastAsia" w:ascii="方正仿宋_GBK" w:hAnsi="方正仿宋_GBK" w:eastAsia="方正仿宋_GBK" w:cs="方正仿宋_GBK"/>
          <w:i w:val="0"/>
          <w:iCs w:val="0"/>
          <w:caps w:val="0"/>
          <w:color w:val="auto"/>
          <w:spacing w:val="0"/>
          <w:sz w:val="32"/>
          <w:szCs w:val="32"/>
          <w:shd w:val="clear" w:color="auto" w:fill="FFFFFF"/>
        </w:rPr>
        <w:t>等各方面的情况。</w:t>
      </w:r>
    </w:p>
    <w:p>
      <w:pPr>
        <w:pStyle w:val="21"/>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二十一</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鉴定由二级学院组织进行。二级学院在进行毕业鉴定工作时要严肃认真、实事求是，要对毕业生本人、学校和用人单位高度负责，毕业鉴定的各项内容要客观实际、准确无误。毕业生鉴定的程序为：毕业生个人总结，班级民主评议，在此基础上辅导员提出评语，二级学院审核签署意见，学生</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工作处</w:t>
      </w:r>
      <w:r>
        <w:rPr>
          <w:rFonts w:hint="eastAsia" w:ascii="方正仿宋_GBK" w:hAnsi="方正仿宋_GBK" w:eastAsia="方正仿宋_GBK" w:cs="方正仿宋_GBK"/>
          <w:i w:val="0"/>
          <w:iCs w:val="0"/>
          <w:caps w:val="0"/>
          <w:color w:val="auto"/>
          <w:spacing w:val="0"/>
          <w:sz w:val="32"/>
          <w:szCs w:val="32"/>
          <w:shd w:val="clear" w:color="auto" w:fill="FFFFFF"/>
        </w:rPr>
        <w:t>审核盖章归档。</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lang w:eastAsia="zh-CN"/>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七</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就业协议和</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推荐表</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二十二</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 xml:space="preserve"> 学校每年</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7</w:t>
      </w:r>
      <w:r>
        <w:rPr>
          <w:rFonts w:hint="eastAsia" w:ascii="方正仿宋_GBK" w:hAnsi="方正仿宋_GBK" w:eastAsia="方正仿宋_GBK" w:cs="方正仿宋_GBK"/>
          <w:i w:val="0"/>
          <w:iCs w:val="0"/>
          <w:caps w:val="0"/>
          <w:color w:val="auto"/>
          <w:spacing w:val="0"/>
          <w:sz w:val="32"/>
          <w:szCs w:val="32"/>
          <w:shd w:val="clear" w:color="auto" w:fill="FFFFFF"/>
        </w:rPr>
        <w:t>—1</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2</w:t>
      </w:r>
      <w:r>
        <w:rPr>
          <w:rFonts w:hint="eastAsia" w:ascii="方正仿宋_GBK" w:hAnsi="方正仿宋_GBK" w:eastAsia="方正仿宋_GBK" w:cs="方正仿宋_GBK"/>
          <w:i w:val="0"/>
          <w:iCs w:val="0"/>
          <w:caps w:val="0"/>
          <w:color w:val="auto"/>
          <w:spacing w:val="0"/>
          <w:sz w:val="32"/>
          <w:szCs w:val="32"/>
          <w:shd w:val="clear" w:color="auto" w:fill="FFFFFF"/>
        </w:rPr>
        <w:t>月份统一发放协议书</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和就业推荐表</w:t>
      </w:r>
      <w:r>
        <w:rPr>
          <w:rFonts w:hint="eastAsia" w:ascii="方正仿宋_GBK" w:hAnsi="方正仿宋_GBK" w:eastAsia="方正仿宋_GBK" w:cs="方正仿宋_GBK"/>
          <w:i w:val="0"/>
          <w:iCs w:val="0"/>
          <w:caps w:val="0"/>
          <w:color w:val="auto"/>
          <w:spacing w:val="0"/>
          <w:sz w:val="32"/>
          <w:szCs w:val="32"/>
          <w:shd w:val="clear" w:color="auto" w:fill="FFFFFF"/>
        </w:rPr>
        <w:t>（协议书发放时暂不盖公章）。毕业生与用人单位签字盖章协议即返回学校盖章生效。</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学校</w:t>
      </w:r>
      <w:r>
        <w:rPr>
          <w:rFonts w:hint="eastAsia" w:ascii="方正仿宋_GBK" w:hAnsi="方正仿宋_GBK" w:eastAsia="方正仿宋_GBK" w:cs="方正仿宋_GBK"/>
          <w:i w:val="0"/>
          <w:iCs w:val="0"/>
          <w:caps w:val="0"/>
          <w:color w:val="auto"/>
          <w:spacing w:val="0"/>
          <w:sz w:val="32"/>
          <w:szCs w:val="32"/>
          <w:shd w:val="clear" w:color="auto" w:fill="FFFFFF"/>
        </w:rPr>
        <w:t>统一发放的《</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云南省</w:t>
      </w:r>
      <w:r>
        <w:rPr>
          <w:rFonts w:hint="eastAsia" w:ascii="方正仿宋_GBK" w:hAnsi="方正仿宋_GBK" w:eastAsia="方正仿宋_GBK" w:cs="方正仿宋_GBK"/>
          <w:i w:val="0"/>
          <w:iCs w:val="0"/>
          <w:caps w:val="0"/>
          <w:color w:val="auto"/>
          <w:spacing w:val="0"/>
          <w:sz w:val="32"/>
          <w:szCs w:val="32"/>
          <w:shd w:val="clear" w:color="auto" w:fill="FFFFFF"/>
        </w:rPr>
        <w:t>普通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大中专</w:t>
      </w:r>
      <w:r>
        <w:rPr>
          <w:rFonts w:hint="eastAsia" w:ascii="方正仿宋_GBK" w:hAnsi="方正仿宋_GBK" w:eastAsia="方正仿宋_GBK" w:cs="方正仿宋_GBK"/>
          <w:i w:val="0"/>
          <w:iCs w:val="0"/>
          <w:caps w:val="0"/>
          <w:color w:val="auto"/>
          <w:spacing w:val="0"/>
          <w:sz w:val="32"/>
          <w:szCs w:val="32"/>
          <w:shd w:val="clear" w:color="auto" w:fill="FFFFFF"/>
        </w:rPr>
        <w:t>学校毕业生就业协议书》每人一式四份，编号管理，毕业生签约时只能使用自己的协议书才能有效，不得转让他人。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二十三</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协议各方必须认真审核协议内容，在平等自愿、协商一致的基础上签字盖章生效。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二十四</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毕业生可有多个意向单位，但最后只能与一个单位签订协议，凡与两个以上用人单位签订协议书的，只能认定其中一份协议有效，其他一律按违约处理并追究其责任。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二十五</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毕业生签好协议后，各二级学院应及时上交就业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指导中心。就业指导中心对毕业生与用人单位签订的就业协议书进行初步审查，符合手续和规定的予以盖章、接收、备案，列入就业建议方案。不符合手续和规定的，要求毕业生补正后上交。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二十六</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学校就业</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与创业</w:t>
      </w:r>
      <w:r>
        <w:rPr>
          <w:rFonts w:hint="eastAsia" w:ascii="方正仿宋_GBK" w:hAnsi="方正仿宋_GBK" w:eastAsia="方正仿宋_GBK" w:cs="方正仿宋_GBK"/>
          <w:i w:val="0"/>
          <w:iCs w:val="0"/>
          <w:caps w:val="0"/>
          <w:color w:val="auto"/>
          <w:spacing w:val="0"/>
          <w:sz w:val="32"/>
          <w:szCs w:val="32"/>
          <w:shd w:val="clear" w:color="auto" w:fill="FFFFFF"/>
        </w:rPr>
        <w:t>指导中心对有疑问的协议书进行复查，不符合手续和规定的，要求毕业生补正；对毕业生与用人单位约定的条款中有违反法律、行政法规、就业政策和损害学校声誉及权益的，不予办理，要求毕业生改正或重新择业。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第二十</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七</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协议书生效后，毕业生未将协议书及时交于用人单位而导致报到时用人单位拒收的，所产生的后果由毕业生自己承担。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第二十</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八</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 xml:space="preserve">  </w:t>
      </w:r>
      <w:r>
        <w:rPr>
          <w:rFonts w:hint="eastAsia" w:ascii="仿宋" w:hAnsi="仿宋" w:eastAsia="仿宋" w:cs="仿宋"/>
          <w:i w:val="0"/>
          <w:iCs w:val="0"/>
          <w:caps w:val="0"/>
          <w:color w:val="auto"/>
          <w:spacing w:val="0"/>
          <w:sz w:val="32"/>
          <w:szCs w:val="32"/>
          <w:shd w:val="clear" w:color="auto" w:fill="FFFFFF"/>
        </w:rPr>
        <w:t>采用伪造、作假、欺骗等违法手段签订的就业协议无效、由责任方承担相应的法律责任</w:t>
      </w:r>
      <w:r>
        <w:rPr>
          <w:rFonts w:hint="eastAsia" w:ascii="方正仿宋_GBK" w:hAnsi="方正仿宋_GBK" w:eastAsia="方正仿宋_GBK" w:cs="方正仿宋_GBK"/>
          <w:i w:val="0"/>
          <w:iCs w:val="0"/>
          <w:caps w:val="0"/>
          <w:color w:val="auto"/>
          <w:spacing w:val="0"/>
          <w:sz w:val="32"/>
          <w:szCs w:val="32"/>
          <w:shd w:val="clear" w:color="auto" w:fill="FFFFFF"/>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二十九</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《毕业生就业推荐表》是学校为毕业生联系就业单位出具的有关毕业生本人情况的证明材料，内容包括个人基本情况、学习成绩、操行鉴定等，其内容的填写要求真实、准确；学习成绩由教务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处</w:t>
      </w:r>
      <w:r>
        <w:rPr>
          <w:rFonts w:hint="eastAsia" w:ascii="方正仿宋_GBK" w:hAnsi="方正仿宋_GBK" w:eastAsia="方正仿宋_GBK" w:cs="方正仿宋_GBK"/>
          <w:i w:val="0"/>
          <w:iCs w:val="0"/>
          <w:caps w:val="0"/>
          <w:color w:val="auto"/>
          <w:spacing w:val="0"/>
          <w:sz w:val="32"/>
          <w:szCs w:val="32"/>
          <w:shd w:val="clear" w:color="auto" w:fill="FFFFFF"/>
        </w:rPr>
        <w:t>负责，统一格式打印，并加盖教务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处</w:t>
      </w:r>
      <w:r>
        <w:rPr>
          <w:rFonts w:hint="eastAsia" w:ascii="方正仿宋_GBK" w:hAnsi="方正仿宋_GBK" w:eastAsia="方正仿宋_GBK" w:cs="方正仿宋_GBK"/>
          <w:i w:val="0"/>
          <w:iCs w:val="0"/>
          <w:caps w:val="0"/>
          <w:color w:val="auto"/>
          <w:spacing w:val="0"/>
          <w:sz w:val="32"/>
          <w:szCs w:val="32"/>
          <w:shd w:val="clear" w:color="auto" w:fill="FFFFFF"/>
        </w:rPr>
        <w:t>公章；操行鉴定是对毕业生在校期间德、智、体等各方面情况的组织鉴定，应做到严肃认真、真实全面。《毕业生就业推荐表》由二级学院毕业生就业工作组审核并加盖二级学院公章</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再由学校就业部门审核并加盖公章</w:t>
      </w:r>
      <w:r>
        <w:rPr>
          <w:rFonts w:hint="eastAsia" w:ascii="方正仿宋_GBK" w:hAnsi="方正仿宋_GBK" w:eastAsia="方正仿宋_GBK" w:cs="方正仿宋_GBK"/>
          <w:i w:val="0"/>
          <w:iCs w:val="0"/>
          <w:caps w:val="0"/>
          <w:color w:val="auto"/>
          <w:spacing w:val="0"/>
          <w:sz w:val="32"/>
          <w:szCs w:val="32"/>
          <w:shd w:val="clear" w:color="auto" w:fill="FFFFFF"/>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八</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违规问题的处理</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三十</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有以下情形之一的</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校、</w:t>
      </w:r>
      <w:r>
        <w:rPr>
          <w:rFonts w:hint="eastAsia" w:ascii="方正仿宋_GBK" w:hAnsi="方正仿宋_GBK" w:eastAsia="方正仿宋_GBK" w:cs="方正仿宋_GBK"/>
          <w:i w:val="0"/>
          <w:iCs w:val="0"/>
          <w:caps w:val="0"/>
          <w:color w:val="auto"/>
          <w:spacing w:val="0"/>
          <w:sz w:val="32"/>
          <w:szCs w:val="32"/>
          <w:shd w:val="clear" w:color="auto" w:fill="FFFFFF"/>
        </w:rPr>
        <w:t>二级学院毕业生就业工作有关部门及工作人员，要通报批评，情节严重的，学校将对有关责任人员给予行政处分：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一</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故意漏报毕业生资格或严重不负责任，不按要求和时间报送生源</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信息、就业数据等与就业相关材料</w:t>
      </w:r>
      <w:r>
        <w:rPr>
          <w:rFonts w:hint="eastAsia" w:ascii="方正仿宋_GBK" w:hAnsi="方正仿宋_GBK" w:eastAsia="方正仿宋_GBK" w:cs="方正仿宋_GBK"/>
          <w:i w:val="0"/>
          <w:iCs w:val="0"/>
          <w:caps w:val="0"/>
          <w:color w:val="auto"/>
          <w:spacing w:val="0"/>
          <w:sz w:val="32"/>
          <w:szCs w:val="32"/>
          <w:shd w:val="clear" w:color="auto" w:fill="FFFFFF"/>
        </w:rPr>
        <w:t>或上报的数据中有错误，给毕业生</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或学校</w:t>
      </w:r>
      <w:r>
        <w:rPr>
          <w:rFonts w:hint="eastAsia" w:ascii="方正仿宋_GBK" w:hAnsi="方正仿宋_GBK" w:eastAsia="方正仿宋_GBK" w:cs="方正仿宋_GBK"/>
          <w:i w:val="0"/>
          <w:iCs w:val="0"/>
          <w:caps w:val="0"/>
          <w:color w:val="auto"/>
          <w:spacing w:val="0"/>
          <w:sz w:val="32"/>
          <w:szCs w:val="32"/>
          <w:shd w:val="clear" w:color="auto" w:fill="FFFFFF"/>
        </w:rPr>
        <w:t>造成严重损失的；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二</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擅自更改毕业生就业计划，毕业生培养方式、姓名及其他毕业生信息，影响毕业生就业的；</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仿宋" w:cs="方正仿宋_GBK"/>
          <w:i w:val="0"/>
          <w:iCs w:val="0"/>
          <w:caps w:val="0"/>
          <w:color w:val="auto"/>
          <w:spacing w:val="0"/>
          <w:sz w:val="32"/>
          <w:szCs w:val="32"/>
          <w:lang w:eastAsia="zh-CN"/>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三</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ascii="仿宋" w:hAnsi="仿宋" w:eastAsia="仿宋" w:cs="仿宋"/>
          <w:i w:val="0"/>
          <w:iCs w:val="0"/>
          <w:caps w:val="0"/>
          <w:color w:val="auto"/>
          <w:spacing w:val="0"/>
          <w:sz w:val="32"/>
          <w:szCs w:val="32"/>
          <w:shd w:val="clear" w:color="auto" w:fill="FFFFFF"/>
        </w:rPr>
        <w:t>在就业工作中弄虚作假的；玩忽职守，造成工作失误和社会影响的</w:t>
      </w:r>
      <w:r>
        <w:rPr>
          <w:rFonts w:hint="eastAsia" w:ascii="仿宋" w:hAnsi="仿宋" w:eastAsia="仿宋" w:cs="仿宋"/>
          <w:i w:val="0"/>
          <w:iCs w:val="0"/>
          <w:caps w:val="0"/>
          <w:color w:val="auto"/>
          <w:spacing w:val="0"/>
          <w:sz w:val="32"/>
          <w:szCs w:val="32"/>
          <w:shd w:val="clear" w:color="auto" w:fill="FFFFFF"/>
          <w:lang w:eastAsia="zh-CN"/>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四</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其他违反毕业生就业工作规定的。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三十一</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仿宋" w:hAnsi="仿宋" w:eastAsia="仿宋" w:cs="仿宋"/>
          <w:i w:val="0"/>
          <w:iCs w:val="0"/>
          <w:caps w:val="0"/>
          <w:color w:val="auto"/>
          <w:spacing w:val="0"/>
          <w:sz w:val="32"/>
          <w:szCs w:val="32"/>
          <w:shd w:val="clear" w:color="auto" w:fill="FFFFFF"/>
          <w:lang w:val="en-US" w:eastAsia="zh-CN"/>
        </w:rPr>
        <w:t xml:space="preserve">  </w:t>
      </w:r>
      <w:r>
        <w:rPr>
          <w:rFonts w:hint="eastAsia" w:ascii="仿宋" w:hAnsi="仿宋" w:eastAsia="仿宋" w:cs="仿宋"/>
          <w:i w:val="0"/>
          <w:iCs w:val="0"/>
          <w:caps w:val="0"/>
          <w:color w:val="auto"/>
          <w:spacing w:val="0"/>
          <w:sz w:val="32"/>
          <w:szCs w:val="32"/>
          <w:shd w:val="clear" w:color="auto" w:fill="FFFFFF"/>
        </w:rPr>
        <w:t>对利用职权干涉毕业生就业工作或在毕业生就业工作中徇私舞弊</w:t>
      </w:r>
      <w:r>
        <w:rPr>
          <w:rFonts w:hint="eastAsia" w:ascii="仿宋" w:hAnsi="仿宋" w:eastAsia="仿宋" w:cs="仿宋"/>
          <w:i w:val="0"/>
          <w:iCs w:val="0"/>
          <w:caps w:val="0"/>
          <w:color w:val="auto"/>
          <w:spacing w:val="0"/>
          <w:sz w:val="32"/>
          <w:szCs w:val="32"/>
          <w:shd w:val="clear" w:color="auto" w:fill="FFFFFF"/>
          <w:lang w:eastAsia="zh-CN"/>
        </w:rPr>
        <w:t>，</w:t>
      </w:r>
      <w:r>
        <w:rPr>
          <w:rFonts w:hint="eastAsia" w:ascii="仿宋" w:hAnsi="仿宋" w:eastAsia="仿宋" w:cs="仿宋"/>
          <w:i w:val="0"/>
          <w:iCs w:val="0"/>
          <w:caps w:val="0"/>
          <w:color w:val="auto"/>
          <w:spacing w:val="0"/>
          <w:sz w:val="32"/>
          <w:szCs w:val="32"/>
          <w:shd w:val="clear" w:color="auto" w:fill="FFFFFF"/>
          <w:lang w:val="en-US" w:eastAsia="zh-CN"/>
        </w:rPr>
        <w:t>在就业统计工作中违反国家有关规定</w:t>
      </w:r>
      <w:r>
        <w:rPr>
          <w:rFonts w:hint="eastAsia" w:ascii="仿宋" w:hAnsi="仿宋" w:eastAsia="仿宋" w:cs="仿宋"/>
          <w:i w:val="0"/>
          <w:iCs w:val="0"/>
          <w:caps w:val="0"/>
          <w:color w:val="auto"/>
          <w:spacing w:val="0"/>
          <w:sz w:val="32"/>
          <w:szCs w:val="32"/>
          <w:shd w:val="clear" w:color="auto" w:fill="FFFFFF"/>
        </w:rPr>
        <w:t>的工作人员，由有关部门依法处理；情节严重，构成犯罪的，依法追究其刑事责任。</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eastAsia" w:ascii="方正黑体_GBK" w:hAnsi="方正黑体_GBK" w:eastAsia="方正黑体_GBK" w:cs="方正黑体_GBK"/>
          <w:b/>
          <w:bCs w:val="0"/>
          <w:i w:val="0"/>
          <w:iCs w:val="0"/>
          <w:caps w:val="0"/>
          <w:color w:val="auto"/>
          <w:spacing w:val="0"/>
          <w:sz w:val="32"/>
          <w:szCs w:val="32"/>
        </w:rPr>
      </w:pP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第</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九</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 xml:space="preserve">章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shd w:val="clear" w:color="auto" w:fill="FFFFFF"/>
        </w:rPr>
        <w:t>附则</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三十二</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本细则</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由学生工作处负责解释</w:t>
      </w:r>
      <w:r>
        <w:rPr>
          <w:rFonts w:hint="eastAsia" w:ascii="方正仿宋_GBK" w:hAnsi="方正仿宋_GBK" w:eastAsia="方正仿宋_GBK" w:cs="方正仿宋_GBK"/>
          <w:i w:val="0"/>
          <w:iCs w:val="0"/>
          <w:caps w:val="0"/>
          <w:color w:val="auto"/>
          <w:spacing w:val="0"/>
          <w:sz w:val="32"/>
          <w:szCs w:val="32"/>
          <w:shd w:val="clear" w:color="auto" w:fill="FFFFFF"/>
        </w:rPr>
        <w:t>。 </w:t>
      </w:r>
    </w:p>
    <w:p>
      <w:pPr>
        <w:pStyle w:val="21"/>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sz w:val="32"/>
          <w:szCs w:val="32"/>
          <w:shd w:val="clear" w:color="auto" w:fill="FFFFFF"/>
        </w:rPr>
        <w:t>第</w:t>
      </w:r>
      <w:r>
        <w:rPr>
          <w:rFonts w:hint="eastAsia" w:ascii="方正楷体_GBK" w:hAnsi="方正楷体_GBK" w:eastAsia="方正楷体_GBK" w:cs="方正楷体_GBK"/>
          <w:b/>
          <w:bCs/>
          <w:i w:val="0"/>
          <w:iCs w:val="0"/>
          <w:caps w:val="0"/>
          <w:color w:val="auto"/>
          <w:spacing w:val="0"/>
          <w:sz w:val="32"/>
          <w:szCs w:val="32"/>
          <w:shd w:val="clear" w:color="auto" w:fill="FFFFFF"/>
          <w:lang w:val="en-US" w:eastAsia="zh-CN"/>
        </w:rPr>
        <w:t>三十三</w:t>
      </w:r>
      <w:r>
        <w:rPr>
          <w:rFonts w:hint="eastAsia" w:ascii="方正楷体_GBK" w:hAnsi="方正楷体_GBK" w:eastAsia="方正楷体_GBK" w:cs="方正楷体_GBK"/>
          <w:b/>
          <w:bCs/>
          <w:i w:val="0"/>
          <w:iCs w:val="0"/>
          <w:caps w:val="0"/>
          <w:color w:val="auto"/>
          <w:spacing w:val="0"/>
          <w:sz w:val="32"/>
          <w:szCs w:val="32"/>
          <w:shd w:val="clear" w:color="auto" w:fill="FFFFFF"/>
        </w:rPr>
        <w:t>条</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本细则自</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2022年9月1</w:t>
      </w:r>
      <w:r>
        <w:rPr>
          <w:rFonts w:hint="eastAsia" w:ascii="方正仿宋_GBK" w:hAnsi="方正仿宋_GBK" w:eastAsia="方正仿宋_GBK" w:cs="方正仿宋_GBK"/>
          <w:i w:val="0"/>
          <w:iCs w:val="0"/>
          <w:caps w:val="0"/>
          <w:color w:val="auto"/>
          <w:spacing w:val="0"/>
          <w:sz w:val="32"/>
          <w:szCs w:val="32"/>
          <w:shd w:val="clear" w:color="auto" w:fill="FFFFFF"/>
        </w:rPr>
        <w:t>日起实施。 </w:t>
      </w:r>
    </w:p>
    <w:p>
      <w:pPr>
        <w:tabs>
          <w:tab w:val="left" w:pos="5245"/>
        </w:tabs>
        <w:spacing w:line="560" w:lineRule="exact"/>
        <w:jc w:val="center"/>
        <w:outlineLvl w:val="0"/>
        <w:rPr>
          <w:rFonts w:hint="eastAsia" w:ascii="方正小标宋_GBK" w:hAnsi="方正小标宋_GBK" w:eastAsia="方正小标宋_GBK" w:cs="方正小标宋_GBK"/>
          <w:b/>
          <w:bCs/>
          <w:color w:val="auto"/>
          <w:spacing w:val="0"/>
          <w:sz w:val="32"/>
          <w:szCs w:val="32"/>
          <w:highlight w:val="none"/>
          <w:lang w:val="en-US" w:eastAsia="zh-CN"/>
        </w:rPr>
      </w:pPr>
    </w:p>
    <w:p>
      <w:pPr>
        <w:tabs>
          <w:tab w:val="left" w:pos="5245"/>
        </w:tabs>
        <w:spacing w:line="560" w:lineRule="exact"/>
        <w:jc w:val="center"/>
        <w:outlineLvl w:val="0"/>
        <w:rPr>
          <w:rFonts w:hint="eastAsia" w:ascii="方正小标宋_GBK" w:hAnsi="方正小标宋_GBK" w:eastAsia="方正小标宋_GBK" w:cs="方正小标宋_GBK"/>
          <w:b/>
          <w:bCs/>
          <w:color w:val="auto"/>
          <w:spacing w:val="0"/>
          <w:sz w:val="36"/>
          <w:szCs w:val="36"/>
          <w:highlight w:val="none"/>
          <w:lang w:val="en-US" w:eastAsia="zh-CN"/>
        </w:rPr>
      </w:pPr>
      <w:bookmarkStart w:id="356" w:name="_Toc20932"/>
      <w:r>
        <w:rPr>
          <w:rFonts w:hint="eastAsia" w:ascii="方正小标宋_GBK" w:hAnsi="方正小标宋_GBK" w:eastAsia="方正小标宋_GBK" w:cs="方正小标宋_GBK"/>
          <w:b/>
          <w:bCs/>
          <w:color w:val="auto"/>
          <w:spacing w:val="0"/>
          <w:sz w:val="36"/>
          <w:szCs w:val="36"/>
          <w:highlight w:val="none"/>
          <w:lang w:val="en-US" w:eastAsia="zh-CN"/>
        </w:rPr>
        <w:t>云南城市建设职业学院团费收缴、使用和管理规定（修订）</w:t>
      </w:r>
      <w:bookmarkEnd w:id="356"/>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第一章  总则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left"/>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第一条</w:t>
      </w:r>
      <w:r>
        <w:rPr>
          <w:rFonts w:hint="eastAsia" w:ascii="方正仿宋_GBK" w:hAnsi="方正仿宋_GBK" w:eastAsia="方正仿宋_GBK" w:cs="方正仿宋_GBK"/>
          <w:b/>
          <w:bCs/>
          <w:color w:val="auto"/>
          <w:kern w:val="0"/>
          <w:sz w:val="32"/>
          <w:szCs w:val="32"/>
          <w:highlight w:val="none"/>
          <w:lang w:val="en-US" w:eastAsia="zh-CN"/>
        </w:rPr>
        <w:t xml:space="preserve">  </w:t>
      </w:r>
      <w:r>
        <w:rPr>
          <w:rFonts w:hint="eastAsia" w:ascii="方正仿宋_GBK" w:hAnsi="方正仿宋_GBK" w:eastAsia="方正仿宋_GBK" w:cs="方正仿宋_GBK"/>
          <w:color w:val="auto"/>
          <w:kern w:val="0"/>
          <w:sz w:val="32"/>
          <w:szCs w:val="32"/>
          <w:highlight w:val="none"/>
          <w:lang w:val="en-US" w:eastAsia="zh-CN"/>
        </w:rPr>
        <w:t>按照团章规定向团组织交纳团费，是共青团员必须具备的起码条件，是团员对团组织应尽的义务。团费的收缴、使用和管理，是团的基层组织建设和团员队伍建设中的一项重要工作。为了适应形势发展的要求，进一步加强和改进学校团费收缴、使用和管理工作，制定本规定。</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第二条</w:t>
      </w:r>
      <w:r>
        <w:rPr>
          <w:rFonts w:hint="eastAsia" w:ascii="方正仿宋_GBK" w:hAnsi="方正仿宋_GBK" w:eastAsia="方正仿宋_GBK" w:cs="方正仿宋_GBK"/>
          <w:color w:val="auto"/>
          <w:kern w:val="0"/>
          <w:sz w:val="32"/>
          <w:szCs w:val="32"/>
          <w:highlight w:val="none"/>
          <w:lang w:val="en-US" w:eastAsia="zh-CN"/>
        </w:rPr>
        <w:t xml:space="preserve">  本规定适用于就读我校的所有学生团员及我校在职教职工团员。</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第二章  团费收缴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第三条</w:t>
      </w:r>
      <w:r>
        <w:rPr>
          <w:rFonts w:hint="eastAsia" w:ascii="方正仿宋_GBK" w:hAnsi="方正仿宋_GBK" w:eastAsia="方正仿宋_GBK" w:cs="方正仿宋_GBK"/>
          <w:color w:val="auto"/>
          <w:kern w:val="0"/>
          <w:sz w:val="32"/>
          <w:szCs w:val="32"/>
          <w:highlight w:val="none"/>
          <w:lang w:val="en-US" w:eastAsia="zh-CN"/>
        </w:rPr>
        <w:t xml:space="preserve">  无固定工资的学生团员每月交纳团费0.2元。</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第四条</w:t>
      </w:r>
      <w:r>
        <w:rPr>
          <w:rFonts w:hint="eastAsia" w:ascii="方正仿宋_GBK" w:hAnsi="方正仿宋_GBK" w:eastAsia="方正仿宋_GBK" w:cs="方正仿宋_GBK"/>
          <w:color w:val="auto"/>
          <w:kern w:val="0"/>
          <w:sz w:val="32"/>
          <w:szCs w:val="32"/>
          <w:highlight w:val="none"/>
          <w:lang w:val="en-US" w:eastAsia="zh-CN"/>
        </w:rPr>
        <w:t xml:space="preserve">  教职工团员每月团费交纳额度以每月工资总额中相对固定的、经常性的工资收入（税后）为计算基数，分档缴纳团费，具体标准按团中央规定执行。</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第五条</w:t>
      </w:r>
      <w:r>
        <w:rPr>
          <w:rFonts w:hint="eastAsia" w:ascii="方正仿宋_GBK" w:hAnsi="方正仿宋_GBK" w:eastAsia="方正仿宋_GBK" w:cs="方正仿宋_GBK"/>
          <w:color w:val="auto"/>
          <w:kern w:val="0"/>
          <w:sz w:val="32"/>
          <w:szCs w:val="32"/>
          <w:highlight w:val="none"/>
          <w:lang w:val="en-US" w:eastAsia="zh-CN"/>
        </w:rPr>
        <w:t xml:space="preserve">  教职工团员工资收入发生变化后，从按新工资标准领取工资的当月起，以新的工资收入为基数，按照规定标准交纳团费。</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第六条</w:t>
      </w:r>
      <w:r>
        <w:rPr>
          <w:rFonts w:hint="eastAsia" w:ascii="方正仿宋_GBK" w:hAnsi="方正仿宋_GBK" w:eastAsia="方正仿宋_GBK" w:cs="方正仿宋_GBK"/>
          <w:color w:val="auto"/>
          <w:kern w:val="0"/>
          <w:sz w:val="32"/>
          <w:szCs w:val="32"/>
          <w:highlight w:val="none"/>
          <w:lang w:val="en-US" w:eastAsia="zh-CN"/>
        </w:rPr>
        <w:t xml:space="preserve">  交纳团费确有困难的团员，经二级学院团总支研究，报校团委委员会审议后，可以少交或免交团费。</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第七条</w:t>
      </w:r>
      <w:r>
        <w:rPr>
          <w:rFonts w:hint="eastAsia" w:ascii="方正仿宋_GBK" w:hAnsi="方正仿宋_GBK" w:eastAsia="方正仿宋_GBK" w:cs="方正仿宋_GBK"/>
          <w:color w:val="auto"/>
          <w:kern w:val="0"/>
          <w:sz w:val="32"/>
          <w:szCs w:val="32"/>
          <w:highlight w:val="none"/>
          <w:lang w:val="en-US" w:eastAsia="zh-CN"/>
        </w:rPr>
        <w:t xml:space="preserve">  团员从支部大会通过其为团员之日起交纳团费。保留团籍的共产党员，从取得预备党员资格起，应交纳党费，可不交纳团费，自愿交纳团费者不限。</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第八条</w:t>
      </w:r>
      <w:r>
        <w:rPr>
          <w:rFonts w:hint="eastAsia" w:ascii="方正仿宋_GBK" w:hAnsi="方正仿宋_GBK" w:eastAsia="方正仿宋_GBK" w:cs="方正仿宋_GBK"/>
          <w:color w:val="auto"/>
          <w:kern w:val="0"/>
          <w:sz w:val="32"/>
          <w:szCs w:val="32"/>
          <w:highlight w:val="none"/>
          <w:lang w:val="en-US" w:eastAsia="zh-CN"/>
        </w:rPr>
        <w:t xml:space="preserve">  团员一般应当向其正式组织关系所在的团支部交纳团费。流动团员外出期间可向流入地团组织交纳团费，流入地团组织出具收据。</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第九条</w:t>
      </w:r>
      <w:r>
        <w:rPr>
          <w:rFonts w:hint="eastAsia" w:ascii="方正仿宋_GBK" w:hAnsi="方正仿宋_GBK" w:eastAsia="方正仿宋_GBK" w:cs="方正仿宋_GBK"/>
          <w:color w:val="auto"/>
          <w:kern w:val="0"/>
          <w:sz w:val="32"/>
          <w:szCs w:val="32"/>
          <w:highlight w:val="none"/>
          <w:lang w:val="en-US" w:eastAsia="zh-CN"/>
        </w:rPr>
        <w:t xml:space="preserve">  团员自愿多交团费不限。自愿一次多交纳1000元以上的团费，全部上缴团中央。具体办法是：由各二级学院团总支代收，并提供该团员的简要情况，通过校团委转交团省委，团省委组织部门转交团中央基层组织建设部。团中央基层组织建设部给本人出具收据。</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第十条</w:t>
      </w:r>
      <w:r>
        <w:rPr>
          <w:rFonts w:hint="eastAsia" w:ascii="方正仿宋_GBK" w:hAnsi="方正仿宋_GBK" w:eastAsia="方正仿宋_GBK" w:cs="方正仿宋_GBK"/>
          <w:color w:val="auto"/>
          <w:kern w:val="0"/>
          <w:sz w:val="32"/>
          <w:szCs w:val="32"/>
          <w:highlight w:val="none"/>
          <w:lang w:val="en-US" w:eastAsia="zh-CN"/>
        </w:rPr>
        <w:t xml:space="preserve">  团员应当增强团员意识，主动交纳团费。交纳方式为通过中信银行党（团）费通小程序，进行线上交纳。原则上不在进行现金收缴团费工作。</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第十一条</w:t>
      </w:r>
      <w:r>
        <w:rPr>
          <w:rFonts w:hint="eastAsia" w:ascii="方正仿宋_GBK" w:hAnsi="方正仿宋_GBK" w:eastAsia="方正仿宋_GBK" w:cs="方正仿宋_GBK"/>
          <w:color w:val="auto"/>
          <w:kern w:val="0"/>
          <w:sz w:val="32"/>
          <w:szCs w:val="32"/>
          <w:highlight w:val="none"/>
          <w:lang w:val="en-US" w:eastAsia="zh-CN"/>
        </w:rPr>
        <w:t xml:space="preserve">  对不按照规定交纳团费的团员，其所在团组织应及时对其进行批评教育，限期改正。对无正当理由，连续6个月不交纳团费的团员，按自行脱团处理。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第十二条</w:t>
      </w:r>
      <w:r>
        <w:rPr>
          <w:rFonts w:hint="eastAsia" w:ascii="方正仿宋_GBK" w:hAnsi="方正仿宋_GBK" w:eastAsia="方正仿宋_GBK" w:cs="方正仿宋_GBK"/>
          <w:color w:val="auto"/>
          <w:kern w:val="0"/>
          <w:sz w:val="32"/>
          <w:szCs w:val="32"/>
          <w:highlight w:val="none"/>
          <w:lang w:val="en-US" w:eastAsia="zh-CN"/>
        </w:rPr>
        <w:t xml:space="preserve">  各班级团支部、各二级学院团总支应当按照规定收缴团员团费，不得垫交或扣缴团员团费，不得要求团员交纳规定以外的各种名目的“特殊团费”。如遇重大自然灾害等特殊情况需要收取“特殊团费”，须经校团委批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第十三条</w:t>
      </w:r>
      <w:r>
        <w:rPr>
          <w:rFonts w:hint="eastAsia" w:ascii="方正仿宋_GBK" w:hAnsi="方正仿宋_GBK" w:eastAsia="方正仿宋_GBK" w:cs="方正仿宋_GBK"/>
          <w:color w:val="auto"/>
          <w:kern w:val="0"/>
          <w:sz w:val="32"/>
          <w:szCs w:val="32"/>
          <w:highlight w:val="none"/>
          <w:lang w:val="en-US" w:eastAsia="zh-CN"/>
        </w:rPr>
        <w:t xml:space="preserve">  在团员实交的全部团费中，各级团组织留存比例为：各班级团支部督促上缴各二级学院团总支100%，二级学院团总支督促上缴校团委100%（上缴后由校团委与财务处协商划拨各二级学院团总支30%，划拨经费由各二级学院团总支按照本规定自行管理使用），校团委按照省团委规定比例上缴。各二级学院团总支督促上缴校团委的团费应当于每年11月底前，不得少缴或拖延，校团委上缴团省委的团费应当于次年5月底前，由校团委收齐后汇入团省委团费账户。</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第三章  团费使用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第十四条</w:t>
      </w:r>
      <w:r>
        <w:rPr>
          <w:rFonts w:hint="eastAsia" w:ascii="方正仿宋_GBK" w:hAnsi="方正仿宋_GBK" w:eastAsia="方正仿宋_GBK" w:cs="方正仿宋_GBK"/>
          <w:color w:val="auto"/>
          <w:kern w:val="0"/>
          <w:sz w:val="32"/>
          <w:szCs w:val="32"/>
          <w:highlight w:val="none"/>
          <w:lang w:val="en-US" w:eastAsia="zh-CN"/>
        </w:rPr>
        <w:t xml:space="preserve">  使用团费应当坚持统筹安排、量入为出、收支平衡、略有结余的原则。</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第十五条</w:t>
      </w:r>
      <w:r>
        <w:rPr>
          <w:rFonts w:hint="eastAsia" w:ascii="方正仿宋_GBK" w:hAnsi="方正仿宋_GBK" w:eastAsia="方正仿宋_GBK" w:cs="方正仿宋_GBK"/>
          <w:color w:val="auto"/>
          <w:kern w:val="0"/>
          <w:sz w:val="32"/>
          <w:szCs w:val="32"/>
          <w:highlight w:val="none"/>
          <w:lang w:val="en-US" w:eastAsia="zh-CN"/>
        </w:rPr>
        <w:t xml:space="preserve">  团费只能用于团的事业和团的活动的必要开支，不得变相或超范围使用团费。团费的具体使用范围包括：(1)培训团员、团干部；(2)订阅或购买用于开展团员教育的报刊、资料和音像制品；(3)购买团旗、团徽等团务用品；(4)表彰先进基层团组织、优秀共青团员和优秀共青团干部；(5)补助生活困难的团员；(6)补助遭受严重自然灾害的团员和修缮因灾受损的基层团组织设施；(7)基层团组织开展活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第十六条</w:t>
      </w:r>
      <w:r>
        <w:rPr>
          <w:rFonts w:hint="eastAsia" w:ascii="方正仿宋_GBK" w:hAnsi="方正仿宋_GBK" w:eastAsia="方正仿宋_GBK" w:cs="方正仿宋_GBK"/>
          <w:color w:val="auto"/>
          <w:kern w:val="0"/>
          <w:sz w:val="32"/>
          <w:szCs w:val="32"/>
          <w:highlight w:val="none"/>
          <w:lang w:val="en-US" w:eastAsia="zh-CN"/>
        </w:rPr>
        <w:t xml:space="preserve">  使用和下拨团费，必须校团委书记班子会议研究决定；重大事项需使用团费的，必须校团委委员会集体讨论决定。</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第十七条</w:t>
      </w:r>
      <w:r>
        <w:rPr>
          <w:rFonts w:hint="eastAsia" w:ascii="方正仿宋_GBK" w:hAnsi="方正仿宋_GBK" w:eastAsia="方正仿宋_GBK" w:cs="方正仿宋_GBK"/>
          <w:color w:val="auto"/>
          <w:kern w:val="0"/>
          <w:sz w:val="32"/>
          <w:szCs w:val="32"/>
          <w:highlight w:val="none"/>
          <w:lang w:val="en-US" w:eastAsia="zh-CN"/>
        </w:rPr>
        <w:t xml:space="preserve">  请求下拨团费的请示，应当向上一级团组织提出，不得越级申请。上级团组织下拨的团费，必须专款专用，不得挪作他用。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第四章  团费管理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第十八条</w:t>
      </w:r>
      <w:r>
        <w:rPr>
          <w:rFonts w:hint="eastAsia" w:ascii="方正仿宋_GBK" w:hAnsi="方正仿宋_GBK" w:eastAsia="方正仿宋_GBK" w:cs="方正仿宋_GBK"/>
          <w:color w:val="auto"/>
          <w:kern w:val="0"/>
          <w:sz w:val="32"/>
          <w:szCs w:val="32"/>
          <w:highlight w:val="none"/>
          <w:lang w:val="en-US" w:eastAsia="zh-CN"/>
        </w:rPr>
        <w:t xml:space="preserve">  团费由校团委组织部门与学校财务处共同管理。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第十九条</w:t>
      </w:r>
      <w:r>
        <w:rPr>
          <w:rFonts w:hint="eastAsia" w:ascii="方正仿宋_GBK" w:hAnsi="方正仿宋_GBK" w:eastAsia="方正仿宋_GBK" w:cs="方正仿宋_GBK"/>
          <w:color w:val="auto"/>
          <w:kern w:val="0"/>
          <w:sz w:val="32"/>
          <w:szCs w:val="32"/>
          <w:highlight w:val="none"/>
          <w:lang w:val="en-US" w:eastAsia="zh-CN"/>
        </w:rPr>
        <w:t xml:space="preserve">  各二级学院团总支和校团委必须指定专人负责团费的收缴及管理工作，团费应当在学校财务处单独设立财务账户。团费利息是团费收入的一部分，不得挪作他用。依法保障团费安全，不得利用团费账户从事经济活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 xml:space="preserve">第二十条  </w:t>
      </w:r>
      <w:r>
        <w:rPr>
          <w:rFonts w:hint="eastAsia" w:ascii="方正仿宋_GBK" w:hAnsi="方正仿宋_GBK" w:eastAsia="方正仿宋_GBK" w:cs="方正仿宋_GBK"/>
          <w:color w:val="auto"/>
          <w:kern w:val="0"/>
          <w:sz w:val="32"/>
          <w:szCs w:val="32"/>
          <w:highlight w:val="none"/>
          <w:lang w:val="en-US" w:eastAsia="zh-CN"/>
        </w:rPr>
        <w:t>各二级学院团总支要加强对团费管理工作人员的培训，提高其政治素质和业务水平。团费管理工作人员必须先培训后上岗。团费管理工作人员变动时，要严格按照团费管理的有关规定和学校财务制度办好交接手续。</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第二十一条</w:t>
      </w:r>
      <w:r>
        <w:rPr>
          <w:rFonts w:hint="eastAsia" w:ascii="方正仿宋_GBK" w:hAnsi="方正仿宋_GBK" w:eastAsia="方正仿宋_GBK" w:cs="方正仿宋_GBK"/>
          <w:color w:val="auto"/>
          <w:kern w:val="0"/>
          <w:sz w:val="32"/>
          <w:szCs w:val="32"/>
          <w:highlight w:val="none"/>
          <w:lang w:val="en-US" w:eastAsia="zh-CN"/>
        </w:rPr>
        <w:t xml:space="preserve">  团费的收缴、使用和管理情况要作为团务公开的一项重要内容。校团委和各二级学院团总支应当在本级团员大会或团的代表大会上，向大会报告(或书面报告)团费收缴、使用和管理情况，接受团员或者团的代表大会代表的审议和监督。各二级学院团总支应当每年向校团委组织部门报告团费收缴、使用情况，同时向本学院各班级团支部通报。各班级团支部应当每年向团员公布一次团费收缴、使用情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第二十二条</w:t>
      </w:r>
      <w:r>
        <w:rPr>
          <w:rFonts w:hint="eastAsia" w:ascii="方正仿宋_GBK" w:hAnsi="方正仿宋_GBK" w:eastAsia="方正仿宋_GBK" w:cs="方正仿宋_GBK"/>
          <w:color w:val="auto"/>
          <w:kern w:val="0"/>
          <w:sz w:val="32"/>
          <w:szCs w:val="32"/>
          <w:highlight w:val="none"/>
          <w:lang w:val="en-US" w:eastAsia="zh-CN"/>
        </w:rPr>
        <w:t xml:space="preserve">  校团委有权随时抽检各二级学院团总支的团费收缴、使用情况，对违反团费收缴、使用规定的，依据有关规定严肃查处，触犯刑律的依法处理。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第五章  团费使用与报销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kern w:val="0"/>
          <w:sz w:val="32"/>
          <w:szCs w:val="32"/>
          <w:highlight w:val="none"/>
          <w:lang w:val="en-US" w:eastAsia="zh-CN"/>
        </w:rPr>
        <w:t>第二十三条</w:t>
      </w:r>
      <w:r>
        <w:rPr>
          <w:rFonts w:hint="eastAsia" w:ascii="方正仿宋_GBK" w:hAnsi="方正仿宋_GBK" w:eastAsia="方正仿宋_GBK" w:cs="方正仿宋_GBK"/>
          <w:b/>
          <w:bCs/>
          <w:color w:val="auto"/>
          <w:spacing w:val="-2"/>
          <w:kern w:val="0"/>
          <w:sz w:val="32"/>
          <w:szCs w:val="32"/>
          <w:highlight w:val="none"/>
          <w:lang w:val="en-US" w:eastAsia="zh-CN" w:bidi="ar-SA"/>
        </w:rPr>
        <w:t xml:space="preserve"> </w:t>
      </w:r>
      <w:r>
        <w:rPr>
          <w:rFonts w:hint="eastAsia" w:ascii="方正仿宋_GBK" w:hAnsi="方正仿宋_GBK" w:eastAsia="方正仿宋_GBK" w:cs="方正仿宋_GBK"/>
          <w:color w:val="auto"/>
          <w:spacing w:val="-2"/>
          <w:kern w:val="0"/>
          <w:sz w:val="32"/>
          <w:szCs w:val="32"/>
          <w:highlight w:val="none"/>
          <w:lang w:val="en-US" w:eastAsia="zh-CN" w:bidi="ar-SA"/>
        </w:rPr>
        <w:t xml:space="preserve"> 各二级学院团总支需要使用团费予以报销的，应由经办人、二级学院团总支书记、二级学院学生工作负责人签字，报学校团委书记初审，经学校党委分管领导及学校行政分管领导审核，并报学校党委书记同意后，按照学校相关财务规定予以申请及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校团委（含校级学生组织、学生社团）需要使用团费的，应由经办人、学校团委书记签字，经学校党委分管领导及学校行政分管领导共同审核，并报学校党委书记同意后，按照学校相关财务规定予以申请及报销。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经费使用要遵守财务纪律和学校财务相关规定，如发生违纪事件，必须追究当事人的责任，并给予相应处分。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highlight w:val="none"/>
          <w:lang w:val="en-US" w:eastAsia="zh-CN"/>
        </w:rPr>
      </w:pPr>
      <w:r>
        <w:rPr>
          <w:rFonts w:hint="eastAsia" w:ascii="方正黑体_GBK" w:hAnsi="方正黑体_GBK" w:eastAsia="方正黑体_GBK" w:cs="方正黑体_GBK"/>
          <w:b/>
          <w:bCs/>
          <w:color w:val="auto"/>
          <w:kern w:val="0"/>
          <w:sz w:val="32"/>
          <w:szCs w:val="32"/>
          <w:highlight w:val="none"/>
          <w:lang w:val="en-US" w:eastAsia="zh-CN"/>
        </w:rPr>
        <w:t>第六章  附则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第二十四条</w:t>
      </w:r>
      <w:r>
        <w:rPr>
          <w:rFonts w:hint="eastAsia" w:ascii="方正仿宋_GBK" w:hAnsi="方正仿宋_GBK" w:eastAsia="方正仿宋_GBK" w:cs="方正仿宋_GBK"/>
          <w:color w:val="auto"/>
          <w:kern w:val="0"/>
          <w:sz w:val="32"/>
          <w:szCs w:val="32"/>
          <w:highlight w:val="none"/>
          <w:lang w:val="en-US" w:eastAsia="zh-CN"/>
        </w:rPr>
        <w:t xml:space="preserve">  本规定由共青团云南城市建设职业学院委员会负责解释。</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楷体_GBK" w:hAnsi="方正楷体_GBK" w:eastAsia="方正楷体_GBK" w:cs="方正楷体_GBK"/>
          <w:b/>
          <w:bCs/>
          <w:color w:val="auto"/>
          <w:kern w:val="0"/>
          <w:sz w:val="32"/>
          <w:szCs w:val="32"/>
          <w:highlight w:val="none"/>
          <w:lang w:val="en-US" w:eastAsia="zh-CN"/>
        </w:rPr>
        <w:t>第二十五条</w:t>
      </w:r>
      <w:r>
        <w:rPr>
          <w:rFonts w:hint="eastAsia" w:ascii="方正仿宋_GBK" w:hAnsi="方正仿宋_GBK" w:eastAsia="方正仿宋_GBK" w:cs="方正仿宋_GBK"/>
          <w:color w:val="auto"/>
          <w:kern w:val="0"/>
          <w:sz w:val="32"/>
          <w:szCs w:val="32"/>
          <w:highlight w:val="none"/>
          <w:lang w:val="en-US" w:eastAsia="zh-CN"/>
        </w:rPr>
        <w:t xml:space="preserve">  本规定2022年8月1日起施行。</w:t>
      </w:r>
    </w:p>
    <w:bookmarkEnd w:id="316"/>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kern w:val="0"/>
          <w:sz w:val="32"/>
          <w:szCs w:val="32"/>
          <w:highlight w:val="none"/>
          <w:shd w:val="clear" w:fill="FFFFFF"/>
          <w:lang w:val="en-US" w:eastAsia="zh-CN" w:bidi="ar"/>
        </w:rPr>
      </w:pPr>
    </w:p>
    <w:p>
      <w:pPr>
        <w:pStyle w:val="2"/>
        <w:widowControl/>
        <w:shd w:val="clear" w:color="auto" w:fill="FFFFFF"/>
        <w:snapToGrid/>
        <w:spacing w:before="156" w:beforeLines="50" w:beforeAutospacing="0" w:after="0" w:afterAutospacing="0" w:line="560" w:lineRule="exact"/>
        <w:ind w:firstLine="0" w:firstLineChars="0"/>
        <w:jc w:val="center"/>
        <w:outlineLvl w:val="0"/>
        <w:rPr>
          <w:rFonts w:hint="eastAsia" w:ascii="方正小标宋_GBK" w:hAnsi="方正小标宋_GBK" w:eastAsia="方正小标宋_GBK" w:cs="方正小标宋_GBK"/>
          <w:color w:val="auto"/>
          <w:spacing w:val="0"/>
          <w:sz w:val="36"/>
          <w:szCs w:val="36"/>
          <w:highlight w:val="none"/>
          <w:lang w:val="en-US" w:eastAsia="zh-CN" w:bidi="ar-SA"/>
        </w:rPr>
      </w:pPr>
      <w:bookmarkStart w:id="357" w:name="_Toc23924"/>
      <w:r>
        <w:rPr>
          <w:rFonts w:hint="eastAsia" w:ascii="方正小标宋_GBK" w:hAnsi="方正小标宋_GBK" w:eastAsia="方正小标宋_GBK" w:cs="方正小标宋_GBK"/>
          <w:color w:val="auto"/>
          <w:spacing w:val="0"/>
          <w:sz w:val="36"/>
          <w:szCs w:val="36"/>
          <w:highlight w:val="none"/>
          <w:lang w:val="en-US" w:eastAsia="zh-CN" w:bidi="ar-SA"/>
        </w:rPr>
        <w:t>云南城市建设职业学院共青团推优入党工作实施办法（修订）</w:t>
      </w:r>
      <w:bookmarkEnd w:id="357"/>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楷体" w:hAnsi="楷体" w:eastAsia="楷体" w:cs="楷体"/>
          <w:b/>
          <w:bCs/>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楷体" w:hAnsi="楷体" w:eastAsia="楷体" w:cs="楷体"/>
          <w:b/>
          <w:bCs/>
          <w:i w:val="0"/>
          <w:iCs w:val="0"/>
          <w:caps w:val="0"/>
          <w:color w:val="auto"/>
          <w:spacing w:val="0"/>
          <w:sz w:val="27"/>
          <w:szCs w:val="27"/>
          <w:highlight w:val="none"/>
          <w:shd w:val="clear"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第一章  总则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第一条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推荐优秀共青团员作党的发展对象（以下简称“推优”），是党赋予共青团组织的一项光荣任务。为保持和增强共青团的政治性、先进性、群众性，进一步规范和加强学校共青团“推优”工作，有效提升青年党员质量，根据《中国共产党章程》、《中国共产主义青年团章程》和《中共中央组织部、共青团中央关于进一步做好推荐优秀团员作党的发展对象工作的意见》、《中共中央组织部关于进一步加强在青年中发展党员工作的意见》、《共青团中央关于印发&lt;共青团推优入党工作实施办法（试行）&gt;的通知》、《中国共产党发展党员工作细则》等，结合学校实际，经校团委委员会讨论研究，并报学校党委同意，制定本办法。</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推优”工作应在学校党委的统一领导下进行。团组织既可推荐团员中的入党积极分子成为党的发展对象，也可推荐团员中的入党申请人成为入党积极分子。学校各级团组织应不断加强自身建设，夯实“推优”工作基础。基层团干部应加强学习，掌握发展党员工作的方针和要求，规范“推优”程序，强化培养过程，提高“推优”能力。</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学校各级团组织应当把“推优”作为一项经常性重要工作。认真落实“28周岁以下青年入党，一般应从团员中发展；发展团员入党一般应经过团组织推荐。使‘推优’工作逐步成为党组织发展青年党员的主要渠道，使共青团员成为党组织发展青年党员的主要来源”的要求。教职工团员入党，应听取所在单位团组织意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第二章  推荐对象和推荐条件</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第四条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xml:space="preserve">  年满18周岁具有我校学籍的在校优秀共青团员（含年龄未满28周岁的教职工团员），承认党的纲领和章程，愿意参加党的一个组织并在其中积极工作、执行党的决议和按期交纳党费的，优先由团组织推荐加入中国共产党。  </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第五条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推荐对象应有1年以上的团龄。“推优”的比例一般不超过团支部团员人数的20%，可根据年度工作计划确定。每次推荐有效期为2年。</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第六条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团组织向党组织推荐发展对象，原则上应当是团员中的入党积极分子。团组织向党组织推荐入党积极分子，原则上应当是团员中的已经提交入党申请书的入党申请人。应坚持党章规定的党员基本条件，真正把团员中的先进分子推荐给党组织。</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第七条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“推优”的具体条件是：</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highlight w:val="none"/>
          <w:shd w:val="clear" w:fill="FFFFFF"/>
          <w:lang w:val="en-US" w:eastAsia="zh-CN" w:bidi="ar"/>
        </w:rPr>
        <w:t>（一）政治思想上先进。</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坚持以马克思列宁主义、毛泽东思想、邓小平理论、“三个代表”重要思想、科学发展观、习近平新时代中国特色社会主义思想为指导。坚决维护习近平总书记党中央的核心、全党的核心地位，坚决维护党中央权威和集中统一领导，在思想上政治上行动上同党中央保持高度一致。高扬理想信念旗帜，坚定共产主义远大理想和中国特色社会主义共同理想，坚决拥护党的领导，坚定中国特色社会主义道路自信、理论自信、制度自信、文化自信，坚定对党的政治认同、思想认同、情感认同。热爱祖国、热爱人民、热爱社会主义。旗帜鲜明反对和抵制违背党中央精神的错误言行，积极弘扬主旋律、传播正能量，坚持传播党的政策主张，主动面向身边青年开展思想引领工作。</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highlight w:val="none"/>
          <w:shd w:val="clear" w:fill="FFFFFF"/>
          <w:lang w:val="en-US" w:eastAsia="zh-CN" w:bidi="ar"/>
        </w:rPr>
        <w:t>（二）道德品行上先进。</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自觉树立和践行社会主义核心价值观，自觉弘扬爱国主义、集体主义、社会主义精神，积极传承中华优秀传统文化、革命文化、社会主义先进文化，带头倡导良好社会风气。积极锤炼高尚品格，践行和倡导社会公德、职业道德、家庭美德。主动成为注册志愿者，积极参加志愿服务。主动成为网络文明志愿者，积极参与构建清朗网络空间。积极联系青年，热心帮助他人。</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highlight w:val="none"/>
          <w:shd w:val="clear" w:fill="FFFFFF"/>
          <w:lang w:val="en-US" w:eastAsia="zh-CN" w:bidi="ar"/>
        </w:rPr>
        <w:t>（三）发挥作用上先进。</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励志勤学、敏于求知、增长才干，不断提高与时代发展和事业要求相适应的素质和能力，做到德智体美劳全面发展。爱岗敬业，脚踏实地履职尽责，立足岗位争先创优。勇于到条件艰苦的基层、国家建设的一线、项目攻关的前沿经受锻炼，艰苦奋斗。有探索真知、求真务实的态度，在立足本职的创新创造中不断积累经验、取得成果。积极参加团组织的活动，对团组织交给的工作认真负责，积极为团组织工作出谋划策，在团员青年中能起到表率作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highlight w:val="none"/>
          <w:shd w:val="clear" w:fill="FFFFFF"/>
          <w:lang w:val="en-US" w:eastAsia="zh-CN" w:bidi="ar"/>
        </w:rPr>
        <w:t>（四）执行纪律上先进。</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积极向共产党员标准看齐，自觉遵守国家法律法规和校纪校规，坚决贯彻依法治国基本方略，在尊法学法守法用法中作表率。模范遵守团章团纪，认真执行团的决议，自觉履行团员义务，积极参加团的组织生活和团的活动。带头遵守学校各项规章制度。</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highlight w:val="none"/>
          <w:shd w:val="clear" w:fill="FFFFFF"/>
          <w:lang w:val="en-US" w:eastAsia="zh-CN" w:bidi="ar"/>
        </w:rPr>
        <w:t>（五）团学工作上先进。</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主动参加校（院）级团学组织中的任意一个，并认真履职，原则上有不少于1年的团学工作经历。主动参加学校“青年马克思主义者培养工程”（以下简称“青马工程”）并完成结业。以上两个“主动”作为“推优”考核的首要条件。</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第八条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对马克思主义缺乏信仰、不具有共产主义觉悟的；在重大政治斗争中立场不坚定、态度不坚决的；传播反党反社会主义言论的；不能严格遵守国家法律规定、存在违法违纪行为的，不得列为“推优”对象。</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第九条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学校各级团组织应在党组织的领导下，加强团员的日常教育，加强政治理论教育，突出党的创新理论学习，组织学习党的基本理论、基本路线、基本方略，学习马克思主义基本原理和党的基本知识，开展党的历史和优良传统、作风教育以及社会主义核心价值观教育，帮助团员懂得党的性质、纲领、宗旨、组织原则和纪律，懂得党员的义务和权利，端正入党动机，树立为共产主义事业奋斗终身的信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建立党、团组织联合培养、教育入党积极分子工作机制。团组织应配合党组织做好入党积极分子的教育培训工作，协助开展每半年一次的考察，针对存在的问题向党组织提出意见建议；对经过1年以上培养教育和考察、基本具备党员条件的入党积极分子，应在党组织的领导下，在广泛听取意见的基础上，由“推优”大会产生党的发展对象推荐人选。</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第十一条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加大对“青马工程”学员的培养力度，积极推荐“青马工程”优秀学员作党的发展对象。“青马工程”学员为入党积极分子的，培养期间参加的理论学习、社会实践等课程应当记入入党积极分子的考察材料中。同等情况下，优先推荐积极参与学校各级团学组织，并取得一定荣誉或成绩的入党积极分子。 </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第三章  “推优”工作程序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第十二条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校团委应根据有关规定，依据学校党委年度发展党员工作计划，确定年度“推优”工作计划，做好“推优”工作相关台帐及管理。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第十三条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班级团支部提出召开“推优”大会申请，经二级学院团总支批准同意后，由班级团支部书记主持召开。上级团组织及班级辅导员（班主任）负责“推优”工作的指导监督，原则上二级学院党组织应当选派至少一名支部委员或正式党员参会，确保“推优”工作标准严格、流程规范。</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第十四条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“推优”大会的流程是：</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（一）清点参加“推优”大会的团员人数，须有半数以上有表决权的团员到会方可进行。</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（二）班级团支部委员会介绍符合“推优”条件的候选人情况，候选人的产生应遵循各二级学院工作实际，开展积分评议、志愿服务等团员评优机制。</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（三）候选人从思想政治、道德品行、作用发挥、执行纪律、团学工作经历等方面进行自我评述，重点介绍入党动机和接受培养教育的体会认识。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（四）参会人员通过无记名投票的方式进行民主评议，赞成人数超过应到会有表决权团员的半数以上的候选人，进入考察环节。</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（五）班级团支部委员会对推选出的候选人进行考察，考察不唯票，结合平时掌握的情况，提出组织意见，形成书面材料。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（六）“推优”情况在一定范围内进行公示，班级公示期一般不少于1个工作日，二级学院公示期一般不少于3个工作日，学校公示期一般不少于5个工作日，公示期内如有异议可向上级团组织反映。</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第十五条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班级团支部公示无异议后将《云南城市建设职业学院推荐优秀团员作为入党积极分子（发展对象）登记表》（附件1）、《云南城市建设职业学院推荐优秀团员作为入党积极分子（发展对象）团支部大会会议记录表》（附件2）等相关材料报二级学院团总支初审，二级学院团总支初审公示结束后，以二级学院团总支为单位，将有关材料报校团委复审。</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第十六条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上级团组织审核团支部推荐意见和相关材料，对被推荐对象进行进一步考察。对符合条件的，由校团委将汇总“推优”情况说明以及考察材料等向各党支部推荐。</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第十七条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经各党支部预审合格的“推优”对象，上级团组织应当在1个月内向基层团支部通报传达。</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第四章  其他</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第十八条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学校各级团组织应当主动争取党组织的关心和支持，加强对推优入党工作的谋划、统筹和指导，各二级学院团总支每年年底向校团委和二级学院党组织报告“推优”工作情况。校团委每年年底向团省委和学校党委报告“推优”工作情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第十九条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在“推优”工作过程中，严禁亲亲疏疏、徇私舞弊、弄虚作假。对于出现违反纪律的团员，取消其“推优”资格并对相关责任人进行批评教育和帮助，情节严重的，给予纪律处分。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推荐团员中的入党申请人成为入党积极分子，参照本办法执行。</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第二十一条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本办法由共青团云南城市建设职业学院委员会负责解释。</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color w:val="auto"/>
          <w:highlight w:val="none"/>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第二十二条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xml:space="preserve">  本办法自2022年8月1日起实施。</w:t>
      </w:r>
    </w:p>
    <w:p>
      <w:pPr>
        <w:snapToGrid w:val="0"/>
        <w:spacing w:line="240" w:lineRule="auto"/>
        <w:jc w:val="center"/>
        <w:rPr>
          <w:rFonts w:hint="eastAsia" w:ascii="方正小标宋_GBK" w:hAnsi="方正小标宋_GBK" w:eastAsia="方正小标宋_GBK" w:cs="方正小标宋_GBK"/>
          <w:color w:val="auto"/>
          <w:spacing w:val="20"/>
          <w:sz w:val="28"/>
          <w:szCs w:val="28"/>
          <w:highlight w:val="none"/>
          <w:lang w:val="en-US" w:eastAsia="zh-CN"/>
        </w:rPr>
      </w:pPr>
    </w:p>
    <w:p>
      <w:pPr>
        <w:snapToGrid w:val="0"/>
        <w:spacing w:line="240" w:lineRule="auto"/>
        <w:jc w:val="center"/>
        <w:rPr>
          <w:rFonts w:hint="eastAsia" w:ascii="方正小标宋_GBK" w:hAnsi="方正小标宋_GBK" w:eastAsia="方正小标宋_GBK" w:cs="方正小标宋_GBK"/>
          <w:color w:val="auto"/>
          <w:spacing w:val="20"/>
          <w:sz w:val="28"/>
          <w:szCs w:val="28"/>
          <w:highlight w:val="none"/>
        </w:rPr>
      </w:pPr>
      <w:r>
        <w:rPr>
          <w:rFonts w:hint="eastAsia" w:ascii="方正小标宋_GBK" w:hAnsi="方正小标宋_GBK" w:eastAsia="方正小标宋_GBK" w:cs="方正小标宋_GBK"/>
          <w:color w:val="auto"/>
          <w:spacing w:val="20"/>
          <w:sz w:val="28"/>
          <w:szCs w:val="28"/>
          <w:highlight w:val="none"/>
          <w:lang w:val="en-US" w:eastAsia="zh-CN"/>
        </w:rPr>
        <w:t>附件1.云南城市建设职业学院</w:t>
      </w:r>
      <w:r>
        <w:rPr>
          <w:rFonts w:hint="eastAsia" w:ascii="方正小标宋_GBK" w:hAnsi="方正小标宋_GBK" w:eastAsia="方正小标宋_GBK" w:cs="方正小标宋_GBK"/>
          <w:color w:val="auto"/>
          <w:spacing w:val="20"/>
          <w:sz w:val="28"/>
          <w:szCs w:val="28"/>
          <w:highlight w:val="none"/>
        </w:rPr>
        <w:t>推荐优秀团员作为</w:t>
      </w:r>
    </w:p>
    <w:p>
      <w:pPr>
        <w:snapToGrid w:val="0"/>
        <w:spacing w:line="240" w:lineRule="auto"/>
        <w:jc w:val="center"/>
        <w:rPr>
          <w:rFonts w:hint="eastAsia" w:ascii="方正小标宋_GBK" w:hAnsi="方正小标宋_GBK" w:eastAsia="方正小标宋_GBK" w:cs="方正小标宋_GBK"/>
          <w:color w:val="auto"/>
          <w:sz w:val="28"/>
          <w:szCs w:val="28"/>
          <w:highlight w:val="none"/>
        </w:rPr>
      </w:pPr>
      <w:r>
        <w:rPr>
          <w:rFonts w:hint="eastAsia" w:ascii="Times New Roman" w:hAnsi="Times New Roman" w:eastAsia="楷体"/>
          <w:color w:val="auto"/>
          <w:szCs w:val="24"/>
          <w:highlight w:val="none"/>
          <w:lang w:val="en-US" w:eastAsia="zh-CN"/>
        </w:rPr>
        <w:t xml:space="preserve"> </w:t>
      </w:r>
      <w:r>
        <w:rPr>
          <w:rFonts w:hint="eastAsia" w:ascii="Times New Roman" w:hAnsi="Times New Roman" w:eastAsia="楷体"/>
          <w:color w:val="auto"/>
          <w:szCs w:val="24"/>
          <w:highlight w:val="none"/>
          <w:lang w:val="en-US" w:eastAsia="zh-CN"/>
        </w:rPr>
        <w:sym w:font="Wingdings 2" w:char="00A3"/>
      </w:r>
      <w:r>
        <w:rPr>
          <w:rFonts w:hint="eastAsia" w:ascii="方正小标宋_GBK" w:hAnsi="方正小标宋_GBK" w:eastAsia="方正小标宋_GBK" w:cs="方正小标宋_GBK"/>
          <w:color w:val="auto"/>
          <w:spacing w:val="20"/>
          <w:sz w:val="28"/>
          <w:szCs w:val="28"/>
          <w:highlight w:val="none"/>
        </w:rPr>
        <w:t>入党积极分子</w:t>
      </w:r>
      <w:r>
        <w:rPr>
          <w:rFonts w:hint="eastAsia" w:ascii="方正小标宋_GBK" w:hAnsi="方正小标宋_GBK" w:eastAsia="方正小标宋_GBK" w:cs="方正小标宋_GBK"/>
          <w:color w:val="auto"/>
          <w:spacing w:val="20"/>
          <w:sz w:val="28"/>
          <w:szCs w:val="28"/>
          <w:highlight w:val="none"/>
          <w:lang w:val="en-US" w:eastAsia="zh-CN"/>
        </w:rPr>
        <w:t>/</w:t>
      </w:r>
      <w:r>
        <w:rPr>
          <w:rFonts w:hint="eastAsia" w:ascii="Times New Roman" w:hAnsi="Times New Roman" w:eastAsia="楷体"/>
          <w:color w:val="auto"/>
          <w:szCs w:val="24"/>
          <w:highlight w:val="none"/>
          <w:lang w:val="en-US" w:eastAsia="zh-CN"/>
        </w:rPr>
        <w:t xml:space="preserve"> </w:t>
      </w:r>
      <w:r>
        <w:rPr>
          <w:rFonts w:hint="eastAsia" w:ascii="Times New Roman" w:hAnsi="Times New Roman" w:eastAsia="楷体"/>
          <w:color w:val="auto"/>
          <w:szCs w:val="24"/>
          <w:highlight w:val="none"/>
          <w:lang w:val="en-US" w:eastAsia="zh-CN"/>
        </w:rPr>
        <w:sym w:font="Wingdings 2" w:char="00A3"/>
      </w:r>
      <w:r>
        <w:rPr>
          <w:rFonts w:hint="eastAsia" w:ascii="Times New Roman" w:hAnsi="Times New Roman" w:eastAsia="楷体"/>
          <w:color w:val="auto"/>
          <w:szCs w:val="24"/>
          <w:highlight w:val="none"/>
          <w:lang w:val="en-US" w:eastAsia="zh-CN"/>
        </w:rPr>
        <w:t xml:space="preserve"> </w:t>
      </w:r>
      <w:r>
        <w:rPr>
          <w:rFonts w:hint="eastAsia" w:ascii="方正小标宋_GBK" w:hAnsi="方正小标宋_GBK" w:eastAsia="方正小标宋_GBK" w:cs="方正小标宋_GBK"/>
          <w:color w:val="auto"/>
          <w:spacing w:val="20"/>
          <w:sz w:val="28"/>
          <w:szCs w:val="28"/>
          <w:highlight w:val="none"/>
          <w:lang w:val="en-US" w:eastAsia="zh-CN"/>
        </w:rPr>
        <w:t>发展对象</w:t>
      </w:r>
      <w:r>
        <w:rPr>
          <w:rFonts w:hint="eastAsia" w:ascii="方正小标宋_GBK" w:hAnsi="方正小标宋_GBK" w:eastAsia="方正小标宋_GBK" w:cs="方正小标宋_GBK"/>
          <w:color w:val="auto"/>
          <w:spacing w:val="20"/>
          <w:sz w:val="28"/>
          <w:szCs w:val="28"/>
          <w:highlight w:val="none"/>
        </w:rPr>
        <w:t>登记表</w:t>
      </w:r>
    </w:p>
    <w:tbl>
      <w:tblPr>
        <w:tblStyle w:val="22"/>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684"/>
        <w:gridCol w:w="1650"/>
        <w:gridCol w:w="1227"/>
        <w:gridCol w:w="1530"/>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681"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姓    名</w:t>
            </w:r>
          </w:p>
        </w:tc>
        <w:tc>
          <w:tcPr>
            <w:tcW w:w="1684" w:type="dxa"/>
            <w:noWrap w:val="0"/>
            <w:vAlign w:val="center"/>
          </w:tcPr>
          <w:p>
            <w:pPr>
              <w:jc w:val="center"/>
              <w:rPr>
                <w:rFonts w:ascii="Times New Roman" w:hAnsi="Times New Roman" w:eastAsia="楷体"/>
                <w:color w:val="auto"/>
                <w:sz w:val="24"/>
                <w:szCs w:val="21"/>
                <w:highlight w:val="none"/>
              </w:rPr>
            </w:pPr>
          </w:p>
        </w:tc>
        <w:tc>
          <w:tcPr>
            <w:tcW w:w="1650"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性    别</w:t>
            </w:r>
          </w:p>
        </w:tc>
        <w:tc>
          <w:tcPr>
            <w:tcW w:w="1227" w:type="dxa"/>
            <w:noWrap w:val="0"/>
            <w:vAlign w:val="center"/>
          </w:tcPr>
          <w:p>
            <w:pPr>
              <w:jc w:val="center"/>
              <w:rPr>
                <w:rFonts w:ascii="Times New Roman" w:hAnsi="Times New Roman" w:eastAsia="楷体"/>
                <w:color w:val="auto"/>
                <w:sz w:val="24"/>
                <w:szCs w:val="21"/>
                <w:highlight w:val="none"/>
              </w:rPr>
            </w:pPr>
          </w:p>
        </w:tc>
        <w:tc>
          <w:tcPr>
            <w:tcW w:w="1530"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民    族</w:t>
            </w:r>
          </w:p>
        </w:tc>
        <w:tc>
          <w:tcPr>
            <w:tcW w:w="1454" w:type="dxa"/>
            <w:noWrap w:val="0"/>
            <w:vAlign w:val="center"/>
          </w:tcPr>
          <w:p>
            <w:pPr>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出生年月日</w:t>
            </w:r>
          </w:p>
        </w:tc>
        <w:tc>
          <w:tcPr>
            <w:tcW w:w="1684" w:type="dxa"/>
            <w:noWrap w:val="0"/>
            <w:vAlign w:val="center"/>
          </w:tcPr>
          <w:p>
            <w:pPr>
              <w:jc w:val="center"/>
              <w:rPr>
                <w:rFonts w:ascii="Times New Roman" w:hAnsi="Times New Roman" w:eastAsia="楷体"/>
                <w:color w:val="auto"/>
                <w:sz w:val="24"/>
                <w:szCs w:val="21"/>
                <w:highlight w:val="none"/>
              </w:rPr>
            </w:pPr>
          </w:p>
        </w:tc>
        <w:tc>
          <w:tcPr>
            <w:tcW w:w="1650"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籍    贯</w:t>
            </w:r>
          </w:p>
        </w:tc>
        <w:tc>
          <w:tcPr>
            <w:tcW w:w="1227" w:type="dxa"/>
            <w:noWrap w:val="0"/>
            <w:vAlign w:val="center"/>
          </w:tcPr>
          <w:p>
            <w:pPr>
              <w:jc w:val="center"/>
              <w:rPr>
                <w:rFonts w:ascii="Times New Roman" w:hAnsi="Times New Roman" w:eastAsia="楷体"/>
                <w:color w:val="auto"/>
                <w:sz w:val="24"/>
                <w:szCs w:val="21"/>
                <w:highlight w:val="none"/>
              </w:rPr>
            </w:pPr>
          </w:p>
        </w:tc>
        <w:tc>
          <w:tcPr>
            <w:tcW w:w="1530" w:type="dxa"/>
            <w:noWrap w:val="0"/>
            <w:vAlign w:val="center"/>
          </w:tcPr>
          <w:p>
            <w:pPr>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政治面貌</w:t>
            </w:r>
          </w:p>
        </w:tc>
        <w:tc>
          <w:tcPr>
            <w:tcW w:w="1454" w:type="dxa"/>
            <w:noWrap w:val="0"/>
            <w:vAlign w:val="center"/>
          </w:tcPr>
          <w:p>
            <w:pPr>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二级学院</w:t>
            </w:r>
          </w:p>
        </w:tc>
        <w:tc>
          <w:tcPr>
            <w:tcW w:w="1684" w:type="dxa"/>
            <w:noWrap w:val="0"/>
            <w:vAlign w:val="center"/>
          </w:tcPr>
          <w:p>
            <w:pPr>
              <w:spacing w:line="240" w:lineRule="auto"/>
              <w:jc w:val="center"/>
              <w:rPr>
                <w:rFonts w:ascii="Times New Roman" w:hAnsi="Times New Roman" w:eastAsia="楷体"/>
                <w:color w:val="auto"/>
                <w:sz w:val="24"/>
                <w:szCs w:val="21"/>
                <w:highlight w:val="none"/>
              </w:rPr>
            </w:pPr>
          </w:p>
        </w:tc>
        <w:tc>
          <w:tcPr>
            <w:tcW w:w="1650" w:type="dxa"/>
            <w:noWrap w:val="0"/>
            <w:vAlign w:val="center"/>
          </w:tcPr>
          <w:p>
            <w:pPr>
              <w:spacing w:line="240" w:lineRule="auto"/>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专    业</w:t>
            </w:r>
          </w:p>
        </w:tc>
        <w:tc>
          <w:tcPr>
            <w:tcW w:w="1227" w:type="dxa"/>
            <w:noWrap w:val="0"/>
            <w:vAlign w:val="center"/>
          </w:tcPr>
          <w:p>
            <w:pPr>
              <w:spacing w:line="240" w:lineRule="auto"/>
              <w:jc w:val="center"/>
              <w:rPr>
                <w:rFonts w:ascii="Times New Roman" w:hAnsi="Times New Roman" w:eastAsia="楷体"/>
                <w:color w:val="auto"/>
                <w:sz w:val="24"/>
                <w:szCs w:val="21"/>
                <w:highlight w:val="none"/>
              </w:rPr>
            </w:pPr>
          </w:p>
        </w:tc>
        <w:tc>
          <w:tcPr>
            <w:tcW w:w="1530" w:type="dxa"/>
            <w:noWrap w:val="0"/>
            <w:vAlign w:val="center"/>
          </w:tcPr>
          <w:p>
            <w:pPr>
              <w:spacing w:line="240" w:lineRule="auto"/>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辅 导 员</w:t>
            </w:r>
          </w:p>
          <w:p>
            <w:pPr>
              <w:spacing w:line="240" w:lineRule="auto"/>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（班主任）</w:t>
            </w:r>
          </w:p>
        </w:tc>
        <w:tc>
          <w:tcPr>
            <w:tcW w:w="1454" w:type="dxa"/>
            <w:noWrap w:val="0"/>
            <w:vAlign w:val="center"/>
          </w:tcPr>
          <w:p>
            <w:pPr>
              <w:spacing w:line="240" w:lineRule="auto"/>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81" w:type="dxa"/>
            <w:noWrap w:val="0"/>
            <w:vAlign w:val="center"/>
          </w:tcPr>
          <w:p>
            <w:pPr>
              <w:spacing w:line="240" w:lineRule="auto"/>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入团时间</w:t>
            </w:r>
          </w:p>
        </w:tc>
        <w:tc>
          <w:tcPr>
            <w:tcW w:w="1684" w:type="dxa"/>
            <w:noWrap w:val="0"/>
            <w:vAlign w:val="center"/>
          </w:tcPr>
          <w:p>
            <w:pPr>
              <w:spacing w:line="240" w:lineRule="auto"/>
              <w:jc w:val="center"/>
              <w:rPr>
                <w:rFonts w:ascii="Times New Roman" w:hAnsi="Times New Roman" w:eastAsia="楷体"/>
                <w:color w:val="auto"/>
                <w:sz w:val="24"/>
                <w:szCs w:val="21"/>
                <w:highlight w:val="none"/>
              </w:rPr>
            </w:pPr>
          </w:p>
        </w:tc>
        <w:tc>
          <w:tcPr>
            <w:tcW w:w="1650" w:type="dxa"/>
            <w:noWrap w:val="0"/>
            <w:vAlign w:val="center"/>
          </w:tcPr>
          <w:p>
            <w:pPr>
              <w:spacing w:line="240" w:lineRule="auto"/>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加入的校（院）级团学组织</w:t>
            </w:r>
          </w:p>
        </w:tc>
        <w:tc>
          <w:tcPr>
            <w:tcW w:w="1227" w:type="dxa"/>
            <w:noWrap w:val="0"/>
            <w:vAlign w:val="center"/>
          </w:tcPr>
          <w:p>
            <w:pPr>
              <w:spacing w:line="240" w:lineRule="auto"/>
              <w:jc w:val="center"/>
              <w:rPr>
                <w:rFonts w:ascii="Times New Roman" w:hAnsi="Times New Roman" w:eastAsia="楷体"/>
                <w:color w:val="auto"/>
                <w:sz w:val="24"/>
                <w:szCs w:val="21"/>
                <w:highlight w:val="none"/>
              </w:rPr>
            </w:pPr>
          </w:p>
        </w:tc>
        <w:tc>
          <w:tcPr>
            <w:tcW w:w="1530" w:type="dxa"/>
            <w:noWrap w:val="0"/>
            <w:vAlign w:val="center"/>
          </w:tcPr>
          <w:p>
            <w:pPr>
              <w:spacing w:line="240" w:lineRule="auto"/>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申请入党</w:t>
            </w:r>
          </w:p>
          <w:p>
            <w:pPr>
              <w:spacing w:line="240" w:lineRule="auto"/>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时间</w:t>
            </w:r>
          </w:p>
        </w:tc>
        <w:tc>
          <w:tcPr>
            <w:tcW w:w="1454" w:type="dxa"/>
            <w:noWrap w:val="0"/>
            <w:vAlign w:val="center"/>
          </w:tcPr>
          <w:p>
            <w:pPr>
              <w:spacing w:line="240" w:lineRule="auto"/>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681" w:type="dxa"/>
            <w:tcBorders>
              <w:bottom w:val="single" w:color="auto" w:sz="4" w:space="0"/>
            </w:tcBorders>
            <w:noWrap w:val="0"/>
            <w:vAlign w:val="center"/>
          </w:tcPr>
          <w:p>
            <w:pPr>
              <w:jc w:val="center"/>
              <w:rPr>
                <w:rFonts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所获荣誉</w:t>
            </w:r>
            <w:r>
              <w:rPr>
                <w:rFonts w:ascii="Times New Roman" w:hAnsi="Times New Roman" w:eastAsia="楷体"/>
                <w:color w:val="auto"/>
                <w:sz w:val="24"/>
                <w:szCs w:val="21"/>
                <w:highlight w:val="none"/>
              </w:rPr>
              <w:t>和</w:t>
            </w:r>
          </w:p>
          <w:p>
            <w:pPr>
              <w:jc w:val="center"/>
              <w:rPr>
                <w:rFonts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从事团学</w:t>
            </w:r>
            <w:r>
              <w:rPr>
                <w:rFonts w:ascii="Times New Roman" w:hAnsi="Times New Roman" w:eastAsia="楷体"/>
                <w:color w:val="auto"/>
                <w:sz w:val="24"/>
                <w:szCs w:val="21"/>
                <w:highlight w:val="none"/>
              </w:rPr>
              <w:t>工作</w:t>
            </w:r>
          </w:p>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情况</w:t>
            </w:r>
          </w:p>
        </w:tc>
        <w:tc>
          <w:tcPr>
            <w:tcW w:w="7545" w:type="dxa"/>
            <w:gridSpan w:val="5"/>
            <w:tcBorders>
              <w:bottom w:val="single" w:color="auto" w:sz="4" w:space="0"/>
            </w:tcBorders>
            <w:noWrap w:val="0"/>
            <w:vAlign w:val="top"/>
          </w:tcPr>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ind w:left="240" w:hanging="240" w:hangingChars="100"/>
              <w:jc w:val="center"/>
              <w:rPr>
                <w:rFonts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本人签名：                                        </w:t>
            </w:r>
          </w:p>
          <w:p>
            <w:pPr>
              <w:spacing w:line="240" w:lineRule="auto"/>
              <w:ind w:left="240" w:hanging="240" w:hangingChars="100"/>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 年</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681" w:type="dxa"/>
            <w:tcBorders>
              <w:top w:val="single" w:color="auto" w:sz="4" w:space="0"/>
              <w:left w:val="single" w:color="auto" w:sz="4" w:space="0"/>
              <w:bottom w:val="single" w:color="auto" w:sz="4" w:space="0"/>
            </w:tcBorders>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会议情况</w:t>
            </w:r>
          </w:p>
        </w:tc>
        <w:tc>
          <w:tcPr>
            <w:tcW w:w="7545" w:type="dxa"/>
            <w:gridSpan w:val="5"/>
            <w:tcBorders>
              <w:top w:val="single" w:color="auto" w:sz="4" w:space="0"/>
              <w:bottom w:val="single" w:color="auto" w:sz="4" w:space="0"/>
              <w:right w:val="single" w:color="auto" w:sz="4" w:space="0"/>
            </w:tcBorders>
            <w:noWrap w:val="0"/>
            <w:vAlign w:val="center"/>
          </w:tcPr>
          <w:p>
            <w:pPr>
              <w:snapToGrid w:val="0"/>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团支部有团员</w:t>
            </w:r>
            <w:r>
              <w:rPr>
                <w:rFonts w:ascii="Times New Roman" w:hAnsi="Times New Roman" w:eastAsia="楷体"/>
                <w:color w:val="auto"/>
                <w:sz w:val="24"/>
                <w:szCs w:val="21"/>
                <w:highlight w:val="none"/>
                <w:u w:val="single"/>
              </w:rPr>
              <w:t xml:space="preserve"> </w:t>
            </w:r>
            <w:r>
              <w:rPr>
                <w:rFonts w:hint="eastAsia" w:ascii="Times New Roman" w:hAnsi="Times New Roman" w:eastAsia="楷体"/>
                <w:color w:val="auto"/>
                <w:sz w:val="24"/>
                <w:szCs w:val="21"/>
                <w:highlight w:val="none"/>
                <w:u w:val="single"/>
                <w:lang w:val="en-US" w:eastAsia="zh-CN"/>
              </w:rPr>
              <w:t xml:space="preserve">  </w:t>
            </w:r>
            <w:r>
              <w:rPr>
                <w:rFonts w:ascii="Times New Roman" w:hAnsi="Times New Roman" w:eastAsia="楷体"/>
                <w:color w:val="auto"/>
                <w:sz w:val="24"/>
                <w:szCs w:val="21"/>
                <w:highlight w:val="none"/>
                <w:u w:val="single"/>
              </w:rPr>
              <w:t xml:space="preserve"> </w:t>
            </w:r>
            <w:r>
              <w:rPr>
                <w:rFonts w:ascii="Times New Roman" w:hAnsi="Times New Roman" w:eastAsia="楷体"/>
                <w:color w:val="auto"/>
                <w:sz w:val="24"/>
                <w:szCs w:val="21"/>
                <w:highlight w:val="none"/>
              </w:rPr>
              <w:t>名，</w:t>
            </w:r>
            <w:r>
              <w:rPr>
                <w:rFonts w:hint="eastAsia" w:ascii="Times New Roman" w:hAnsi="Times New Roman" w:eastAsia="楷体"/>
                <w:color w:val="auto"/>
                <w:sz w:val="24"/>
                <w:szCs w:val="21"/>
                <w:highlight w:val="none"/>
                <w:u w:val="single"/>
                <w:lang w:val="en-US" w:eastAsia="zh-CN"/>
              </w:rPr>
              <w:t xml:space="preserve">     </w:t>
            </w:r>
            <w:r>
              <w:rPr>
                <w:rFonts w:ascii="Times New Roman" w:hAnsi="Times New Roman" w:eastAsia="楷体"/>
                <w:color w:val="auto"/>
                <w:sz w:val="24"/>
                <w:szCs w:val="21"/>
                <w:highlight w:val="none"/>
              </w:rPr>
              <w:t>年</w:t>
            </w:r>
            <w:r>
              <w:rPr>
                <w:rFonts w:hint="eastAsia" w:ascii="Times New Roman" w:hAnsi="Times New Roman" w:eastAsia="楷体"/>
                <w:color w:val="auto"/>
                <w:sz w:val="24"/>
                <w:szCs w:val="21"/>
                <w:highlight w:val="none"/>
                <w:u w:val="singl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u w:val="single"/>
                <w:lang w:val="en-US" w:eastAsia="zh-CN"/>
              </w:rPr>
              <w:t xml:space="preserve">   </w:t>
            </w:r>
            <w:r>
              <w:rPr>
                <w:rFonts w:ascii="Times New Roman" w:hAnsi="Times New Roman" w:eastAsia="楷体"/>
                <w:color w:val="auto"/>
                <w:sz w:val="24"/>
                <w:szCs w:val="21"/>
                <w:highlight w:val="none"/>
              </w:rPr>
              <w:t>日</w:t>
            </w:r>
            <w:r>
              <w:rPr>
                <w:rFonts w:hint="eastAsia" w:ascii="Times New Roman" w:hAnsi="Times New Roman" w:eastAsia="楷体"/>
                <w:color w:val="auto"/>
                <w:sz w:val="24"/>
                <w:szCs w:val="21"/>
                <w:highlight w:val="none"/>
                <w:lang w:val="en-US" w:eastAsia="zh-CN"/>
              </w:rPr>
              <w:t>召开支部“推优”大会，</w:t>
            </w:r>
            <w:r>
              <w:rPr>
                <w:rFonts w:ascii="Times New Roman" w:hAnsi="Times New Roman" w:eastAsia="楷体"/>
                <w:color w:val="auto"/>
                <w:sz w:val="24"/>
                <w:szCs w:val="21"/>
                <w:highlight w:val="none"/>
              </w:rPr>
              <w:t>实到</w:t>
            </w:r>
            <w:r>
              <w:rPr>
                <w:rFonts w:hint="eastAsia" w:ascii="Times New Roman" w:hAnsi="Times New Roman" w:eastAsia="楷体"/>
                <w:color w:val="auto"/>
                <w:sz w:val="24"/>
                <w:szCs w:val="21"/>
                <w:highlight w:val="none"/>
                <w:u w:val="single"/>
                <w:lang w:val="en-US" w:eastAsia="zh-CN"/>
              </w:rPr>
              <w:t xml:space="preserve">    </w:t>
            </w:r>
            <w:r>
              <w:rPr>
                <w:rFonts w:ascii="Times New Roman" w:hAnsi="Times New Roman" w:eastAsia="楷体"/>
                <w:color w:val="auto"/>
                <w:sz w:val="24"/>
                <w:szCs w:val="21"/>
                <w:highlight w:val="none"/>
              </w:rPr>
              <w:t>名，同意推荐</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票</w:t>
            </w:r>
            <w:r>
              <w:rPr>
                <w:rFonts w:ascii="Times New Roman" w:hAnsi="Times New Roman" w:eastAsia="楷体"/>
                <w:color w:val="auto"/>
                <w:sz w:val="24"/>
                <w:szCs w:val="21"/>
                <w:highlight w:val="none"/>
              </w:rPr>
              <w:t>，反对推荐</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票</w:t>
            </w:r>
            <w:r>
              <w:rPr>
                <w:rFonts w:ascii="Times New Roman" w:hAnsi="Times New Roman" w:eastAsia="楷体"/>
                <w:color w:val="auto"/>
                <w:sz w:val="24"/>
                <w:szCs w:val="21"/>
                <w:highlight w:val="none"/>
              </w:rPr>
              <w:t>，弃权</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票</w:t>
            </w:r>
            <w:r>
              <w:rPr>
                <w:rFonts w:ascii="Times New Roman" w:hAnsi="Times New Roman" w:eastAsia="楷体"/>
                <w:color w:val="auto"/>
                <w:sz w:val="24"/>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1681" w:type="dxa"/>
            <w:tcBorders>
              <w:top w:val="single" w:color="auto" w:sz="4" w:space="0"/>
            </w:tcBorders>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团 支 部</w:t>
            </w:r>
          </w:p>
          <w:p>
            <w:pPr>
              <w:jc w:val="center"/>
              <w:rPr>
                <w:rFonts w:hint="eastAsia" w:ascii="Times New Roman" w:hAnsi="Times New Roman" w:eastAsia="楷体"/>
                <w:color w:val="auto"/>
                <w:sz w:val="24"/>
                <w:szCs w:val="21"/>
                <w:highlight w:val="none"/>
                <w:lang w:val="en-US" w:eastAsia="zh-CN"/>
              </w:rPr>
            </w:pPr>
            <w:r>
              <w:rPr>
                <w:rFonts w:ascii="Times New Roman" w:hAnsi="Times New Roman" w:eastAsia="楷体"/>
                <w:color w:val="auto"/>
                <w:sz w:val="24"/>
                <w:szCs w:val="21"/>
                <w:highlight w:val="none"/>
              </w:rPr>
              <w:t>推荐</w:t>
            </w:r>
            <w:r>
              <w:rPr>
                <w:rFonts w:hint="eastAsia" w:ascii="Times New Roman" w:hAnsi="Times New Roman" w:eastAsia="楷体"/>
                <w:color w:val="auto"/>
                <w:sz w:val="24"/>
                <w:szCs w:val="21"/>
                <w:highlight w:val="none"/>
                <w:lang w:val="en-US" w:eastAsia="zh-CN"/>
              </w:rPr>
              <w:t>意见</w:t>
            </w:r>
          </w:p>
        </w:tc>
        <w:tc>
          <w:tcPr>
            <w:tcW w:w="7545" w:type="dxa"/>
            <w:gridSpan w:val="5"/>
            <w:tcBorders>
              <w:top w:val="single" w:color="auto" w:sz="4" w:space="0"/>
            </w:tcBorders>
            <w:noWrap w:val="0"/>
            <w:vAlign w:val="top"/>
          </w:tcPr>
          <w:p>
            <w:pPr>
              <w:spacing w:line="240" w:lineRule="auto"/>
              <w:jc w:val="left"/>
              <w:rPr>
                <w:rFonts w:hint="eastAsia" w:ascii="Times New Roman" w:hAnsi="Times New Roman" w:eastAsia="楷体"/>
                <w:color w:val="auto"/>
                <w:sz w:val="24"/>
                <w:szCs w:val="21"/>
                <w:highlight w:val="none"/>
                <w:lang w:val="en-US" w:eastAsia="zh-CN"/>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p>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同意推荐</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同学</w:t>
            </w: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不推荐</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同学</w:t>
            </w:r>
          </w:p>
          <w:p>
            <w:pPr>
              <w:spacing w:line="240" w:lineRule="auto"/>
              <w:jc w:val="left"/>
              <w:rPr>
                <w:rFonts w:hint="eastAsia" w:ascii="Times New Roman" w:hAnsi="Times New Roman" w:eastAsia="楷体"/>
                <w:color w:val="auto"/>
                <w:sz w:val="24"/>
                <w:szCs w:val="21"/>
                <w:highlight w:val="none"/>
                <w:lang w:val="en-US" w:eastAsia="zh-CN"/>
              </w:rPr>
            </w:pPr>
          </w:p>
          <w:p>
            <w:pPr>
              <w:spacing w:line="240" w:lineRule="auto"/>
              <w:ind w:left="420" w:firstLine="1008" w:firstLineChars="420"/>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  团支部书记签名：</w:t>
            </w:r>
          </w:p>
          <w:p>
            <w:pPr>
              <w:wordWrap w:val="0"/>
              <w:spacing w:line="240" w:lineRule="auto"/>
              <w:ind w:left="360" w:firstLine="1068" w:firstLineChars="445"/>
              <w:jc w:val="righ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年</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81" w:type="dxa"/>
            <w:noWrap w:val="0"/>
            <w:vAlign w:val="center"/>
          </w:tcPr>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班主任</w:t>
            </w:r>
          </w:p>
          <w:p>
            <w:pPr>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（辅导员）</w:t>
            </w:r>
          </w:p>
          <w:p>
            <w:pPr>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监会意见</w:t>
            </w:r>
          </w:p>
        </w:tc>
        <w:tc>
          <w:tcPr>
            <w:tcW w:w="7545" w:type="dxa"/>
            <w:gridSpan w:val="5"/>
            <w:noWrap w:val="0"/>
            <w:vAlign w:val="top"/>
          </w:tcPr>
          <w:p>
            <w:pPr>
              <w:spacing w:line="240" w:lineRule="auto"/>
              <w:ind w:left="360" w:hanging="360" w:hangingChars="150"/>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p>
          <w:p>
            <w:pPr>
              <w:spacing w:line="240" w:lineRule="auto"/>
              <w:jc w:val="left"/>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eastAsia="zh-CN"/>
              </w:rPr>
              <w:t>“</w:t>
            </w:r>
            <w:r>
              <w:rPr>
                <w:rFonts w:hint="eastAsia" w:ascii="Times New Roman" w:hAnsi="Times New Roman" w:eastAsia="楷体"/>
                <w:color w:val="auto"/>
                <w:sz w:val="24"/>
                <w:szCs w:val="21"/>
                <w:highlight w:val="none"/>
                <w:lang w:val="en-US" w:eastAsia="zh-CN"/>
              </w:rPr>
              <w:t>推优</w:t>
            </w:r>
            <w:r>
              <w:rPr>
                <w:rFonts w:hint="eastAsia" w:ascii="Times New Roman" w:hAnsi="Times New Roman" w:eastAsia="楷体"/>
                <w:color w:val="auto"/>
                <w:sz w:val="24"/>
                <w:szCs w:val="21"/>
                <w:highlight w:val="none"/>
                <w:lang w:eastAsia="zh-CN"/>
              </w:rPr>
              <w:t>”</w:t>
            </w:r>
            <w:r>
              <w:rPr>
                <w:rFonts w:hint="eastAsia" w:ascii="Times New Roman" w:hAnsi="Times New Roman" w:eastAsia="楷体"/>
                <w:color w:val="auto"/>
                <w:sz w:val="24"/>
                <w:szCs w:val="21"/>
                <w:highlight w:val="none"/>
                <w:lang w:val="en-US" w:eastAsia="zh-CN"/>
              </w:rPr>
              <w:t>大会</w:t>
            </w: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hint="eastAsia" w:ascii="Times New Roman" w:hAnsi="Times New Roman" w:eastAsia="楷体"/>
                <w:color w:val="auto"/>
                <w:sz w:val="24"/>
                <w:szCs w:val="21"/>
                <w:highlight w:val="none"/>
                <w:lang w:val="en-US" w:eastAsia="zh-CN"/>
              </w:rPr>
              <w:t xml:space="preserve">符合程序，大会有效 /  </w:t>
            </w:r>
            <w:r>
              <w:rPr>
                <w:rFonts w:ascii="Times New Roman" w:hAnsi="Times New Roman" w:eastAsia="楷体"/>
                <w:color w:val="auto"/>
                <w:sz w:val="24"/>
                <w:szCs w:val="21"/>
                <w:highlight w:val="none"/>
              </w:rPr>
              <w:sym w:font="Wingdings 2" w:char="00A3"/>
            </w:r>
            <w:r>
              <w:rPr>
                <w:rFonts w:hint="eastAsia" w:ascii="Times New Roman" w:hAnsi="Times New Roman" w:eastAsia="楷体"/>
                <w:color w:val="auto"/>
                <w:sz w:val="24"/>
                <w:szCs w:val="21"/>
                <w:highlight w:val="none"/>
                <w:lang w:val="en-US" w:eastAsia="zh-CN"/>
              </w:rPr>
              <w:t>不符合程序，大会无效</w:t>
            </w:r>
          </w:p>
          <w:p>
            <w:pPr>
              <w:spacing w:line="240" w:lineRule="auto"/>
              <w:ind w:left="360" w:hanging="360" w:hangingChars="150"/>
              <w:rPr>
                <w:rFonts w:hint="eastAsia" w:ascii="Times New Roman" w:hAnsi="Times New Roman" w:eastAsia="楷体"/>
                <w:color w:val="auto"/>
                <w:sz w:val="24"/>
                <w:szCs w:val="21"/>
                <w:highlight w:val="none"/>
                <w:lang w:val="en-US" w:eastAsia="zh-CN"/>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p>
          <w:p>
            <w:pPr>
              <w:spacing w:line="240" w:lineRule="auto"/>
              <w:ind w:left="360" w:hanging="360" w:hangingChars="150"/>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 xml:space="preserve">                     辅导员（班主任）</w:t>
            </w:r>
            <w:r>
              <w:rPr>
                <w:rFonts w:ascii="Times New Roman" w:hAnsi="Times New Roman" w:eastAsia="楷体"/>
                <w:color w:val="auto"/>
                <w:sz w:val="24"/>
                <w:szCs w:val="21"/>
                <w:highlight w:val="none"/>
              </w:rPr>
              <w:t>签名：</w:t>
            </w:r>
          </w:p>
          <w:p>
            <w:pPr>
              <w:spacing w:line="240" w:lineRule="auto"/>
              <w:ind w:left="360" w:firstLine="698" w:firstLineChars="291"/>
              <w:jc w:val="center"/>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年</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1681" w:type="dxa"/>
            <w:noWrap w:val="0"/>
            <w:vAlign w:val="center"/>
          </w:tcPr>
          <w:p>
            <w:pPr>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学院</w:t>
            </w:r>
            <w:r>
              <w:rPr>
                <w:rFonts w:ascii="Times New Roman" w:hAnsi="Times New Roman" w:eastAsia="楷体"/>
                <w:color w:val="auto"/>
                <w:sz w:val="24"/>
                <w:szCs w:val="21"/>
                <w:highlight w:val="none"/>
              </w:rPr>
              <w:t>团</w:t>
            </w:r>
            <w:r>
              <w:rPr>
                <w:rFonts w:hint="eastAsia" w:ascii="Times New Roman" w:hAnsi="Times New Roman" w:eastAsia="楷体"/>
                <w:color w:val="auto"/>
                <w:sz w:val="24"/>
                <w:szCs w:val="21"/>
                <w:highlight w:val="none"/>
                <w:lang w:val="en-US" w:eastAsia="zh-CN"/>
              </w:rPr>
              <w:t>总支</w:t>
            </w:r>
          </w:p>
          <w:p>
            <w:pPr>
              <w:jc w:val="center"/>
              <w:rPr>
                <w:rFonts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初审</w:t>
            </w:r>
            <w:r>
              <w:rPr>
                <w:rFonts w:ascii="Times New Roman" w:hAnsi="Times New Roman" w:eastAsia="楷体"/>
                <w:color w:val="auto"/>
                <w:sz w:val="24"/>
                <w:szCs w:val="21"/>
                <w:highlight w:val="none"/>
              </w:rPr>
              <w:t>意见</w:t>
            </w:r>
          </w:p>
        </w:tc>
        <w:tc>
          <w:tcPr>
            <w:tcW w:w="7545" w:type="dxa"/>
            <w:gridSpan w:val="5"/>
            <w:noWrap w:val="0"/>
            <w:vAlign w:val="top"/>
          </w:tcPr>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p>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同意</w:t>
            </w:r>
            <w:r>
              <w:rPr>
                <w:rFonts w:hint="eastAsia" w:ascii="Times New Roman" w:hAnsi="Times New Roman" w:eastAsia="楷体"/>
                <w:color w:val="auto"/>
                <w:sz w:val="24"/>
                <w:szCs w:val="21"/>
                <w:highlight w:val="none"/>
                <w:lang w:val="en-US" w:eastAsia="zh-CN"/>
              </w:rPr>
              <w:t>团支部推荐意见</w:t>
            </w: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不</w:t>
            </w:r>
            <w:r>
              <w:rPr>
                <w:rFonts w:hint="eastAsia" w:ascii="Times New Roman" w:hAnsi="Times New Roman" w:eastAsia="楷体"/>
                <w:color w:val="auto"/>
                <w:sz w:val="24"/>
                <w:szCs w:val="21"/>
                <w:highlight w:val="none"/>
                <w:lang w:val="en-US" w:eastAsia="zh-CN"/>
              </w:rPr>
              <w:t>同意团支部推荐意见（理由如下：）</w:t>
            </w: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hint="eastAsia" w:ascii="Times New Roman" w:hAnsi="Times New Roman" w:eastAsia="楷体"/>
                <w:color w:val="auto"/>
                <w:sz w:val="24"/>
                <w:szCs w:val="21"/>
                <w:highlight w:val="none"/>
                <w:lang w:val="en-US" w:eastAsia="zh-CN"/>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二级学院团总支</w:t>
            </w:r>
            <w:r>
              <w:rPr>
                <w:rFonts w:ascii="Times New Roman" w:hAnsi="Times New Roman" w:eastAsia="楷体"/>
                <w:color w:val="auto"/>
                <w:sz w:val="24"/>
                <w:szCs w:val="21"/>
                <w:highlight w:val="none"/>
              </w:rPr>
              <w:t xml:space="preserve">盖章   </w:t>
            </w:r>
            <w:r>
              <w:rPr>
                <w:rFonts w:hint="eastAsia" w:ascii="Times New Roman" w:hAnsi="Times New Roman" w:eastAsia="楷体"/>
                <w:color w:val="auto"/>
                <w:sz w:val="24"/>
                <w:szCs w:val="21"/>
                <w:highlight w:val="none"/>
                <w:lang w:val="en-US" w:eastAsia="zh-CN"/>
              </w:rPr>
              <w:t>二级学院团总支书记</w:t>
            </w:r>
            <w:r>
              <w:rPr>
                <w:rFonts w:ascii="Times New Roman" w:hAnsi="Times New Roman" w:eastAsia="楷体"/>
                <w:color w:val="auto"/>
                <w:sz w:val="24"/>
                <w:szCs w:val="21"/>
                <w:highlight w:val="none"/>
              </w:rPr>
              <w:t>签名（签章）：</w:t>
            </w:r>
            <w:r>
              <w:rPr>
                <w:rFonts w:hint="eastAsia" w:ascii="Times New Roman" w:hAnsi="Times New Roman" w:eastAsia="楷体"/>
                <w:color w:val="auto"/>
                <w:sz w:val="24"/>
                <w:szCs w:val="21"/>
                <w:highlight w:val="none"/>
                <w:lang w:val="en-US" w:eastAsia="zh-CN"/>
              </w:rPr>
              <w:t xml:space="preserve"> </w:t>
            </w:r>
          </w:p>
          <w:p>
            <w:pPr>
              <w:wordWrap w:val="0"/>
              <w:spacing w:line="240" w:lineRule="auto"/>
              <w:ind w:left="360" w:firstLine="1068" w:firstLineChars="445"/>
              <w:jc w:val="righ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年</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jc w:val="center"/>
        </w:trPr>
        <w:tc>
          <w:tcPr>
            <w:tcW w:w="1681" w:type="dxa"/>
            <w:noWrap w:val="0"/>
            <w:vAlign w:val="center"/>
          </w:tcPr>
          <w:p>
            <w:pPr>
              <w:jc w:val="center"/>
              <w:rPr>
                <w:rFonts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校</w:t>
            </w:r>
            <w:r>
              <w:rPr>
                <w:rFonts w:ascii="Times New Roman" w:hAnsi="Times New Roman" w:eastAsia="楷体"/>
                <w:color w:val="auto"/>
                <w:sz w:val="24"/>
                <w:szCs w:val="21"/>
                <w:highlight w:val="none"/>
              </w:rPr>
              <w:t>团委</w:t>
            </w:r>
          </w:p>
          <w:p>
            <w:pPr>
              <w:jc w:val="center"/>
              <w:rPr>
                <w:rFonts w:ascii="Times New Roman" w:hAnsi="Times New Roman" w:eastAsia="楷体" w:cs="Times New Roman"/>
                <w:color w:val="auto"/>
                <w:kern w:val="2"/>
                <w:sz w:val="21"/>
                <w:szCs w:val="21"/>
                <w:highlight w:val="none"/>
                <w:lang w:val="en-US" w:eastAsia="zh-CN" w:bidi="ar-SA"/>
              </w:rPr>
            </w:pPr>
            <w:r>
              <w:rPr>
                <w:rFonts w:hint="eastAsia" w:ascii="Times New Roman" w:hAnsi="Times New Roman" w:eastAsia="楷体"/>
                <w:color w:val="auto"/>
                <w:sz w:val="24"/>
                <w:szCs w:val="21"/>
                <w:highlight w:val="none"/>
                <w:lang w:val="en-US" w:eastAsia="zh-CN"/>
              </w:rPr>
              <w:t>复审</w:t>
            </w:r>
            <w:r>
              <w:rPr>
                <w:rFonts w:ascii="Times New Roman" w:hAnsi="Times New Roman" w:eastAsia="楷体"/>
                <w:color w:val="auto"/>
                <w:sz w:val="24"/>
                <w:szCs w:val="21"/>
                <w:highlight w:val="none"/>
              </w:rPr>
              <w:t>意见</w:t>
            </w:r>
          </w:p>
        </w:tc>
        <w:tc>
          <w:tcPr>
            <w:tcW w:w="7545" w:type="dxa"/>
            <w:gridSpan w:val="5"/>
            <w:noWrap w:val="0"/>
            <w:vAlign w:val="top"/>
          </w:tcPr>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p>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同意</w:t>
            </w:r>
            <w:r>
              <w:rPr>
                <w:rFonts w:hint="eastAsia" w:ascii="Times New Roman" w:hAnsi="Times New Roman" w:eastAsia="楷体"/>
                <w:color w:val="auto"/>
                <w:sz w:val="24"/>
                <w:szCs w:val="21"/>
                <w:highlight w:val="none"/>
                <w:lang w:val="en-US" w:eastAsia="zh-CN"/>
              </w:rPr>
              <w:t>团总支初审意见</w:t>
            </w: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 </w:t>
            </w:r>
            <w:r>
              <w:rPr>
                <w:rFonts w:ascii="Times New Roman" w:hAnsi="Times New Roman" w:eastAsia="楷体"/>
                <w:color w:val="auto"/>
                <w:sz w:val="24"/>
                <w:szCs w:val="21"/>
                <w:highlight w:val="none"/>
              </w:rPr>
              <w:sym w:font="Wingdings 2" w:char="00A3"/>
            </w:r>
            <w:r>
              <w:rPr>
                <w:rFonts w:ascii="Times New Roman" w:hAnsi="Times New Roman" w:eastAsia="楷体"/>
                <w:color w:val="auto"/>
                <w:sz w:val="24"/>
                <w:szCs w:val="21"/>
                <w:highlight w:val="none"/>
              </w:rPr>
              <w:t>不</w:t>
            </w:r>
            <w:r>
              <w:rPr>
                <w:rFonts w:hint="eastAsia" w:ascii="Times New Roman" w:hAnsi="Times New Roman" w:eastAsia="楷体"/>
                <w:color w:val="auto"/>
                <w:sz w:val="24"/>
                <w:szCs w:val="21"/>
                <w:highlight w:val="none"/>
                <w:lang w:val="en-US" w:eastAsia="zh-CN"/>
              </w:rPr>
              <w:t>同意团总支初审意见（理由如下：）</w:t>
            </w: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hint="eastAsia" w:ascii="Times New Roman" w:hAnsi="Times New Roman" w:eastAsia="楷体"/>
                <w:color w:val="auto"/>
                <w:sz w:val="24"/>
                <w:szCs w:val="21"/>
                <w:highlight w:val="none"/>
                <w:lang w:val="en-US" w:eastAsia="zh-CN"/>
              </w:rPr>
            </w:pPr>
            <w:r>
              <w:rPr>
                <w:rFonts w:ascii="Times New Roman" w:hAnsi="Times New Roman" w:eastAsia="楷体"/>
                <w:color w:val="auto"/>
                <w:sz w:val="24"/>
                <w:szCs w:val="21"/>
                <w:highlight w:val="none"/>
              </w:rPr>
              <w:t xml:space="preserve">  </w:t>
            </w:r>
            <w:r>
              <w:rPr>
                <w:rFonts w:hint="eastAsia" w:ascii="Times New Roman" w:hAnsi="Times New Roman" w:eastAsia="楷体"/>
                <w:color w:val="auto"/>
                <w:sz w:val="24"/>
                <w:szCs w:val="21"/>
                <w:highlight w:val="none"/>
                <w:lang w:val="en-US" w:eastAsia="zh-CN"/>
              </w:rPr>
              <w:t xml:space="preserve">   校</w:t>
            </w:r>
            <w:r>
              <w:rPr>
                <w:rFonts w:ascii="Times New Roman" w:hAnsi="Times New Roman" w:eastAsia="楷体"/>
                <w:color w:val="auto"/>
                <w:sz w:val="24"/>
                <w:szCs w:val="21"/>
                <w:highlight w:val="none"/>
              </w:rPr>
              <w:t xml:space="preserve">团委盖章     </w:t>
            </w:r>
            <w:r>
              <w:rPr>
                <w:rFonts w:hint="eastAsia" w:ascii="Times New Roman" w:hAnsi="Times New Roman" w:eastAsia="楷体"/>
                <w:color w:val="auto"/>
                <w:sz w:val="24"/>
                <w:szCs w:val="21"/>
                <w:highlight w:val="none"/>
                <w:lang w:val="en-US" w:eastAsia="zh-CN"/>
              </w:rPr>
              <w:t>校团委书记（组织部）</w:t>
            </w:r>
            <w:r>
              <w:rPr>
                <w:rFonts w:ascii="Times New Roman" w:hAnsi="Times New Roman" w:eastAsia="楷体"/>
                <w:color w:val="auto"/>
                <w:sz w:val="24"/>
                <w:szCs w:val="21"/>
                <w:highlight w:val="none"/>
              </w:rPr>
              <w:t>签名（签章）：</w:t>
            </w:r>
            <w:r>
              <w:rPr>
                <w:rFonts w:hint="eastAsia" w:ascii="Times New Roman" w:hAnsi="Times New Roman" w:eastAsia="楷体"/>
                <w:color w:val="auto"/>
                <w:sz w:val="24"/>
                <w:szCs w:val="21"/>
                <w:highlight w:val="none"/>
                <w:lang w:val="en-US" w:eastAsia="zh-CN"/>
              </w:rPr>
              <w:t xml:space="preserve"> </w:t>
            </w:r>
          </w:p>
          <w:p>
            <w:pPr>
              <w:wordWrap w:val="0"/>
              <w:spacing w:line="240" w:lineRule="auto"/>
              <w:ind w:left="360" w:leftChars="0" w:firstLine="1068" w:firstLineChars="445"/>
              <w:jc w:val="right"/>
              <w:rPr>
                <w:rFonts w:ascii="Times New Roman" w:hAnsi="Times New Roman" w:eastAsia="楷体" w:cs="Times New Roman"/>
                <w:color w:val="auto"/>
                <w:kern w:val="2"/>
                <w:sz w:val="21"/>
                <w:szCs w:val="21"/>
                <w:highlight w:val="none"/>
                <w:lang w:val="en-US" w:eastAsia="zh-CN" w:bidi="ar-SA"/>
              </w:rPr>
            </w:pPr>
            <w:r>
              <w:rPr>
                <w:rFonts w:ascii="Times New Roman" w:hAnsi="Times New Roman" w:eastAsia="楷体"/>
                <w:color w:val="auto"/>
                <w:sz w:val="24"/>
                <w:szCs w:val="21"/>
                <w:highlight w:val="none"/>
              </w:rPr>
              <w:t xml:space="preserve">  年</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月</w:t>
            </w:r>
            <w:r>
              <w:rPr>
                <w:rFonts w:hint="eastAsia" w:ascii="Times New Roman" w:hAnsi="Times New Roman" w:eastAsia="楷体"/>
                <w:color w:val="auto"/>
                <w:sz w:val="24"/>
                <w:szCs w:val="21"/>
                <w:highlight w:val="none"/>
                <w:lang w:val="en-US" w:eastAsia="zh-CN"/>
              </w:rPr>
              <w:t xml:space="preserve">  </w:t>
            </w:r>
            <w:r>
              <w:rPr>
                <w:rFonts w:ascii="Times New Roman" w:hAnsi="Times New Roman" w:eastAsia="楷体"/>
                <w:color w:val="auto"/>
                <w:sz w:val="24"/>
                <w:szCs w:val="21"/>
                <w:highlight w:val="none"/>
              </w:rPr>
              <w:t xml:space="preserve">日 </w:t>
            </w:r>
          </w:p>
        </w:tc>
      </w:tr>
    </w:tbl>
    <w:p>
      <w:pPr>
        <w:rPr>
          <w:rFonts w:hint="eastAsia" w:ascii="方正小标宋_GBK" w:hAnsi="方正小标宋_GBK" w:eastAsia="方正小标宋_GBK" w:cs="方正小标宋_GBK"/>
          <w:color w:val="auto"/>
          <w:spacing w:val="20"/>
          <w:sz w:val="24"/>
          <w:szCs w:val="24"/>
          <w:highlight w:val="none"/>
          <w:lang w:val="en-US" w:eastAsia="zh-CN"/>
        </w:rPr>
      </w:pPr>
      <w:r>
        <w:rPr>
          <w:rFonts w:hint="eastAsia" w:ascii="Times New Roman" w:hAnsi="Times New Roman" w:eastAsia="黑体"/>
          <w:bCs/>
          <w:color w:val="auto"/>
          <w:sz w:val="22"/>
          <w:szCs w:val="20"/>
          <w:highlight w:val="none"/>
          <w:lang w:val="en-US" w:eastAsia="zh-CN"/>
        </w:rPr>
        <w:t>团支部</w:t>
      </w:r>
      <w:r>
        <w:rPr>
          <w:rFonts w:ascii="Times New Roman" w:hAnsi="Times New Roman" w:eastAsia="黑体"/>
          <w:bCs/>
          <w:color w:val="auto"/>
          <w:sz w:val="22"/>
          <w:szCs w:val="20"/>
          <w:highlight w:val="none"/>
        </w:rPr>
        <w:t>推优大会监督人：</w:t>
      </w:r>
      <w:r>
        <w:rPr>
          <w:rFonts w:hint="eastAsia" w:ascii="Times New Roman" w:hAnsi="Times New Roman" w:eastAsia="楷体"/>
          <w:color w:val="auto"/>
          <w:sz w:val="22"/>
          <w:szCs w:val="20"/>
          <w:highlight w:val="none"/>
          <w:lang w:val="en-US" w:eastAsia="zh-CN"/>
        </w:rPr>
        <w:t xml:space="preserve"> </w:t>
      </w:r>
      <w:r>
        <w:rPr>
          <w:rFonts w:hint="eastAsia" w:ascii="Times New Roman" w:hAnsi="Times New Roman" w:eastAsia="楷体"/>
          <w:color w:val="auto"/>
          <w:sz w:val="22"/>
          <w:szCs w:val="20"/>
          <w:highlight w:val="none"/>
        </w:rPr>
        <w:t xml:space="preserve">  </w:t>
      </w:r>
      <w:r>
        <w:rPr>
          <w:rFonts w:hint="eastAsia" w:ascii="Times New Roman" w:hAnsi="Times New Roman" w:eastAsia="楷体"/>
          <w:color w:val="auto"/>
          <w:sz w:val="22"/>
          <w:szCs w:val="20"/>
          <w:highlight w:val="none"/>
          <w:lang w:val="en-US" w:eastAsia="zh-CN"/>
        </w:rPr>
        <w:t xml:space="preserve"> </w:t>
      </w:r>
      <w:r>
        <w:rPr>
          <w:rFonts w:ascii="Times New Roman" w:hAnsi="Times New Roman" w:eastAsia="黑体"/>
          <w:bCs/>
          <w:color w:val="auto"/>
          <w:sz w:val="22"/>
          <w:szCs w:val="20"/>
          <w:highlight w:val="none"/>
        </w:rPr>
        <w:t xml:space="preserve">         </w:t>
      </w:r>
      <w:r>
        <w:rPr>
          <w:rFonts w:hint="eastAsia" w:ascii="Times New Roman" w:hAnsi="Times New Roman" w:eastAsia="黑体"/>
          <w:bCs/>
          <w:color w:val="auto"/>
          <w:sz w:val="22"/>
          <w:szCs w:val="20"/>
          <w:highlight w:val="none"/>
          <w:lang w:val="en-US" w:eastAsia="zh-CN"/>
        </w:rPr>
        <w:t xml:space="preserve">共青团云南城市建设职业学院委员 </w:t>
      </w:r>
      <w:r>
        <w:rPr>
          <w:rFonts w:ascii="Times New Roman" w:hAnsi="Times New Roman" w:eastAsia="黑体"/>
          <w:bCs/>
          <w:color w:val="auto"/>
          <w:sz w:val="22"/>
          <w:szCs w:val="20"/>
          <w:highlight w:val="none"/>
        </w:rPr>
        <w:t>制</w:t>
      </w:r>
      <w:r>
        <w:rPr>
          <w:rFonts w:hint="eastAsia" w:ascii="Times New Roman" w:hAnsi="Times New Roman" w:eastAsia="黑体"/>
          <w:bCs/>
          <w:color w:val="auto"/>
          <w:sz w:val="22"/>
          <w:szCs w:val="20"/>
          <w:highlight w:val="none"/>
          <w:lang w:val="en-US" w:eastAsia="zh-CN"/>
        </w:rPr>
        <w:t>表</w:t>
      </w:r>
    </w:p>
    <w:p>
      <w:pPr>
        <w:snapToGrid w:val="0"/>
        <w:spacing w:line="240" w:lineRule="auto"/>
        <w:jc w:val="center"/>
        <w:rPr>
          <w:rFonts w:hint="eastAsia" w:ascii="方正小标宋_GBK" w:hAnsi="方正小标宋_GBK" w:eastAsia="方正小标宋_GBK" w:cs="方正小标宋_GBK"/>
          <w:color w:val="auto"/>
          <w:spacing w:val="20"/>
          <w:sz w:val="28"/>
          <w:szCs w:val="28"/>
          <w:highlight w:val="none"/>
          <w:lang w:val="en-US" w:eastAsia="zh-CN"/>
        </w:rPr>
      </w:pPr>
      <w:r>
        <w:rPr>
          <w:rFonts w:hint="eastAsia" w:ascii="方正小标宋_GBK" w:hAnsi="方正小标宋_GBK" w:eastAsia="方正小标宋_GBK" w:cs="方正小标宋_GBK"/>
          <w:color w:val="auto"/>
          <w:spacing w:val="20"/>
          <w:sz w:val="28"/>
          <w:szCs w:val="28"/>
          <w:highlight w:val="none"/>
          <w:lang w:val="en-US" w:eastAsia="zh-CN"/>
        </w:rPr>
        <w:t>附件2.云南城市建设职业学院推荐优秀团员作为</w:t>
      </w:r>
    </w:p>
    <w:p>
      <w:pPr>
        <w:snapToGrid w:val="0"/>
        <w:spacing w:line="240" w:lineRule="auto"/>
        <w:jc w:val="center"/>
        <w:rPr>
          <w:rFonts w:hint="default" w:ascii="方正小标宋_GBK" w:hAnsi="方正小标宋_GBK" w:eastAsia="方正小标宋_GBK" w:cs="方正小标宋_GBK"/>
          <w:color w:val="auto"/>
          <w:sz w:val="28"/>
          <w:szCs w:val="28"/>
          <w:highlight w:val="none"/>
          <w:lang w:val="en-US" w:eastAsia="zh-CN"/>
        </w:rPr>
      </w:pPr>
      <w:r>
        <w:rPr>
          <w:rFonts w:hint="eastAsia" w:ascii="Times New Roman" w:hAnsi="Times New Roman" w:eastAsia="楷体"/>
          <w:color w:val="auto"/>
          <w:szCs w:val="24"/>
          <w:highlight w:val="none"/>
          <w:lang w:val="en-US" w:eastAsia="zh-CN"/>
        </w:rPr>
        <w:t xml:space="preserve"> </w:t>
      </w:r>
      <w:r>
        <w:rPr>
          <w:rFonts w:hint="eastAsia" w:ascii="Times New Roman" w:hAnsi="Times New Roman" w:eastAsia="楷体"/>
          <w:color w:val="auto"/>
          <w:szCs w:val="24"/>
          <w:highlight w:val="none"/>
          <w:lang w:val="en-US" w:eastAsia="zh-CN"/>
        </w:rPr>
        <w:sym w:font="Wingdings 2" w:char="00A3"/>
      </w:r>
      <w:r>
        <w:rPr>
          <w:rFonts w:hint="eastAsia" w:ascii="方正小标宋_GBK" w:hAnsi="方正小标宋_GBK" w:eastAsia="方正小标宋_GBK" w:cs="方正小标宋_GBK"/>
          <w:color w:val="auto"/>
          <w:spacing w:val="20"/>
          <w:sz w:val="28"/>
          <w:szCs w:val="28"/>
          <w:highlight w:val="none"/>
        </w:rPr>
        <w:t>入党积极分子</w:t>
      </w:r>
      <w:r>
        <w:rPr>
          <w:rFonts w:hint="eastAsia" w:ascii="方正小标宋_GBK" w:hAnsi="方正小标宋_GBK" w:eastAsia="方正小标宋_GBK" w:cs="方正小标宋_GBK"/>
          <w:color w:val="auto"/>
          <w:spacing w:val="20"/>
          <w:sz w:val="28"/>
          <w:szCs w:val="28"/>
          <w:highlight w:val="none"/>
          <w:lang w:val="en-US" w:eastAsia="zh-CN"/>
        </w:rPr>
        <w:t>/</w:t>
      </w:r>
      <w:r>
        <w:rPr>
          <w:rFonts w:hint="eastAsia" w:ascii="Times New Roman" w:hAnsi="Times New Roman" w:eastAsia="楷体"/>
          <w:color w:val="auto"/>
          <w:szCs w:val="24"/>
          <w:highlight w:val="none"/>
          <w:lang w:val="en-US" w:eastAsia="zh-CN"/>
        </w:rPr>
        <w:t xml:space="preserve"> </w:t>
      </w:r>
      <w:r>
        <w:rPr>
          <w:rFonts w:hint="eastAsia" w:ascii="Times New Roman" w:hAnsi="Times New Roman" w:eastAsia="楷体"/>
          <w:color w:val="auto"/>
          <w:szCs w:val="24"/>
          <w:highlight w:val="none"/>
          <w:lang w:val="en-US" w:eastAsia="zh-CN"/>
        </w:rPr>
        <w:sym w:font="Wingdings 2" w:char="00A3"/>
      </w:r>
      <w:r>
        <w:rPr>
          <w:rFonts w:hint="eastAsia" w:ascii="Times New Roman" w:hAnsi="Times New Roman" w:eastAsia="楷体"/>
          <w:color w:val="auto"/>
          <w:szCs w:val="24"/>
          <w:highlight w:val="none"/>
          <w:lang w:val="en-US" w:eastAsia="zh-CN"/>
        </w:rPr>
        <w:t xml:space="preserve"> </w:t>
      </w:r>
      <w:r>
        <w:rPr>
          <w:rFonts w:hint="eastAsia" w:ascii="方正小标宋_GBK" w:hAnsi="方正小标宋_GBK" w:eastAsia="方正小标宋_GBK" w:cs="方正小标宋_GBK"/>
          <w:color w:val="auto"/>
          <w:spacing w:val="20"/>
          <w:sz w:val="28"/>
          <w:szCs w:val="28"/>
          <w:highlight w:val="none"/>
          <w:lang w:val="en-US" w:eastAsia="zh-CN"/>
        </w:rPr>
        <w:t>发展对象团支部大会会议记录表</w:t>
      </w:r>
    </w:p>
    <w:tbl>
      <w:tblPr>
        <w:tblStyle w:val="22"/>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684"/>
        <w:gridCol w:w="1509"/>
        <w:gridCol w:w="1368"/>
        <w:gridCol w:w="1530"/>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681" w:type="dxa"/>
            <w:noWrap w:val="0"/>
            <w:vAlign w:val="center"/>
          </w:tcPr>
          <w:p>
            <w:pPr>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团支部名称</w:t>
            </w:r>
          </w:p>
        </w:tc>
        <w:tc>
          <w:tcPr>
            <w:tcW w:w="1684" w:type="dxa"/>
            <w:noWrap w:val="0"/>
            <w:vAlign w:val="center"/>
          </w:tcPr>
          <w:p>
            <w:pPr>
              <w:jc w:val="center"/>
              <w:rPr>
                <w:rFonts w:ascii="Times New Roman" w:hAnsi="Times New Roman" w:eastAsia="楷体"/>
                <w:color w:val="auto"/>
                <w:sz w:val="24"/>
                <w:szCs w:val="21"/>
                <w:highlight w:val="none"/>
              </w:rPr>
            </w:pPr>
          </w:p>
        </w:tc>
        <w:tc>
          <w:tcPr>
            <w:tcW w:w="1509" w:type="dxa"/>
            <w:noWrap w:val="0"/>
            <w:vAlign w:val="center"/>
          </w:tcPr>
          <w:p>
            <w:pPr>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会议时间</w:t>
            </w:r>
          </w:p>
        </w:tc>
        <w:tc>
          <w:tcPr>
            <w:tcW w:w="1368" w:type="dxa"/>
            <w:noWrap w:val="0"/>
            <w:vAlign w:val="center"/>
          </w:tcPr>
          <w:p>
            <w:pPr>
              <w:jc w:val="center"/>
              <w:rPr>
                <w:rFonts w:ascii="Times New Roman" w:hAnsi="Times New Roman" w:eastAsia="楷体"/>
                <w:color w:val="auto"/>
                <w:sz w:val="24"/>
                <w:szCs w:val="21"/>
                <w:highlight w:val="none"/>
              </w:rPr>
            </w:pPr>
          </w:p>
        </w:tc>
        <w:tc>
          <w:tcPr>
            <w:tcW w:w="1530" w:type="dxa"/>
            <w:noWrap w:val="0"/>
            <w:vAlign w:val="center"/>
          </w:tcPr>
          <w:p>
            <w:pPr>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会议地点</w:t>
            </w:r>
          </w:p>
        </w:tc>
        <w:tc>
          <w:tcPr>
            <w:tcW w:w="1454" w:type="dxa"/>
            <w:noWrap w:val="0"/>
            <w:vAlign w:val="center"/>
          </w:tcPr>
          <w:p>
            <w:pPr>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应到团员数</w:t>
            </w:r>
          </w:p>
        </w:tc>
        <w:tc>
          <w:tcPr>
            <w:tcW w:w="1684" w:type="dxa"/>
            <w:noWrap w:val="0"/>
            <w:vAlign w:val="center"/>
          </w:tcPr>
          <w:p>
            <w:pPr>
              <w:jc w:val="center"/>
              <w:rPr>
                <w:rFonts w:ascii="Times New Roman" w:hAnsi="Times New Roman" w:eastAsia="楷体"/>
                <w:color w:val="auto"/>
                <w:sz w:val="24"/>
                <w:szCs w:val="21"/>
                <w:highlight w:val="none"/>
              </w:rPr>
            </w:pPr>
          </w:p>
        </w:tc>
        <w:tc>
          <w:tcPr>
            <w:tcW w:w="1509" w:type="dxa"/>
            <w:noWrap w:val="0"/>
            <w:vAlign w:val="center"/>
          </w:tcPr>
          <w:p>
            <w:pPr>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实到团员数</w:t>
            </w:r>
          </w:p>
        </w:tc>
        <w:tc>
          <w:tcPr>
            <w:tcW w:w="1368" w:type="dxa"/>
            <w:noWrap w:val="0"/>
            <w:vAlign w:val="center"/>
          </w:tcPr>
          <w:p>
            <w:pPr>
              <w:jc w:val="center"/>
              <w:rPr>
                <w:rFonts w:ascii="Times New Roman" w:hAnsi="Times New Roman" w:eastAsia="楷体"/>
                <w:color w:val="auto"/>
                <w:sz w:val="24"/>
                <w:szCs w:val="21"/>
                <w:highlight w:val="none"/>
              </w:rPr>
            </w:pPr>
          </w:p>
        </w:tc>
        <w:tc>
          <w:tcPr>
            <w:tcW w:w="1530" w:type="dxa"/>
            <w:noWrap w:val="0"/>
            <w:vAlign w:val="center"/>
          </w:tcPr>
          <w:p>
            <w:pPr>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请假团员数</w:t>
            </w:r>
          </w:p>
        </w:tc>
        <w:tc>
          <w:tcPr>
            <w:tcW w:w="1454" w:type="dxa"/>
            <w:noWrap w:val="0"/>
            <w:vAlign w:val="center"/>
          </w:tcPr>
          <w:p>
            <w:pPr>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监  票  人</w:t>
            </w:r>
          </w:p>
        </w:tc>
        <w:tc>
          <w:tcPr>
            <w:tcW w:w="1684" w:type="dxa"/>
            <w:noWrap w:val="0"/>
            <w:vAlign w:val="center"/>
          </w:tcPr>
          <w:p>
            <w:pPr>
              <w:spacing w:line="240" w:lineRule="auto"/>
              <w:jc w:val="center"/>
              <w:rPr>
                <w:rFonts w:ascii="Times New Roman" w:hAnsi="Times New Roman" w:eastAsia="楷体"/>
                <w:color w:val="auto"/>
                <w:sz w:val="24"/>
                <w:szCs w:val="21"/>
                <w:highlight w:val="none"/>
              </w:rPr>
            </w:pPr>
          </w:p>
        </w:tc>
        <w:tc>
          <w:tcPr>
            <w:tcW w:w="1509" w:type="dxa"/>
            <w:noWrap w:val="0"/>
            <w:vAlign w:val="center"/>
          </w:tcPr>
          <w:p>
            <w:pPr>
              <w:spacing w:line="240" w:lineRule="auto"/>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计  票  人</w:t>
            </w:r>
          </w:p>
        </w:tc>
        <w:tc>
          <w:tcPr>
            <w:tcW w:w="1368" w:type="dxa"/>
            <w:noWrap w:val="0"/>
            <w:vAlign w:val="center"/>
          </w:tcPr>
          <w:p>
            <w:pPr>
              <w:spacing w:line="240" w:lineRule="auto"/>
              <w:jc w:val="center"/>
              <w:rPr>
                <w:rFonts w:ascii="Times New Roman" w:hAnsi="Times New Roman" w:eastAsia="楷体"/>
                <w:color w:val="auto"/>
                <w:sz w:val="24"/>
                <w:szCs w:val="21"/>
                <w:highlight w:val="none"/>
              </w:rPr>
            </w:pPr>
          </w:p>
        </w:tc>
        <w:tc>
          <w:tcPr>
            <w:tcW w:w="1530" w:type="dxa"/>
            <w:noWrap w:val="0"/>
            <w:vAlign w:val="center"/>
          </w:tcPr>
          <w:p>
            <w:pPr>
              <w:spacing w:line="240" w:lineRule="auto"/>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党支部参会党员代表</w:t>
            </w:r>
          </w:p>
        </w:tc>
        <w:tc>
          <w:tcPr>
            <w:tcW w:w="1454" w:type="dxa"/>
            <w:noWrap w:val="0"/>
            <w:vAlign w:val="center"/>
          </w:tcPr>
          <w:p>
            <w:pPr>
              <w:spacing w:line="240" w:lineRule="auto"/>
              <w:jc w:val="center"/>
              <w:rPr>
                <w:rFonts w:ascii="Times New Roman" w:hAnsi="Times New Roman" w:eastAsia="楷体"/>
                <w:color w:val="auto"/>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681" w:type="dxa"/>
            <w:tcBorders>
              <w:bottom w:val="single" w:color="auto" w:sz="4" w:space="0"/>
            </w:tcBorders>
            <w:noWrap w:val="0"/>
            <w:vAlign w:val="center"/>
          </w:tcPr>
          <w:p>
            <w:pPr>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参会人员</w:t>
            </w:r>
          </w:p>
          <w:p>
            <w:pPr>
              <w:jc w:val="center"/>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（签到）</w:t>
            </w:r>
          </w:p>
        </w:tc>
        <w:tc>
          <w:tcPr>
            <w:tcW w:w="7545" w:type="dxa"/>
            <w:gridSpan w:val="5"/>
            <w:tcBorders>
              <w:bottom w:val="single" w:color="auto" w:sz="4" w:space="0"/>
            </w:tcBorders>
            <w:noWrap w:val="0"/>
            <w:vAlign w:val="top"/>
          </w:tcPr>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jc w:val="left"/>
              <w:rPr>
                <w:rFonts w:ascii="Times New Roman" w:hAnsi="Times New Roman" w:eastAsia="楷体"/>
                <w:color w:val="auto"/>
                <w:sz w:val="24"/>
                <w:szCs w:val="21"/>
                <w:highlight w:val="none"/>
              </w:rPr>
            </w:pPr>
          </w:p>
          <w:p>
            <w:pPr>
              <w:spacing w:line="240" w:lineRule="auto"/>
              <w:ind w:left="240" w:hanging="240" w:hangingChars="100"/>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 xml:space="preserve">                          </w:t>
            </w:r>
          </w:p>
          <w:p>
            <w:pPr>
              <w:spacing w:line="240" w:lineRule="auto"/>
              <w:ind w:left="240" w:hanging="240" w:hangingChars="100"/>
              <w:jc w:val="center"/>
              <w:rPr>
                <w:rFonts w:hint="eastAsia" w:ascii="Times New Roman" w:hAnsi="Times New Roman" w:eastAsia="楷体"/>
                <w:color w:val="auto"/>
                <w:sz w:val="24"/>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jc w:val="center"/>
        </w:trPr>
        <w:tc>
          <w:tcPr>
            <w:tcW w:w="1681" w:type="dxa"/>
            <w:tcBorders>
              <w:top w:val="single" w:color="auto" w:sz="4" w:space="0"/>
              <w:left w:val="single" w:color="auto" w:sz="4" w:space="0"/>
              <w:bottom w:val="single" w:color="auto" w:sz="4" w:space="0"/>
            </w:tcBorders>
            <w:noWrap w:val="0"/>
            <w:vAlign w:val="center"/>
          </w:tcPr>
          <w:p>
            <w:pPr>
              <w:jc w:val="center"/>
              <w:rPr>
                <w:rFonts w:hint="default"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会议内容</w:t>
            </w:r>
          </w:p>
        </w:tc>
        <w:tc>
          <w:tcPr>
            <w:tcW w:w="7545" w:type="dxa"/>
            <w:gridSpan w:val="5"/>
            <w:tcBorders>
              <w:top w:val="single" w:color="auto" w:sz="4" w:space="0"/>
              <w:bottom w:val="single" w:color="auto" w:sz="4" w:space="0"/>
              <w:right w:val="single" w:color="auto" w:sz="4" w:space="0"/>
            </w:tcBorders>
            <w:noWrap w:val="0"/>
            <w:vAlign w:val="center"/>
          </w:tcPr>
          <w:p>
            <w:pPr>
              <w:numPr>
                <w:ilvl w:val="0"/>
                <w:numId w:val="0"/>
              </w:numPr>
              <w:snapToGrid w:val="0"/>
              <w:rPr>
                <w:rFonts w:hint="eastAsia"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1.</w:t>
            </w:r>
            <w:r>
              <w:rPr>
                <w:rFonts w:hint="eastAsia" w:ascii="Times New Roman" w:hAnsi="Times New Roman" w:eastAsia="楷体"/>
                <w:color w:val="auto"/>
                <w:sz w:val="24"/>
                <w:szCs w:val="21"/>
                <w:highlight w:val="none"/>
              </w:rPr>
              <w:t>主持人简要介绍</w:t>
            </w:r>
            <w:r>
              <w:rPr>
                <w:rFonts w:hint="eastAsia" w:ascii="Times New Roman" w:hAnsi="Times New Roman" w:eastAsia="楷体"/>
                <w:color w:val="auto"/>
                <w:sz w:val="24"/>
                <w:szCs w:val="21"/>
                <w:highlight w:val="none"/>
                <w:lang w:val="en-US" w:eastAsia="zh-CN"/>
              </w:rPr>
              <w:t>推荐</w:t>
            </w:r>
            <w:r>
              <w:rPr>
                <w:rFonts w:hint="eastAsia" w:ascii="Times New Roman" w:hAnsi="Times New Roman" w:eastAsia="楷体"/>
                <w:color w:val="auto"/>
                <w:sz w:val="24"/>
                <w:szCs w:val="21"/>
                <w:highlight w:val="none"/>
              </w:rPr>
              <w:t>优秀团员作为</w:t>
            </w:r>
            <w:r>
              <w:rPr>
                <w:rFonts w:hint="eastAsia" w:ascii="Times New Roman" w:hAnsi="Times New Roman" w:eastAsia="楷体"/>
                <w:color w:val="auto"/>
                <w:sz w:val="24"/>
                <w:szCs w:val="21"/>
                <w:highlight w:val="none"/>
                <w:lang w:val="en-US" w:eastAsia="zh-CN"/>
              </w:rPr>
              <w:t>入党积极分子（发展对象）</w:t>
            </w:r>
            <w:r>
              <w:rPr>
                <w:rFonts w:hint="eastAsia" w:ascii="Times New Roman" w:hAnsi="Times New Roman" w:eastAsia="楷体"/>
                <w:color w:val="auto"/>
                <w:sz w:val="24"/>
                <w:szCs w:val="21"/>
                <w:highlight w:val="none"/>
              </w:rPr>
              <w:t>工作的目的、意义推荐程序，推荐条件。</w:t>
            </w:r>
          </w:p>
          <w:p>
            <w:pPr>
              <w:numPr>
                <w:ilvl w:val="0"/>
                <w:numId w:val="0"/>
              </w:numPr>
              <w:snapToGrid w:val="0"/>
              <w:rPr>
                <w:rFonts w:hint="eastAsia" w:ascii="Times New Roman" w:hAnsi="Times New Roman" w:eastAsia="楷体"/>
                <w:color w:val="auto"/>
                <w:sz w:val="24"/>
                <w:szCs w:val="21"/>
                <w:highlight w:val="none"/>
              </w:rPr>
            </w:pPr>
          </w:p>
          <w:p>
            <w:pPr>
              <w:numPr>
                <w:ilvl w:val="0"/>
                <w:numId w:val="0"/>
              </w:numPr>
              <w:snapToGrid w:val="0"/>
              <w:rPr>
                <w:rFonts w:hint="eastAsia" w:ascii="Times New Roman" w:hAnsi="Times New Roman" w:eastAsia="楷体"/>
                <w:color w:val="auto"/>
                <w:sz w:val="24"/>
                <w:szCs w:val="21"/>
                <w:highlight w:val="none"/>
              </w:rPr>
            </w:pPr>
          </w:p>
          <w:p>
            <w:pPr>
              <w:numPr>
                <w:ilvl w:val="0"/>
                <w:numId w:val="0"/>
              </w:numPr>
              <w:snapToGrid w:val="0"/>
              <w:rPr>
                <w:rFonts w:hint="eastAsia" w:ascii="Times New Roman" w:hAnsi="Times New Roman" w:eastAsia="楷体"/>
                <w:color w:val="auto"/>
                <w:sz w:val="24"/>
                <w:szCs w:val="21"/>
                <w:highlight w:val="none"/>
              </w:rPr>
            </w:pPr>
          </w:p>
          <w:p>
            <w:pPr>
              <w:numPr>
                <w:ilvl w:val="0"/>
                <w:numId w:val="0"/>
              </w:numPr>
              <w:snapToGrid w:val="0"/>
              <w:rPr>
                <w:rFonts w:hint="eastAsia" w:ascii="Times New Roman" w:hAnsi="Times New Roman" w:eastAsia="楷体"/>
                <w:color w:val="auto"/>
                <w:sz w:val="24"/>
                <w:szCs w:val="21"/>
                <w:highlight w:val="none"/>
              </w:rPr>
            </w:pPr>
          </w:p>
          <w:p>
            <w:pPr>
              <w:numPr>
                <w:ilvl w:val="0"/>
                <w:numId w:val="0"/>
              </w:numPr>
              <w:snapToGrid w:val="0"/>
              <w:ind w:leftChars="0"/>
              <w:rPr>
                <w:rFonts w:hint="eastAsia" w:ascii="Times New Roman" w:hAnsi="Times New Roman" w:eastAsia="楷体"/>
                <w:color w:val="auto"/>
                <w:sz w:val="24"/>
                <w:szCs w:val="21"/>
                <w:highlight w:val="none"/>
              </w:rPr>
            </w:pPr>
            <w:r>
              <w:rPr>
                <w:rFonts w:hint="eastAsia" w:ascii="Times New Roman" w:hAnsi="Times New Roman" w:eastAsia="楷体"/>
                <w:color w:val="auto"/>
                <w:sz w:val="24"/>
                <w:szCs w:val="21"/>
                <w:highlight w:val="none"/>
                <w:lang w:val="en-US" w:eastAsia="zh-CN"/>
              </w:rPr>
              <w:t>2.</w:t>
            </w:r>
            <w:r>
              <w:rPr>
                <w:rFonts w:hint="eastAsia" w:ascii="Times New Roman" w:hAnsi="Times New Roman" w:eastAsia="楷体"/>
                <w:color w:val="auto"/>
                <w:sz w:val="24"/>
                <w:szCs w:val="21"/>
                <w:highlight w:val="none"/>
              </w:rPr>
              <w:t>团支部书记宣读符合推优条件的团员名单（</w:t>
            </w:r>
            <w:r>
              <w:rPr>
                <w:rFonts w:hint="eastAsia" w:ascii="Times New Roman" w:hAnsi="Times New Roman" w:eastAsia="楷体"/>
                <w:color w:val="auto"/>
                <w:sz w:val="24"/>
                <w:szCs w:val="21"/>
                <w:highlight w:val="none"/>
                <w:lang w:val="en-US" w:eastAsia="zh-CN"/>
              </w:rPr>
              <w:t>需填写团支部</w:t>
            </w:r>
            <w:r>
              <w:rPr>
                <w:rFonts w:hint="eastAsia" w:ascii="Times New Roman" w:hAnsi="Times New Roman" w:eastAsia="楷体"/>
                <w:color w:val="auto"/>
                <w:sz w:val="24"/>
                <w:szCs w:val="21"/>
                <w:highlight w:val="none"/>
              </w:rPr>
              <w:t>符合推优条件团员名单）：</w:t>
            </w:r>
          </w:p>
          <w:p>
            <w:pPr>
              <w:numPr>
                <w:ilvl w:val="0"/>
                <w:numId w:val="0"/>
              </w:numPr>
              <w:snapToGrid w:val="0"/>
              <w:ind w:leftChars="0"/>
              <w:rPr>
                <w:rFonts w:hint="eastAsia" w:ascii="Times New Roman" w:hAnsi="Times New Roman" w:eastAsia="楷体"/>
                <w:color w:val="auto"/>
                <w:sz w:val="24"/>
                <w:szCs w:val="21"/>
                <w:highlight w:val="none"/>
              </w:rPr>
            </w:pPr>
          </w:p>
          <w:p>
            <w:pPr>
              <w:numPr>
                <w:ilvl w:val="0"/>
                <w:numId w:val="0"/>
              </w:numPr>
              <w:snapToGrid w:val="0"/>
              <w:ind w:leftChars="0"/>
              <w:rPr>
                <w:rFonts w:hint="eastAsia" w:ascii="Times New Roman" w:hAnsi="Times New Roman" w:eastAsia="楷体"/>
                <w:color w:val="auto"/>
                <w:sz w:val="24"/>
                <w:szCs w:val="21"/>
                <w:highlight w:val="none"/>
              </w:rPr>
            </w:pPr>
          </w:p>
          <w:p>
            <w:pPr>
              <w:numPr>
                <w:ilvl w:val="0"/>
                <w:numId w:val="0"/>
              </w:numPr>
              <w:snapToGrid w:val="0"/>
              <w:ind w:leftChars="0"/>
              <w:rPr>
                <w:rFonts w:hint="eastAsia" w:ascii="Times New Roman" w:hAnsi="Times New Roman" w:eastAsia="楷体"/>
                <w:color w:val="auto"/>
                <w:sz w:val="24"/>
                <w:szCs w:val="21"/>
                <w:highlight w:val="none"/>
              </w:rPr>
            </w:pPr>
          </w:p>
          <w:p>
            <w:pPr>
              <w:numPr>
                <w:ilvl w:val="0"/>
                <w:numId w:val="0"/>
              </w:numPr>
              <w:snapToGrid w:val="0"/>
              <w:ind w:leftChars="0"/>
              <w:rPr>
                <w:rFonts w:hint="eastAsia" w:ascii="Times New Roman" w:hAnsi="Times New Roman" w:eastAsia="楷体"/>
                <w:color w:val="auto"/>
                <w:sz w:val="24"/>
                <w:szCs w:val="21"/>
                <w:highlight w:val="none"/>
              </w:rPr>
            </w:pPr>
          </w:p>
          <w:p>
            <w:pPr>
              <w:numPr>
                <w:ilvl w:val="0"/>
                <w:numId w:val="0"/>
              </w:numPr>
              <w:snapToGrid w:val="0"/>
              <w:ind w:leftChars="0"/>
              <w:rPr>
                <w:rFonts w:hint="eastAsia" w:ascii="Times New Roman" w:hAnsi="Times New Roman" w:eastAsia="楷体"/>
                <w:color w:val="auto"/>
                <w:sz w:val="24"/>
                <w:szCs w:val="21"/>
                <w:highlight w:val="none"/>
                <w:lang w:eastAsia="zh-CN"/>
              </w:rPr>
            </w:pPr>
            <w:r>
              <w:rPr>
                <w:rFonts w:hint="eastAsia" w:ascii="Times New Roman" w:hAnsi="Times New Roman" w:eastAsia="楷体"/>
                <w:color w:val="auto"/>
                <w:sz w:val="24"/>
                <w:szCs w:val="21"/>
                <w:highlight w:val="none"/>
                <w:lang w:val="en-US" w:eastAsia="zh-CN"/>
              </w:rPr>
              <w:t>3.</w:t>
            </w:r>
            <w:r>
              <w:rPr>
                <w:rFonts w:hint="eastAsia" w:ascii="Times New Roman" w:hAnsi="Times New Roman" w:eastAsia="楷体"/>
                <w:color w:val="auto"/>
                <w:sz w:val="24"/>
                <w:szCs w:val="21"/>
                <w:highlight w:val="none"/>
              </w:rPr>
              <w:t>团支部书记向与会</w:t>
            </w:r>
            <w:r>
              <w:rPr>
                <w:rFonts w:hint="eastAsia" w:ascii="Times New Roman" w:hAnsi="Times New Roman" w:eastAsia="楷体"/>
                <w:color w:val="auto"/>
                <w:sz w:val="24"/>
                <w:szCs w:val="21"/>
                <w:highlight w:val="none"/>
                <w:lang w:val="en-US" w:eastAsia="zh-CN"/>
              </w:rPr>
              <w:t>团员</w:t>
            </w:r>
            <w:r>
              <w:rPr>
                <w:rFonts w:hint="eastAsia" w:ascii="Times New Roman" w:hAnsi="Times New Roman" w:eastAsia="楷体"/>
                <w:color w:val="auto"/>
                <w:sz w:val="24"/>
                <w:szCs w:val="21"/>
                <w:highlight w:val="none"/>
              </w:rPr>
              <w:t>介绍候选人的基本情况，</w:t>
            </w:r>
            <w:r>
              <w:rPr>
                <w:rFonts w:hint="eastAsia" w:ascii="Times New Roman" w:hAnsi="Times New Roman" w:eastAsia="楷体"/>
                <w:color w:val="auto"/>
                <w:sz w:val="24"/>
                <w:szCs w:val="21"/>
                <w:highlight w:val="none"/>
                <w:lang w:val="en-US" w:eastAsia="zh-CN"/>
              </w:rPr>
              <w:t>候选人自我陈述，</w:t>
            </w:r>
            <w:r>
              <w:rPr>
                <w:rFonts w:hint="eastAsia" w:ascii="Times New Roman" w:hAnsi="Times New Roman" w:eastAsia="楷体"/>
                <w:color w:val="auto"/>
                <w:sz w:val="24"/>
                <w:szCs w:val="21"/>
                <w:highlight w:val="none"/>
              </w:rPr>
              <w:t>与会</w:t>
            </w:r>
            <w:r>
              <w:rPr>
                <w:rFonts w:hint="eastAsia" w:ascii="Times New Roman" w:hAnsi="Times New Roman" w:eastAsia="楷体"/>
                <w:color w:val="auto"/>
                <w:sz w:val="24"/>
                <w:szCs w:val="21"/>
                <w:highlight w:val="none"/>
                <w:lang w:val="en-US" w:eastAsia="zh-CN"/>
              </w:rPr>
              <w:t>团员</w:t>
            </w:r>
            <w:r>
              <w:rPr>
                <w:rFonts w:hint="eastAsia" w:ascii="Times New Roman" w:hAnsi="Times New Roman" w:eastAsia="楷体"/>
                <w:color w:val="auto"/>
                <w:sz w:val="24"/>
                <w:szCs w:val="21"/>
                <w:highlight w:val="none"/>
              </w:rPr>
              <w:t>进行</w:t>
            </w:r>
            <w:r>
              <w:rPr>
                <w:rFonts w:hint="eastAsia" w:ascii="Times New Roman" w:hAnsi="Times New Roman" w:eastAsia="楷体"/>
                <w:color w:val="auto"/>
                <w:sz w:val="24"/>
                <w:szCs w:val="21"/>
                <w:highlight w:val="none"/>
                <w:lang w:val="en-US" w:eastAsia="zh-CN"/>
              </w:rPr>
              <w:t>民主</w:t>
            </w:r>
            <w:r>
              <w:rPr>
                <w:rFonts w:hint="eastAsia" w:ascii="Times New Roman" w:hAnsi="Times New Roman" w:eastAsia="楷体"/>
                <w:color w:val="auto"/>
                <w:sz w:val="24"/>
                <w:szCs w:val="21"/>
                <w:highlight w:val="none"/>
              </w:rPr>
              <w:t>评议的简要内容</w:t>
            </w:r>
            <w:r>
              <w:rPr>
                <w:rFonts w:hint="eastAsia" w:ascii="Times New Roman" w:hAnsi="Times New Roman" w:eastAsia="楷体"/>
                <w:color w:val="auto"/>
                <w:sz w:val="24"/>
                <w:szCs w:val="21"/>
                <w:highlight w:val="none"/>
                <w:lang w:eastAsia="zh-CN"/>
              </w:rPr>
              <w:t>。</w:t>
            </w:r>
          </w:p>
          <w:p>
            <w:pPr>
              <w:numPr>
                <w:ilvl w:val="0"/>
                <w:numId w:val="0"/>
              </w:numPr>
              <w:snapToGrid w:val="0"/>
              <w:ind w:leftChars="0"/>
              <w:rPr>
                <w:rFonts w:hint="eastAsia" w:ascii="Times New Roman" w:hAnsi="Times New Roman" w:eastAsia="楷体"/>
                <w:color w:val="auto"/>
                <w:sz w:val="24"/>
                <w:szCs w:val="21"/>
                <w:highlight w:val="none"/>
                <w:lang w:eastAsia="zh-CN"/>
              </w:rPr>
            </w:pPr>
          </w:p>
          <w:p>
            <w:pPr>
              <w:numPr>
                <w:ilvl w:val="0"/>
                <w:numId w:val="0"/>
              </w:numPr>
              <w:snapToGrid w:val="0"/>
              <w:ind w:leftChars="0"/>
              <w:rPr>
                <w:rFonts w:hint="eastAsia" w:ascii="Times New Roman" w:hAnsi="Times New Roman" w:eastAsia="楷体"/>
                <w:color w:val="auto"/>
                <w:sz w:val="24"/>
                <w:szCs w:val="21"/>
                <w:highlight w:val="none"/>
                <w:lang w:eastAsia="zh-CN"/>
              </w:rPr>
            </w:pPr>
          </w:p>
          <w:p>
            <w:pPr>
              <w:numPr>
                <w:ilvl w:val="0"/>
                <w:numId w:val="0"/>
              </w:numPr>
              <w:snapToGrid w:val="0"/>
              <w:ind w:leftChars="0"/>
              <w:rPr>
                <w:rFonts w:hint="eastAsia" w:ascii="Times New Roman" w:hAnsi="Times New Roman" w:eastAsia="楷体"/>
                <w:color w:val="auto"/>
                <w:sz w:val="24"/>
                <w:szCs w:val="21"/>
                <w:highlight w:val="none"/>
                <w:lang w:eastAsia="zh-CN"/>
              </w:rPr>
            </w:pPr>
          </w:p>
          <w:p>
            <w:pPr>
              <w:numPr>
                <w:ilvl w:val="0"/>
                <w:numId w:val="0"/>
              </w:numPr>
              <w:snapToGrid w:val="0"/>
              <w:ind w:leftChars="0"/>
              <w:rPr>
                <w:rFonts w:hint="eastAsia" w:ascii="Times New Roman" w:hAnsi="Times New Roman" w:eastAsia="楷体"/>
                <w:color w:val="auto"/>
                <w:sz w:val="24"/>
                <w:szCs w:val="21"/>
                <w:highlight w:val="none"/>
                <w:lang w:eastAsia="zh-CN"/>
              </w:rPr>
            </w:pPr>
          </w:p>
          <w:p>
            <w:pPr>
              <w:numPr>
                <w:ilvl w:val="0"/>
                <w:numId w:val="0"/>
              </w:numPr>
              <w:snapToGrid w:val="0"/>
              <w:ind w:leftChars="0"/>
              <w:rPr>
                <w:rFonts w:hint="eastAsia" w:ascii="Times New Roman" w:hAnsi="Times New Roman" w:eastAsia="楷体"/>
                <w:color w:val="auto"/>
                <w:sz w:val="24"/>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681" w:type="dxa"/>
            <w:tcBorders>
              <w:top w:val="single" w:color="auto" w:sz="4" w:space="0"/>
            </w:tcBorders>
            <w:noWrap w:val="0"/>
            <w:vAlign w:val="center"/>
          </w:tcPr>
          <w:p>
            <w:pPr>
              <w:jc w:val="center"/>
              <w:rPr>
                <w:rFonts w:hint="eastAsia" w:ascii="Times New Roman" w:hAnsi="Times New Roman" w:eastAsia="楷体"/>
                <w:color w:val="auto"/>
                <w:sz w:val="24"/>
                <w:szCs w:val="21"/>
                <w:highlight w:val="none"/>
                <w:lang w:val="en-US" w:eastAsia="zh-CN"/>
              </w:rPr>
            </w:pPr>
          </w:p>
          <w:p>
            <w:pPr>
              <w:jc w:val="center"/>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表决情况</w:t>
            </w:r>
          </w:p>
          <w:p>
            <w:pPr>
              <w:jc w:val="center"/>
              <w:rPr>
                <w:rFonts w:hint="default" w:ascii="Times New Roman" w:hAnsi="Times New Roman" w:eastAsia="楷体"/>
                <w:color w:val="auto"/>
                <w:sz w:val="24"/>
                <w:szCs w:val="21"/>
                <w:highlight w:val="none"/>
                <w:lang w:val="en-US" w:eastAsia="zh-CN"/>
              </w:rPr>
            </w:pPr>
          </w:p>
        </w:tc>
        <w:tc>
          <w:tcPr>
            <w:tcW w:w="7545" w:type="dxa"/>
            <w:gridSpan w:val="5"/>
            <w:tcBorders>
              <w:top w:val="single" w:color="auto" w:sz="4" w:space="0"/>
            </w:tcBorders>
            <w:noWrap w:val="0"/>
            <w:vAlign w:val="top"/>
          </w:tcPr>
          <w:p>
            <w:pPr>
              <w:spacing w:line="240" w:lineRule="auto"/>
              <w:jc w:val="left"/>
              <w:rPr>
                <w:rFonts w:ascii="Times New Roman" w:hAnsi="Times New Roman" w:eastAsia="楷体"/>
                <w:color w:val="auto"/>
                <w:sz w:val="24"/>
                <w:szCs w:val="21"/>
                <w:highlight w:val="none"/>
              </w:rPr>
            </w:pPr>
            <w:r>
              <w:rPr>
                <w:rFonts w:ascii="Times New Roman" w:hAnsi="Times New Roman" w:eastAsia="楷体"/>
                <w:color w:val="auto"/>
                <w:sz w:val="24"/>
                <w:szCs w:val="21"/>
                <w:highlight w:val="none"/>
              </w:rPr>
              <w:t xml:space="preserve">    </w:t>
            </w:r>
          </w:p>
          <w:p>
            <w:pPr>
              <w:spacing w:line="240" w:lineRule="auto"/>
              <w:jc w:val="left"/>
              <w:rPr>
                <w:rFonts w:hint="eastAsia" w:ascii="Times New Roman" w:hAnsi="Times New Roman" w:eastAsia="楷体"/>
                <w:color w:val="auto"/>
                <w:sz w:val="24"/>
                <w:szCs w:val="21"/>
                <w:highlight w:val="none"/>
                <w:lang w:val="en-US" w:eastAsia="zh-CN"/>
              </w:rPr>
            </w:pPr>
            <w:r>
              <w:rPr>
                <w:rFonts w:hint="eastAsia" w:ascii="Times New Roman" w:hAnsi="Times New Roman" w:eastAsia="楷体"/>
                <w:color w:val="auto"/>
                <w:sz w:val="24"/>
                <w:szCs w:val="21"/>
                <w:highlight w:val="none"/>
                <w:lang w:val="en-US" w:eastAsia="zh-CN"/>
              </w:rPr>
              <w:t>发出选票</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张，收回选票</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张。</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lang w:val="en-US" w:eastAsia="zh-CN"/>
              </w:rPr>
              <w:t>候选人</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投票结果：</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票赞同，</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票反对，</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票弃权。</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lang w:val="en-US" w:eastAsia="zh-CN"/>
              </w:rPr>
              <w:t>候选人</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投票结果：</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票赞同，</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票反对，</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票弃权。</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lang w:val="en-US" w:eastAsia="zh-CN"/>
              </w:rPr>
              <w:t>候选人</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投票结果：</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票赞同，</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票反对，</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票弃权。</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lang w:val="en-US" w:eastAsia="zh-CN"/>
              </w:rPr>
              <w:t>候选人</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投票结果：</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票赞同，</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票反对，</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票弃权。</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lang w:val="en-US" w:eastAsia="zh-CN"/>
              </w:rPr>
              <w:t>候选人</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lang w:val="en-US" w:eastAsia="zh-CN"/>
              </w:rPr>
              <w:t>投票结果：</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票赞同，</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票反对，</w:t>
            </w:r>
            <w:r>
              <w:rPr>
                <w:rFonts w:hint="eastAsia" w:ascii="Times New Roman" w:hAnsi="Times New Roman" w:eastAsia="楷体"/>
                <w:color w:val="auto"/>
                <w:sz w:val="24"/>
                <w:szCs w:val="21"/>
                <w:highlight w:val="none"/>
                <w:u w:val="single"/>
                <w:lang w:val="en-US" w:eastAsia="zh-CN"/>
              </w:rPr>
              <w:t xml:space="preserve">    </w:t>
            </w:r>
            <w:r>
              <w:rPr>
                <w:rFonts w:hint="eastAsia" w:ascii="Times New Roman" w:hAnsi="Times New Roman" w:eastAsia="楷体"/>
                <w:color w:val="auto"/>
                <w:sz w:val="24"/>
                <w:szCs w:val="21"/>
                <w:highlight w:val="none"/>
                <w:u w:val="none"/>
                <w:lang w:val="en-US" w:eastAsia="zh-CN"/>
              </w:rPr>
              <w:t>票弃权。</w:t>
            </w:r>
          </w:p>
          <w:p>
            <w:pPr>
              <w:spacing w:line="240" w:lineRule="auto"/>
              <w:jc w:val="left"/>
              <w:rPr>
                <w:rFonts w:hint="eastAsia" w:ascii="Times New Roman" w:hAnsi="Times New Roman" w:eastAsia="楷体"/>
                <w:color w:val="auto"/>
                <w:sz w:val="24"/>
                <w:szCs w:val="21"/>
                <w:highlight w:val="none"/>
                <w:u w:val="none"/>
                <w:lang w:val="en-US" w:eastAsia="zh-CN"/>
              </w:rPr>
            </w:pPr>
            <w:r>
              <w:rPr>
                <w:rFonts w:hint="eastAsia" w:ascii="Times New Roman" w:hAnsi="Times New Roman" w:eastAsia="楷体"/>
                <w:color w:val="auto"/>
                <w:sz w:val="24"/>
                <w:szCs w:val="21"/>
                <w:highlight w:val="none"/>
                <w:u w:val="none"/>
                <w:lang w:val="en-US" w:eastAsia="zh-CN"/>
              </w:rPr>
              <w:t>……</w:t>
            </w:r>
          </w:p>
          <w:p>
            <w:pPr>
              <w:spacing w:line="240" w:lineRule="auto"/>
              <w:jc w:val="left"/>
              <w:rPr>
                <w:rFonts w:hint="default" w:ascii="Times New Roman" w:hAnsi="Times New Roman" w:eastAsia="楷体"/>
                <w:color w:val="auto"/>
                <w:sz w:val="24"/>
                <w:szCs w:val="21"/>
                <w:highlight w:val="none"/>
                <w:u w:val="none"/>
                <w:lang w:val="en-US" w:eastAsia="zh-CN"/>
              </w:rPr>
            </w:pPr>
          </w:p>
        </w:tc>
      </w:tr>
    </w:tbl>
    <w:p>
      <w:pPr>
        <w:rPr>
          <w:color w:val="auto"/>
          <w:highlight w:val="none"/>
        </w:rPr>
      </w:pPr>
      <w:r>
        <w:rPr>
          <w:rFonts w:hint="eastAsia" w:ascii="Times New Roman" w:hAnsi="Times New Roman" w:eastAsia="黑体"/>
          <w:bCs/>
          <w:color w:val="auto"/>
          <w:sz w:val="22"/>
          <w:szCs w:val="20"/>
          <w:highlight w:val="none"/>
          <w:lang w:val="en-US" w:eastAsia="zh-CN"/>
        </w:rPr>
        <w:t>团支部推优大会监督人：             共青团云南城市建设职业学院委员 制表</w:t>
      </w:r>
    </w:p>
    <w:p>
      <w:pPr>
        <w:pStyle w:val="2"/>
        <w:keepNext w:val="0"/>
        <w:keepLines w:val="0"/>
        <w:pageBreakBefore w:val="0"/>
        <w:widowControl/>
        <w:shd w:val="clear" w:color="auto" w:fill="FFFFFF"/>
        <w:kinsoku/>
        <w:wordWrap/>
        <w:overflowPunct/>
        <w:topLinePunct w:val="0"/>
        <w:autoSpaceDE/>
        <w:autoSpaceDN/>
        <w:bidi w:val="0"/>
        <w:adjustRightInd/>
        <w:snapToGrid/>
        <w:spacing w:before="156" w:line="560" w:lineRule="exact"/>
        <w:ind w:firstLine="0" w:firstLineChars="0"/>
        <w:textAlignment w:val="auto"/>
        <w:rPr>
          <w:rFonts w:hint="eastAsia" w:ascii="方正小标宋_GBK" w:hAnsi="方正小标宋_GBK" w:eastAsia="方正小标宋_GBK" w:cs="方正小标宋_GBK"/>
          <w:bCs/>
          <w:color w:val="auto"/>
          <w:kern w:val="2"/>
          <w:szCs w:val="36"/>
          <w:highlight w:val="none"/>
          <w:lang w:val="en-US" w:eastAsia="zh-CN"/>
        </w:rPr>
      </w:pPr>
      <w:bookmarkStart w:id="358" w:name="_Toc13566"/>
    </w:p>
    <w:p>
      <w:pPr>
        <w:pStyle w:val="2"/>
        <w:keepNext w:val="0"/>
        <w:keepLines w:val="0"/>
        <w:pageBreakBefore w:val="0"/>
        <w:widowControl/>
        <w:shd w:val="clear" w:color="auto" w:fill="FFFFFF"/>
        <w:kinsoku/>
        <w:wordWrap/>
        <w:overflowPunct/>
        <w:topLinePunct w:val="0"/>
        <w:autoSpaceDE/>
        <w:autoSpaceDN/>
        <w:bidi w:val="0"/>
        <w:adjustRightInd/>
        <w:snapToGrid/>
        <w:spacing w:before="156" w:line="560" w:lineRule="exact"/>
        <w:ind w:firstLine="0" w:firstLineChars="0"/>
        <w:textAlignment w:val="auto"/>
        <w:rPr>
          <w:rFonts w:hint="eastAsia" w:ascii="方正小标宋_GBK" w:hAnsi="方正小标宋_GBK" w:eastAsia="方正小标宋_GBK" w:cs="方正小标宋_GBK"/>
          <w:bCs/>
          <w:color w:val="auto"/>
          <w:kern w:val="2"/>
          <w:szCs w:val="36"/>
          <w:highlight w:val="none"/>
          <w:lang w:val="en-US" w:eastAsia="zh-CN"/>
        </w:rPr>
      </w:pPr>
      <w:bookmarkStart w:id="359" w:name="_Toc1503"/>
      <w:r>
        <w:rPr>
          <w:rFonts w:hint="eastAsia" w:ascii="方正小标宋_GBK" w:hAnsi="方正小标宋_GBK" w:eastAsia="方正小标宋_GBK" w:cs="方正小标宋_GBK"/>
          <w:bCs/>
          <w:color w:val="auto"/>
          <w:kern w:val="2"/>
          <w:szCs w:val="36"/>
          <w:highlight w:val="none"/>
          <w:lang w:val="en-US" w:eastAsia="zh-CN"/>
        </w:rPr>
        <w:t>云南城市建设职业学院校团委物资借用管理办法</w:t>
      </w:r>
      <w:bookmarkEnd w:id="359"/>
    </w:p>
    <w:p>
      <w:pPr>
        <w:pStyle w:val="2"/>
        <w:keepNext w:val="0"/>
        <w:keepLines w:val="0"/>
        <w:pageBreakBefore w:val="0"/>
        <w:widowControl/>
        <w:shd w:val="clear" w:color="auto" w:fill="FFFFFF"/>
        <w:kinsoku/>
        <w:wordWrap/>
        <w:overflowPunct/>
        <w:topLinePunct w:val="0"/>
        <w:autoSpaceDE/>
        <w:autoSpaceDN/>
        <w:bidi w:val="0"/>
        <w:adjustRightInd/>
        <w:snapToGrid/>
        <w:spacing w:before="156" w:line="560" w:lineRule="exact"/>
        <w:ind w:firstLine="0" w:firstLineChars="0"/>
        <w:textAlignment w:val="auto"/>
        <w:rPr>
          <w:rFonts w:hint="default" w:ascii="方正小标宋_GBK" w:hAnsi="方正小标宋_GBK" w:eastAsia="方正小标宋_GBK" w:cs="方正小标宋_GBK"/>
          <w:bCs/>
          <w:color w:val="auto"/>
          <w:kern w:val="2"/>
          <w:szCs w:val="36"/>
          <w:highlight w:val="none"/>
          <w:lang w:val="en-US" w:eastAsia="zh-CN"/>
        </w:rPr>
      </w:pPr>
      <w:bookmarkStart w:id="360" w:name="_Toc5105"/>
      <w:bookmarkStart w:id="361" w:name="_Toc20788"/>
      <w:bookmarkStart w:id="362" w:name="_Toc25277"/>
      <w:r>
        <w:rPr>
          <w:rFonts w:hint="eastAsia" w:ascii="方正小标宋_GBK" w:hAnsi="方正小标宋_GBK" w:eastAsia="方正小标宋_GBK" w:cs="方正小标宋_GBK"/>
          <w:bCs/>
          <w:color w:val="auto"/>
          <w:kern w:val="2"/>
          <w:szCs w:val="36"/>
          <w:highlight w:val="none"/>
          <w:lang w:val="en-US" w:eastAsia="zh-CN"/>
        </w:rPr>
        <w:t>（修订）</w:t>
      </w:r>
      <w:bookmarkEnd w:id="360"/>
      <w:bookmarkEnd w:id="361"/>
      <w:bookmarkEnd w:id="362"/>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第一章  总则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both"/>
        <w:textAlignment w:val="auto"/>
        <w:rPr>
          <w:rFonts w:hint="eastAsia" w:ascii="黑体" w:hAnsi="黑体" w:eastAsia="黑体" w:cs="黑体"/>
          <w:b w:val="0"/>
          <w:bCs w:val="0"/>
          <w:i w:val="0"/>
          <w:iCs w:val="0"/>
          <w:caps w:val="0"/>
          <w:color w:val="auto"/>
          <w:spacing w:val="8"/>
          <w:kern w:val="0"/>
          <w:sz w:val="32"/>
          <w:szCs w:val="32"/>
          <w:highlight w:val="none"/>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第一条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为进一步规范共青团云南城市建设职业学院委员会（以下简称校团委）的物资借用管理机制，促进校团委直属组织（部门）、各二级学院团学组织、各学生社团在物资借用方面的高效化、便捷化，同时提高物资的循环使用，特制定本办法。</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本办法中所称物资均为由校团委管理并进行归档的各类团学活动物资。物资的借用及管理由校团委办公室（以下简称办公室）负责，包括对物资的采购、整理、统计、归档、借用与回收工作。</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第三条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校团委物资借用面向学校各行政职能部门、教学单位、全校各级团学组织及学生社团开放，所有需要借用物资的活动须得到借用组织（部门）或个人所在相关单位领导的同意。同等情况下，优先保障校团委直属组织（部门）开展团学活动的物资使用。</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第四条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凡借用物资的组织（部门）都有义务爱护物资，并及时归还物资以保证循环使用。物资借出期间，借用物资人员即为该物资借用及归还的直接责任人。若有损坏或遗失的，须按原物进行赔偿。</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第二章  物资借用流程</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第五条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任何组织（部门）或个人未办理物资借用登记流程的，不得擅自借出或挪用物资。</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第六条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借用物资的组织（部门）负责老师需至少提前1个工作日联系校团委老师，经校团委老师同意后，再联系办公室工作同学，待办公室工作同学清点完毕并确认仍有空余物资后，方可办理。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第七条</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 xml:space="preserve">  借用物资办理地点为校本部行政楼（4栋）109办公室，借用物资时需填写物资借用登记表。在借出物资时，由办公室工作同学清点、取出待借用物资，严格检查待借用物资是否完好，并进行相关登记。非工作人员，不得进出物资管理室。</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第八条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在归还物资时，办公室工作同学需再次严格检查物资是否有损坏或遗失。如有任何损坏或遗失，借用组织（部门）必须当场向工作同学提出说明，由工作同学负责登记，并由借用组织（部门）按原物进行赔偿。赔偿时间不得超过7个工作日。</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第九条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借用物资使用期限原则上不得超过两天。如需续借，借用的组织（部门）借用物资人员需提前联系校团委老师，经校团委老师同意后，由办公室工作同学做好续借信息登记。续借期限不得超过两天。</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如因特殊情况导致无法及时归还物资的，借用组织（部门）负责老师需提前联系校团委老师，协商可行的归还日期。</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第十一条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经校团委同意借予物资的组织（部门），需指派专门的负责同学具体办理借出及归还工作。借出物资时需出示本人的学生证或一卡通，将其作为抵押，并于归还物资时取回。</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default"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第十二条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办理借用和归还物资手续需在学校正常工作时间段内进行。即每周一至周五，上午8:30-12:00，下午14:00-17:30。</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第十三条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在申请大量的物资使用时，办公室工作同学需对其进行编号和整理。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第十四条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在搬运大型的物资（如电视、音响设备、乐器等）时，借用组织（部门）需小心谨慎，轻拿轻放，妥善使用及保管。</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第十五条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借用音响设备的，如活动参与规模在100人以内的，可借用小型音响设备1套；如活动参与规模在100人至200人以内的，可借用中型音响设备1套；如活动参与规模在200人以上或学校特定活动的，可借用大型音响设备1套。</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第十六条</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 xml:space="preserve">  借用大型音响设备，或贵重物资的（价值在1000元以上的物资），需征得校团委负责人同意。</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第十七条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如遇物资紧缺，或不同组织（部门）借用统一物资时，校团委将视情况适当调整。</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第十八条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如有任何疑问，请联系校团委办公室负责人：玉李妞同学（19987512582） 、卢亮同学 （15108874135）</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2"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第三章  附则</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第十九条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本办法的最终解释权归共青团云南城市建设职业学院委员会所有。</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default" w:ascii="方正仿宋_GBK" w:hAnsi="方正仿宋_GBK" w:eastAsia="方正仿宋_GBK" w:cs="方正仿宋_GBK"/>
          <w:b w:val="0"/>
          <w:bCs w:val="0"/>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第二十条  </w:t>
      </w:r>
      <w:r>
        <w:rPr>
          <w:rFonts w:hint="eastAsia" w:ascii="方正仿宋_GBK" w:hAnsi="方正仿宋_GBK" w:eastAsia="方正仿宋_GBK" w:cs="方正仿宋_GBK"/>
          <w:b w:val="0"/>
          <w:bCs w:val="0"/>
          <w:color w:val="auto"/>
          <w:spacing w:val="-2"/>
          <w:kern w:val="0"/>
          <w:sz w:val="32"/>
          <w:szCs w:val="32"/>
          <w:highlight w:val="none"/>
          <w:lang w:val="en-US" w:eastAsia="zh-CN" w:bidi="ar-SA"/>
        </w:rPr>
        <w:t>本办法自2022年8月1日起实施。</w:t>
      </w:r>
    </w:p>
    <w:bookmarkEnd w:id="358"/>
    <w:p>
      <w:pPr>
        <w:tabs>
          <w:tab w:val="left" w:pos="5245"/>
        </w:tabs>
        <w:spacing w:line="560" w:lineRule="exact"/>
        <w:jc w:val="center"/>
        <w:outlineLvl w:val="0"/>
        <w:rPr>
          <w:rFonts w:hint="eastAsia" w:ascii="方正小标宋_GBK" w:hAnsi="方正小标宋_GBK" w:eastAsia="方正小标宋_GBK" w:cs="方正小标宋_GBK"/>
          <w:b/>
          <w:color w:val="auto"/>
          <w:spacing w:val="0"/>
          <w:sz w:val="32"/>
          <w:szCs w:val="32"/>
          <w:highlight w:val="none"/>
          <w:lang w:val="en-US" w:eastAsia="zh-CN"/>
        </w:rPr>
      </w:pPr>
    </w:p>
    <w:p>
      <w:pPr>
        <w:tabs>
          <w:tab w:val="left" w:pos="5245"/>
        </w:tabs>
        <w:spacing w:line="560" w:lineRule="exact"/>
        <w:jc w:val="center"/>
        <w:outlineLvl w:val="0"/>
        <w:rPr>
          <w:rFonts w:hint="eastAsia" w:ascii="方正小标宋_GBK" w:hAnsi="方正小标宋_GBK" w:eastAsia="方正小标宋_GBK" w:cs="方正小标宋_GBK"/>
          <w:b/>
          <w:color w:val="auto"/>
          <w:spacing w:val="0"/>
          <w:sz w:val="36"/>
          <w:szCs w:val="36"/>
          <w:highlight w:val="none"/>
          <w:lang w:val="en-US" w:eastAsia="zh-CN"/>
        </w:rPr>
      </w:pPr>
      <w:bookmarkStart w:id="363" w:name="_Toc18432"/>
      <w:r>
        <w:rPr>
          <w:rFonts w:hint="eastAsia" w:ascii="方正小标宋_GBK" w:hAnsi="方正小标宋_GBK" w:eastAsia="方正小标宋_GBK" w:cs="方正小标宋_GBK"/>
          <w:b/>
          <w:color w:val="auto"/>
          <w:spacing w:val="0"/>
          <w:sz w:val="36"/>
          <w:szCs w:val="36"/>
          <w:highlight w:val="none"/>
          <w:lang w:val="en-US" w:eastAsia="zh-CN"/>
        </w:rPr>
        <w:t>云南城市建设职业学院共青团系统印章管理办法</w:t>
      </w:r>
      <w:bookmarkEnd w:id="363"/>
    </w:p>
    <w:p>
      <w:pPr>
        <w:tabs>
          <w:tab w:val="left" w:pos="5245"/>
        </w:tabs>
        <w:spacing w:line="560" w:lineRule="exact"/>
        <w:jc w:val="center"/>
        <w:outlineLvl w:val="0"/>
        <w:rPr>
          <w:rFonts w:hint="eastAsia" w:ascii="方正小标宋_GBK" w:hAnsi="方正小标宋_GBK" w:eastAsia="方正小标宋_GBK" w:cs="方正小标宋_GBK"/>
          <w:b/>
          <w:color w:val="auto"/>
          <w:spacing w:val="0"/>
          <w:sz w:val="36"/>
          <w:szCs w:val="36"/>
          <w:highlight w:val="none"/>
          <w:lang w:val="en-US" w:eastAsia="zh-CN"/>
        </w:rPr>
      </w:pPr>
      <w:bookmarkStart w:id="364" w:name="_Toc30237"/>
      <w:bookmarkStart w:id="365" w:name="_Toc21975"/>
      <w:bookmarkStart w:id="366" w:name="_Toc18268"/>
      <w:r>
        <w:rPr>
          <w:rFonts w:hint="eastAsia" w:ascii="方正小标宋_GBK" w:hAnsi="方正小标宋_GBK" w:eastAsia="方正小标宋_GBK" w:cs="方正小标宋_GBK"/>
          <w:b/>
          <w:color w:val="auto"/>
          <w:spacing w:val="0"/>
          <w:sz w:val="36"/>
          <w:szCs w:val="36"/>
          <w:highlight w:val="none"/>
          <w:lang w:val="en-US" w:eastAsia="zh-CN"/>
        </w:rPr>
        <w:t>（修订）</w:t>
      </w:r>
      <w:bookmarkEnd w:id="364"/>
      <w:bookmarkEnd w:id="365"/>
      <w:bookmarkEnd w:id="366"/>
    </w:p>
    <w:p>
      <w:pPr>
        <w:keepNext w:val="0"/>
        <w:keepLines w:val="0"/>
        <w:pageBreakBefore w:val="0"/>
        <w:widowControl w:val="0"/>
        <w:tabs>
          <w:tab w:val="left" w:pos="5245"/>
        </w:tabs>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keepNext w:val="0"/>
        <w:keepLines w:val="0"/>
        <w:pageBreakBefore w:val="0"/>
        <w:widowControl w:val="0"/>
        <w:tabs>
          <w:tab w:val="left" w:pos="5245"/>
        </w:tabs>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第一章  总则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第一条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xml:space="preserve">  为进一步规范我校各级共青团组织和学生组织各类印章管理，根据《国务院关于国家行政机关和企业事业单位社会团体印章管理的规定》（国发〔1999〕25号）和《共青团中央关于各级团组织印章问题的规定》(中青字〔1979〕10号)，特制定本办法。</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本办法所指印章包括校团委、各二级学院团总支、校学生会公章，或学校其他共青团专项工作印章等。</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第二章  制发印章范围、规格和样式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云南城市建设职业学院共青团系统制发印章的范围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（一）校团委印章；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（二）各二级学院团总支印章；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（三）校学生会印章；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（四）学校其他共青团专项工作印章。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（五）除校学生会外，校团委其他直属组织（部门）、各二级学院学生会、各学生社团不允许私设（刻）公章。</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印章的形状</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一）校团委及各二级学院团总支的印章为圆形单边。印章中央刊五角星（实心），星两旁刊单横线。印章上的文字分成三行，一行自左而右环刊于星和单横线的上边，另两行自左而右横刊于星和单横线的下边（二级学院团总支的印章总共为四行）；</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（二）校学生会的印章为圆形单边。印章中央刊五角星（实心），五角星外刊校名，组织名称垂直于学校名称排列；</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（三）学校其他共青团专项工作的印章为圆形单边，印章中央刊五角星（实心），五角星外刊校名，专项工作名称垂直于学校名称排列。</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印章的尺寸</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（一）校团委及二级学院团总支印章直径为四公分，圆边宽零点一公分，五角星直径零点七公分，单横线长度一公分；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（二）校学生会印章直径为四公分，圆边宽零点一公分，五角星直径零点七公分。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（三）学校其他共青团专项工作的印章直径为四公分，圆边宽零点一公分，五角星直径零点七公分。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第三章  印章的名称、文字、字体和质料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第六条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印章所刊名称，应为校团委及各二级学院团总支、校学生会的法定名称。学校其他共青团专项工作印章名称，应为专项工作的特定名称。</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（一）校团委印章，单横线上方刊中国共产主义青年团，下方刊云南城市建设职业学院委员会；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（二）各二级学院团总支印章，单横线上方刊中国共产主义青年团，下方刊云南城市建设职业学院某学院总支部委员会；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（三）校学生会印章，五角星外刊云南城市建设职业学院，自左而右环行，学生会垂直于学校名称自左而右横向排列。</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（四）学校其他共青团专项工作印章，五角星外刊云南城市建设职业学院，自左而右环行，专项工作特定名称垂直于学校名称自左而右横向排列。</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第七条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印章的文字。一律用仿宋体和国务院公布的简化字。使用印章时，一律用红色印泥。</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第八条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印章质料，一般使用红胶或原子印章。</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第四章  印章的刻制、启用和销毁</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第九条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校团委及学校其他共青团专项工作印章，由校团委按规定自制。各二级学院团总支、校学生会印章，需要报校团委备案并集中刻制。</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因印章磨损、印章样式改变需刻制新印章，须向校团委办公室提出刻制印章的申请，经批准并出具介绍信后，到公安部门指定单位刻制。印章刻好后，须先送至校团委办公室留印模备案后方可使用。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第十一条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xml:space="preserve">  任何部门和个人不准私自刻制印章。对于私自刻制学校共青团系统印章的部门和个人，校团委保留追究其法律责任的权利。</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第十二条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因组织机构变动，或换用新印章而停止使用时，使用印章的单位应向校团委发出停止使用印章的请示。请示归入校团委档案保存，旧印章交由校团委处理。停止使用的印章，保存一定的时间，经过鉴定和校团委负责人的批准，除少数有历史价值的需要长期保存以外，一般的即刻销毁。</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第十三条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销毁废旧印章，必须报请单位负责人批准，销毁时要有主管印章的人员监销。所有销毁的废旧印章都要留下印模进行保存，以备日后查考之用。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第五章  印章的管理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第十四条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及学校其他共青团专项工作印章由校团委负责人保管；各二级学院团总支印章由该学院团总支负责人保管；校学生会印章由校团委分管学生会工作的副书就保管；凡学生使用印章须经相应印章管理员批准；以上印章每次用印应进行登记。</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第十五条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各印章管理单位应对本单位印章的使用情况进行监督、检查，严格履行用印登记手续，防止丢失和误用。印章一般应在工作时间内使用，平日随用随锁，假日加封。</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第十六条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及学校其他共青团专项工作、各二级学院团总支、校学生会印章存放和使用地点应在办公室，不得带出存放地点使用。因特殊原因确需带出使用的，应经相关负责人同意，记录备案后，派遣专人随同监印，用后立即带回。</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第十七条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校团委办公室应分门别类对所刻制的印章进行登记，拓具印模、样本、依序装订成册，以利管理，以备核查。</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第十八条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印章遗失时须立即向校团委负责人报告，并依法公布作废。</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第十九条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未按规定批准使用校团委印章造成的后果由批准人承担，印章管理人员违规用印造成的后果由直接责任人承担。</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第六章  印章的使用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学校共青团系统印章使用须严格控制。</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第二十一条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校团委印章主要用于以校团委名义印发的文件、通知或其它各类公文；起草的各种报告、请示；报送的推荐、推优、统计等各类申报材料；出具的各种证明、介绍信；颁发的各种聘书、证书、奖状；颁发的团员证、各类培训证书（结业证书、进修证书）等。</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第二十二条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印章应做到规范使用，注意落款单位必须与印章一致，用印位置恰当，做到“齐年盖月”（即印章的左边缘与落款日期的年相齐，月、日盖在印章的下面）；盖章时用力要均匀，落印要平衡，印泥（油）要适度，保证印迹端正、清晰，不漏盖、不多盖。</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第二十三条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不得在复印件上加盖印章，若有特殊需要，须与原件核对无误，经校团委负责人在复印件上签字后，方可加盖印章。</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第二十四条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涉及个人财产、经济、法律纠纷等方面的文件、材料；未经校团委负责人签发批准的文件、材料；与校团委工作、业务无关的文件、材料；空白介绍信、空白证件、空白证书等；行文不规范（字迹潦草、有明显涂改痕迹、表达不清、落款单位不明）的文档等，校团委印章管理人员不得用印。</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第二十五条</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  印章管理人员用印时，须审阅用印内容，做好用印登记，发现印件内容有误或批准权限不当，应拒绝用印。</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第七章   附　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第二十六条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本办法中印章的使用申请，指需要使用到校团委、校学生会及学校其他共青团专项工作的印章。各二级学院团总支使用印章时，结合实际情况，参照本办法执行。</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第二十七条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本办法由共青团云南城市建设职业学院委员会负责解释。</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color w:val="auto"/>
          <w:highlight w:val="none"/>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第二十八条  </w:t>
      </w:r>
      <w:r>
        <w:rPr>
          <w:rFonts w:hint="eastAsia" w:ascii="方正仿宋_GBK" w:hAnsi="方正仿宋_GBK" w:eastAsia="方正仿宋_GBK" w:cs="方正仿宋_GBK"/>
          <w:i w:val="0"/>
          <w:iCs w:val="0"/>
          <w:caps w:val="0"/>
          <w:color w:val="auto"/>
          <w:spacing w:val="0"/>
          <w:kern w:val="0"/>
          <w:sz w:val="32"/>
          <w:szCs w:val="32"/>
          <w:highlight w:val="none"/>
          <w:shd w:val="clear" w:fill="FFFFFF"/>
          <w:lang w:val="en-US" w:eastAsia="zh-CN" w:bidi="ar"/>
        </w:rPr>
        <w:t>本办法自2022年8月1日起执行。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color w:val="auto"/>
          <w:kern w:val="2"/>
          <w:sz w:val="32"/>
          <w:szCs w:val="32"/>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color w:val="auto"/>
          <w:kern w:val="2"/>
          <w:sz w:val="36"/>
          <w:szCs w:val="36"/>
          <w:highlight w:val="none"/>
          <w:lang w:val="en-US" w:eastAsia="zh-CN" w:bidi="ar-SA"/>
        </w:rPr>
      </w:pPr>
      <w:bookmarkStart w:id="367" w:name="_Toc8159"/>
      <w:r>
        <w:rPr>
          <w:rFonts w:hint="eastAsia" w:ascii="方正小标宋_GBK" w:hAnsi="方正小标宋_GBK" w:eastAsia="方正小标宋_GBK" w:cs="方正小标宋_GBK"/>
          <w:b/>
          <w:bCs/>
          <w:color w:val="auto"/>
          <w:kern w:val="2"/>
          <w:sz w:val="36"/>
          <w:szCs w:val="36"/>
          <w:highlight w:val="none"/>
          <w:lang w:val="en-US" w:eastAsia="zh-CN" w:bidi="ar-SA"/>
        </w:rPr>
        <w:t>云南城市建设职业学院基层团组织“三会两制一课”实施细则（试行）</w:t>
      </w:r>
      <w:bookmarkEnd w:id="367"/>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第一章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总则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4"/>
          <w:rFonts w:hint="eastAsia" w:ascii="方正仿宋_GBK" w:hAnsi="方正仿宋_GBK" w:eastAsia="方正仿宋_GBK" w:cs="方正仿宋_GBK"/>
          <w:b w:val="0"/>
          <w:bCs/>
          <w:i w:val="0"/>
          <w:iCs w:val="0"/>
          <w:caps w:val="0"/>
          <w:color w:val="auto"/>
          <w:spacing w:val="0"/>
          <w:sz w:val="32"/>
          <w:szCs w:val="32"/>
          <w:highlight w:val="none"/>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xml:space="preserve">  为健全校基层团组织的组织生活，严格团员的教育管理，加强基层团组织建设，根据《中国共产主义青年团章程》和《中国共产主义青年团基层组织“三会两制一课”实施细则（试行）》有关规定，结合学校实际，制定本细则。</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　　</w:t>
      </w: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第二条</w:t>
      </w:r>
      <w:r>
        <w:rPr>
          <w:rStyle w:val="24"/>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“三会两制一课”是指支部大会、支部委员会、团小组会、团员教育评议制度、团员年度团籍注册制度和团课，是团的组织生活的基本制度。</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　　</w:t>
      </w: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落实“三会两制一课”，是共青团保持和增强政治性、先进性、群众性的必然要求，是推进团要管团、从严治团的重要载体，是加强团员思想政治教育和自我教育，强化团员意识，提升基层团组织凝聚力和战斗力的制度保障。</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　　开展好“三会两制一课”，对于教育引导团员</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青年</w:t>
      </w:r>
      <w:r>
        <w:rPr>
          <w:rFonts w:hint="eastAsia" w:ascii="方正仿宋_GBK" w:hAnsi="方正仿宋_GBK" w:eastAsia="方正仿宋_GBK" w:cs="方正仿宋_GBK"/>
          <w:i w:val="0"/>
          <w:iCs w:val="0"/>
          <w:caps w:val="0"/>
          <w:color w:val="auto"/>
          <w:spacing w:val="0"/>
          <w:sz w:val="32"/>
          <w:szCs w:val="32"/>
          <w:highlight w:val="none"/>
          <w:shd w:val="clear" w:fill="FFFFFF"/>
        </w:rPr>
        <w:t>增强政治意识、大局意识、核心意识、看齐意识，更加紧密地团结在以习近平同志为核心的党中央周围，具有重要意义。</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第四条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落实“三会两制一课”，要突出思想政治要求，坚持民主集中制，尊重团员主体地位，保障团员</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青年</w:t>
      </w:r>
      <w:r>
        <w:rPr>
          <w:rFonts w:hint="eastAsia" w:ascii="方正仿宋_GBK" w:hAnsi="方正仿宋_GBK" w:eastAsia="方正仿宋_GBK" w:cs="方正仿宋_GBK"/>
          <w:i w:val="0"/>
          <w:iCs w:val="0"/>
          <w:caps w:val="0"/>
          <w:color w:val="auto"/>
          <w:spacing w:val="0"/>
          <w:sz w:val="32"/>
          <w:szCs w:val="32"/>
          <w:highlight w:val="none"/>
          <w:shd w:val="clear" w:fill="FFFFFF"/>
        </w:rPr>
        <w:t>民主权利，开展批评与自我批评，注重创新方式方法，切实提高组织生活质量，增强制度的刚性和严肃性，坚决防止表面化、形式化、娱乐化、庸俗化。</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第二章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支部大会</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第五条</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支部大会是指由团的支部委员会召集的支部全体团员参加的会议。支部大会又称支部团员大会，是团支部的最高领导机构，在团支部中享有最高决策权、选举权和监督权。支部大会一般每季度召开一次，根据工作需要可随时召开。</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第六条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支部大会的主要任务包括：学习党的理论，学习习近平总书记系列重要讲话精神；传达学习党的路线、方针、政策和团的政策文件、重要会议精神，传达同级党组织、上级团组织的决议、指示等，研究制定贯彻落实的计划和措施；听取和讨论支部委员会的工作报告，对支部委员会的工作进行审议和监督；选举新的支部委员会和出席上级团代会的代表，增补和罢免支部委员；讨论接收新团员；开展团员教育评议工作；研究决定对团员的奖励，推荐优秀团员作入党积极分子；讨论通过对团员的处分；决定除名要求退团和自行脱团的团员；开好团支部组织生活会；研究决定本支部其他重要事项。</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第七条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没有选举任务的支部大会程序一般为：确定支部大会议题，提前通知全体团员；会议主持人报告本支部团员出、缺席情况；宣布会议议题，围绕议题进行民主讨论；对需要表决的事项逐个进行表决；宣布表决结果，形成支部大会决议；做好会议记录，会议结束后归档保存。有选举任务的支部大会程序根据有关规定确定。</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第八条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支部大会应由支部书记主持，如支部书记空缺或因故缺席，可由支部副书记或支部委员主持。一般情况下，参加会议团员应超过支部团员总数的二分之一。团支部委员会可事先研究提交大会讨论的问题，提出初步意见、方案等，以便团员在大会上讨论研究。</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第九条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支部大会进行表决时，本支部到会的有表决权的团员超过应到会团员总数的三分之二，方可进行表决。对需要形成决议的问题，应当发扬民主，在团员充分发表意见的基础上进行表决，做出决议。对多个事项或多个名单进行表决时，应逐一表决。支部大会选举和讨论接收新团员采用无记名投票的方式，其他表决可采取举手或无记名投票的方式，按照少数服从多数的原则作出。表决赞成票数超过到会有表决权团员数的二分之一即为通过。</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根据工作需要，经支部委员会研究决定，支部大会可邀请入团积极分子、优秀青年代表及有关人员列席。列席人员有发言权，没有表决权、选举权和被选举权。</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第十一条</w:t>
      </w:r>
      <w:r>
        <w:rPr>
          <w:rFonts w:hint="eastAsia" w:ascii="方正楷体_GBK" w:hAnsi="方正楷体_GBK" w:eastAsia="方正楷体_GBK" w:cs="方正楷体_GBK"/>
          <w:b w:val="0"/>
          <w:bCs w:val="0"/>
          <w:i w:val="0"/>
          <w:iCs w:val="0"/>
          <w:caps w:val="0"/>
          <w:color w:val="auto"/>
          <w:spacing w:val="0"/>
          <w:kern w:val="0"/>
          <w:sz w:val="32"/>
          <w:szCs w:val="32"/>
          <w:highlight w:val="none"/>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支部大会应做好会议记录并长期保存。支部大会结束后，团支部应当及时向上级团组织和同级党组织书面报告会议情况，内容包括大会时间、地点、团员出席情况、主要议程、讨论情况、选举结果、重要事项决议等。</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仿宋_GBK" w:hAnsi="方正仿宋_GBK" w:eastAsia="方正仿宋_GBK" w:cs="方正仿宋_GBK"/>
          <w:i w:val="0"/>
          <w:iCs w:val="0"/>
          <w:caps w:val="0"/>
          <w:color w:val="auto"/>
          <w:spacing w:val="0"/>
          <w:sz w:val="32"/>
          <w:szCs w:val="32"/>
          <w:highlight w:val="none"/>
          <w:shd w:val="clear" w:fill="FFFFFF"/>
        </w:rPr>
        <w:t> </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第三章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支部委员会</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第十二条  </w:t>
      </w:r>
      <w:r>
        <w:rPr>
          <w:rFonts w:hint="eastAsia" w:ascii="方正仿宋_GBK" w:hAnsi="方正仿宋_GBK" w:eastAsia="方正仿宋_GBK" w:cs="方正仿宋_GBK"/>
          <w:i w:val="0"/>
          <w:iCs w:val="0"/>
          <w:caps w:val="0"/>
          <w:color w:val="auto"/>
          <w:spacing w:val="0"/>
          <w:sz w:val="32"/>
          <w:szCs w:val="32"/>
          <w:highlight w:val="none"/>
          <w:shd w:val="clear" w:fill="FFFFFF"/>
        </w:rPr>
        <w:t>支部委员会由支部大会选举产生，是支部在大会闭会期间的领导机构，在支部工作中发挥核心作用，负责支部的日常工作，向同级党组织、上级团组织和支部大会报告工作，接受审查和监督。支部委员会会议一般每月召开一次，根据工作需要可随时召开。</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第十三条  </w:t>
      </w:r>
      <w:r>
        <w:rPr>
          <w:rFonts w:hint="eastAsia" w:ascii="方正仿宋_GBK" w:hAnsi="方正仿宋_GBK" w:eastAsia="方正仿宋_GBK" w:cs="方正仿宋_GBK"/>
          <w:i w:val="0"/>
          <w:iCs w:val="0"/>
          <w:caps w:val="0"/>
          <w:color w:val="auto"/>
          <w:spacing w:val="0"/>
          <w:sz w:val="32"/>
          <w:szCs w:val="32"/>
          <w:highlight w:val="none"/>
          <w:shd w:val="clear" w:fill="FFFFFF"/>
        </w:rPr>
        <w:t>支部委员会会议的主要任务包括：学习党的理论，学习习近平总书记系列重要讲话精神；宣传和执行党的路线、方针、政策，学习团的政策和重要会议精神，执行同级党组织、上级团组织的决议、指示等；贯彻落实支部大会的决议和工作安排；研究制定团支部工作计划，起草工作报告；研究确定提交支部大会审议的议题；研究确定入团积极分子和团员发展对象；研究讨论支部团员教育评议意见，决定对团员奖励，研究提出团员处分意见；讨论检查支部自身建设工作，研究制定支部相关制度；研究解决支部、团员的问题和困难；开好团支部委员会组织生活会；研究其他需要支部委员会讨论决定和贯彻执行的事项。</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第十四条  </w:t>
      </w:r>
      <w:r>
        <w:rPr>
          <w:rFonts w:hint="eastAsia" w:ascii="方正仿宋_GBK" w:hAnsi="方正仿宋_GBK" w:eastAsia="方正仿宋_GBK" w:cs="方正仿宋_GBK"/>
          <w:i w:val="0"/>
          <w:iCs w:val="0"/>
          <w:caps w:val="0"/>
          <w:color w:val="auto"/>
          <w:spacing w:val="0"/>
          <w:sz w:val="32"/>
          <w:szCs w:val="32"/>
          <w:highlight w:val="none"/>
          <w:shd w:val="clear" w:fill="FFFFFF"/>
        </w:rPr>
        <w:t>支部委员会会议由支部书记召集，如支部书记空缺或因故缺席，可由支部副书记或支部委员召集。召开支部委员会会议时，到会委员超过支部委员总数的二分之一方可召开。</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第十五条  </w:t>
      </w:r>
      <w:r>
        <w:rPr>
          <w:rFonts w:hint="eastAsia" w:ascii="方正仿宋_GBK" w:hAnsi="方正仿宋_GBK" w:eastAsia="方正仿宋_GBK" w:cs="方正仿宋_GBK"/>
          <w:i w:val="0"/>
          <w:iCs w:val="0"/>
          <w:caps w:val="0"/>
          <w:color w:val="auto"/>
          <w:spacing w:val="0"/>
          <w:sz w:val="32"/>
          <w:szCs w:val="32"/>
          <w:highlight w:val="none"/>
          <w:shd w:val="clear" w:fill="FFFFFF"/>
        </w:rPr>
        <w:t>支部委员会会议进行表决时，参加表决的委员超过应到委员总数的三分之二，方可进行表决。对需要形成决议的问题，应当发扬民主，在委员充分发表意见的基础上进行表决，做出决议。对多个事项或多个名单进行表决时，应逐一表决。表决可采取举手、口头、无记名投票或记名投票方式，按照少数服从多数的原则作出。表决赞成票数超过到会委员数的二分之一即为通过。</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第十六条  </w:t>
      </w:r>
      <w:r>
        <w:rPr>
          <w:rFonts w:hint="eastAsia" w:ascii="方正仿宋_GBK" w:hAnsi="方正仿宋_GBK" w:eastAsia="方正仿宋_GBK" w:cs="方正仿宋_GBK"/>
          <w:i w:val="0"/>
          <w:iCs w:val="0"/>
          <w:caps w:val="0"/>
          <w:color w:val="auto"/>
          <w:spacing w:val="0"/>
          <w:sz w:val="32"/>
          <w:szCs w:val="32"/>
          <w:highlight w:val="none"/>
          <w:shd w:val="clear" w:fill="FFFFFF"/>
        </w:rPr>
        <w:t>根据工作需要，支部委员会会议可以邀请团小组长或有关团员代表列席。列席人员有发言权，没有表决权、选举权和被选举权。</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第十七条  </w:t>
      </w:r>
      <w:r>
        <w:rPr>
          <w:rFonts w:hint="eastAsia" w:ascii="方正仿宋_GBK" w:hAnsi="方正仿宋_GBK" w:eastAsia="方正仿宋_GBK" w:cs="方正仿宋_GBK"/>
          <w:i w:val="0"/>
          <w:iCs w:val="0"/>
          <w:caps w:val="0"/>
          <w:color w:val="auto"/>
          <w:spacing w:val="0"/>
          <w:sz w:val="32"/>
          <w:szCs w:val="32"/>
          <w:highlight w:val="none"/>
          <w:shd w:val="clear" w:fill="FFFFFF"/>
        </w:rPr>
        <w:t>支部委员会会议应做好会议记录并长期保存。记录内容包括会议时间、地点、委员出席情况、会议议题、每位委员发言摘要、通过的决议等。</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第四章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团小组会</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第十八条  </w:t>
      </w:r>
      <w:r>
        <w:rPr>
          <w:rFonts w:hint="eastAsia" w:ascii="方正仿宋_GBK" w:hAnsi="方正仿宋_GBK" w:eastAsia="方正仿宋_GBK" w:cs="方正仿宋_GBK"/>
          <w:i w:val="0"/>
          <w:iCs w:val="0"/>
          <w:caps w:val="0"/>
          <w:color w:val="auto"/>
          <w:spacing w:val="0"/>
          <w:sz w:val="32"/>
          <w:szCs w:val="32"/>
          <w:highlight w:val="none"/>
          <w:shd w:val="clear" w:fill="FFFFFF"/>
        </w:rPr>
        <w:t>团小组是团支部的组成部分，不是团的一级组织，在支部委员会的领导下开展工作，负责对本小组团员进行教育、管理、监督和服务。团小组会由团小组长负责召集，可根据工作需要随时召开。</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第十九条  </w:t>
      </w:r>
      <w:r>
        <w:rPr>
          <w:rFonts w:hint="eastAsia" w:ascii="方正仿宋_GBK" w:hAnsi="方正仿宋_GBK" w:eastAsia="方正仿宋_GBK" w:cs="方正仿宋_GBK"/>
          <w:i w:val="0"/>
          <w:iCs w:val="0"/>
          <w:caps w:val="0"/>
          <w:color w:val="auto"/>
          <w:spacing w:val="0"/>
          <w:sz w:val="32"/>
          <w:szCs w:val="32"/>
          <w:highlight w:val="none"/>
          <w:shd w:val="clear" w:fill="FFFFFF"/>
        </w:rPr>
        <w:t>团小组的划分由团支部委员会根据本支部团员的数量、分布和工作需要等，按照易于集中、便于管理的原则确定。团员人数较少的团支部可不划分团小组，相应增加召开支部大会的次数。</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第二十条  </w:t>
      </w:r>
      <w:r>
        <w:rPr>
          <w:rFonts w:hint="eastAsia" w:ascii="方正仿宋_GBK" w:hAnsi="方正仿宋_GBK" w:eastAsia="方正仿宋_GBK" w:cs="方正仿宋_GBK"/>
          <w:i w:val="0"/>
          <w:iCs w:val="0"/>
          <w:caps w:val="0"/>
          <w:color w:val="auto"/>
          <w:spacing w:val="0"/>
          <w:sz w:val="32"/>
          <w:szCs w:val="32"/>
          <w:highlight w:val="none"/>
          <w:shd w:val="clear" w:fill="FFFFFF"/>
        </w:rPr>
        <w:t>团小组长不需经选举产生，可由支部委员会指定或由本小组团员推选，任期一般应与支部委员会任期相同，可根据工作需要进行调整。</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第二十一条  </w:t>
      </w:r>
      <w:r>
        <w:rPr>
          <w:rFonts w:hint="eastAsia" w:ascii="方正仿宋_GBK" w:hAnsi="方正仿宋_GBK" w:eastAsia="方正仿宋_GBK" w:cs="方正仿宋_GBK"/>
          <w:i w:val="0"/>
          <w:iCs w:val="0"/>
          <w:caps w:val="0"/>
          <w:color w:val="auto"/>
          <w:spacing w:val="0"/>
          <w:sz w:val="32"/>
          <w:szCs w:val="32"/>
          <w:highlight w:val="none"/>
          <w:shd w:val="clear" w:fill="FFFFFF"/>
        </w:rPr>
        <w:t>团小组会议的主要任务包括：组织团员学习党的理论，学习习近平总书记系列重要讲话精神；组织团员学习党的路线、方针、政策和决议、重要会议精神；贯彻落实上级团组织、支部大会和支部委员会的工作部署；酝酿支部大会有关选举候选人；开展团员教育评议工作；对支部接收新团员、推荐优秀团员作入党积极分子、奖励和处分团员提出意见；听取和反映团员青年的意见和要求；开好团小组组织生活会；研究其他需要团小组会议讨论决定和贯彻执行的事项。</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第二十二条  </w:t>
      </w:r>
      <w:r>
        <w:rPr>
          <w:rFonts w:hint="eastAsia" w:ascii="方正仿宋_GBK" w:hAnsi="方正仿宋_GBK" w:eastAsia="方正仿宋_GBK" w:cs="方正仿宋_GBK"/>
          <w:i w:val="0"/>
          <w:iCs w:val="0"/>
          <w:caps w:val="0"/>
          <w:color w:val="auto"/>
          <w:spacing w:val="0"/>
          <w:sz w:val="32"/>
          <w:szCs w:val="32"/>
          <w:highlight w:val="none"/>
          <w:shd w:val="clear" w:fill="FFFFFF"/>
        </w:rPr>
        <w:t>团小组长应做好会议记录并长期保存。会议情况应及时向团支部汇报。</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仿宋_GBK" w:hAnsi="方正仿宋_GBK" w:eastAsia="方正仿宋_GBK" w:cs="方正仿宋_GBK"/>
          <w:i w:val="0"/>
          <w:iCs w:val="0"/>
          <w:caps w:val="0"/>
          <w:color w:val="auto"/>
          <w:spacing w:val="0"/>
          <w:sz w:val="32"/>
          <w:szCs w:val="32"/>
          <w:highlight w:val="none"/>
          <w:shd w:val="clear" w:fill="FFFFFF"/>
        </w:rPr>
        <w:t>  </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第五章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团员教育评议制度</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第二十三条  </w:t>
      </w:r>
      <w:r>
        <w:rPr>
          <w:rFonts w:hint="eastAsia" w:ascii="方正仿宋_GBK" w:hAnsi="方正仿宋_GBK" w:eastAsia="方正仿宋_GBK" w:cs="方正仿宋_GBK"/>
          <w:i w:val="0"/>
          <w:iCs w:val="0"/>
          <w:caps w:val="0"/>
          <w:color w:val="auto"/>
          <w:spacing w:val="0"/>
          <w:sz w:val="32"/>
          <w:szCs w:val="32"/>
          <w:highlight w:val="none"/>
          <w:shd w:val="clear" w:fill="FFFFFF"/>
        </w:rPr>
        <w:t>团员教育评议制度是团的组织生活的重要组成部分，是加强团员队伍思想建设、严格团的纪律、规范团员管理的重要措施。团员教育评议采用学习教育、自我评价和组织评议相结合的方式，对团员的表现和作用发挥情况作出综合评价，并通过评优和处理等方式，达到激励团员、整顿队伍、纯洁组织的目的。</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第二十四条  </w:t>
      </w:r>
      <w:r>
        <w:rPr>
          <w:rFonts w:hint="eastAsia" w:ascii="方正仿宋_GBK" w:hAnsi="方正仿宋_GBK" w:eastAsia="方正仿宋_GBK" w:cs="方正仿宋_GBK"/>
          <w:i w:val="0"/>
          <w:iCs w:val="0"/>
          <w:caps w:val="0"/>
          <w:color w:val="auto"/>
          <w:spacing w:val="0"/>
          <w:sz w:val="32"/>
          <w:szCs w:val="32"/>
          <w:highlight w:val="none"/>
          <w:shd w:val="clear" w:fill="FFFFFF"/>
        </w:rPr>
        <w:t>教育评议的对象为全体团员。保留团籍的共产党员应积极参加党的组织生活，可不参加团员教育评议和年度团籍注册，自愿参加者不限。</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第二十五条  </w:t>
      </w:r>
      <w:r>
        <w:rPr>
          <w:rFonts w:hint="eastAsia" w:ascii="方正仿宋_GBK" w:hAnsi="方正仿宋_GBK" w:eastAsia="方正仿宋_GBK" w:cs="方正仿宋_GBK"/>
          <w:i w:val="0"/>
          <w:iCs w:val="0"/>
          <w:caps w:val="0"/>
          <w:color w:val="auto"/>
          <w:spacing w:val="0"/>
          <w:sz w:val="32"/>
          <w:szCs w:val="32"/>
          <w:highlight w:val="none"/>
          <w:shd w:val="clear" w:fill="FFFFFF"/>
        </w:rPr>
        <w:t>团员教育评议工作应当与团员年度团籍注册工作相结合，一般每年进行一次。</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第二十六条  </w:t>
      </w:r>
      <w:r>
        <w:rPr>
          <w:rFonts w:hint="eastAsia" w:ascii="方正仿宋_GBK" w:hAnsi="方正仿宋_GBK" w:eastAsia="方正仿宋_GBK" w:cs="方正仿宋_GBK"/>
          <w:i w:val="0"/>
          <w:iCs w:val="0"/>
          <w:caps w:val="0"/>
          <w:color w:val="auto"/>
          <w:spacing w:val="0"/>
          <w:sz w:val="32"/>
          <w:szCs w:val="32"/>
          <w:highlight w:val="none"/>
          <w:shd w:val="clear" w:fill="FFFFFF"/>
        </w:rPr>
        <w:t>开展团员教育评议工作一般应召开支部大会，团员人数较多的支部，可先由各团小组会议开展评议并提出初步评议意见后，提交支部大会研究确定。到会团员超过应到会团员总数的三分之二方可进行评议。</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第二十七条  </w:t>
      </w:r>
      <w:r>
        <w:rPr>
          <w:rFonts w:hint="eastAsia" w:ascii="方正仿宋_GBK" w:hAnsi="方正仿宋_GBK" w:eastAsia="方正仿宋_GBK" w:cs="方正仿宋_GBK"/>
          <w:i w:val="0"/>
          <w:iCs w:val="0"/>
          <w:caps w:val="0"/>
          <w:color w:val="auto"/>
          <w:spacing w:val="0"/>
          <w:sz w:val="32"/>
          <w:szCs w:val="32"/>
          <w:highlight w:val="none"/>
          <w:shd w:val="clear" w:fill="FFFFFF"/>
        </w:rPr>
        <w:t>团员教育评议的主要内容和流程为：团支部组织团员开展学习教育，每名团员围绕在评议年度内的个人表现和发挥团员作用情况等撰写自我评价材料；召开支部大会或团小组会议，每名团员根据学习教育情况和所准备材料进行自我评价；其他团员对其进行评议，肯定成绩、指出不足；以支部为单位对所有团员进行测评投票；支部委员会综合个人自评、团员互评和测评投票结果，结合团员日常表现，研究提出每名团员的建议评议等次，报上级委员会批准；做好评议结果的运用。</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第二十八条  </w:t>
      </w:r>
      <w:r>
        <w:rPr>
          <w:rFonts w:hint="eastAsia" w:ascii="方正仿宋_GBK" w:hAnsi="方正仿宋_GBK" w:eastAsia="方正仿宋_GBK" w:cs="方正仿宋_GBK"/>
          <w:i w:val="0"/>
          <w:iCs w:val="0"/>
          <w:caps w:val="0"/>
          <w:color w:val="auto"/>
          <w:spacing w:val="0"/>
          <w:sz w:val="32"/>
          <w:szCs w:val="32"/>
          <w:highlight w:val="none"/>
          <w:shd w:val="clear" w:fill="FFFFFF"/>
        </w:rPr>
        <w:t>团员评议等次分为：优秀、合格、基本合格、不合格四个等次，其中优秀等次团员数量应控制在参加评议团员人数的30％以内。</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第二十九条  </w:t>
      </w:r>
      <w:r>
        <w:rPr>
          <w:rFonts w:hint="eastAsia" w:ascii="方正仿宋_GBK" w:hAnsi="方正仿宋_GBK" w:eastAsia="方正仿宋_GBK" w:cs="方正仿宋_GBK"/>
          <w:i w:val="0"/>
          <w:iCs w:val="0"/>
          <w:caps w:val="0"/>
          <w:color w:val="auto"/>
          <w:spacing w:val="0"/>
          <w:sz w:val="32"/>
          <w:szCs w:val="32"/>
          <w:highlight w:val="none"/>
          <w:shd w:val="clear" w:fill="FFFFFF"/>
        </w:rPr>
        <w:t>优秀团员的主要条件为：理想信念坚定，拥护党的领导，热爱祖国、热爱人民、热爱社会主义；政治意识、大局意识、核心意识、看齐意识强，自觉维护以习近平同志为核心的党中央权威；积极践行社会主义核心价值观，遵纪守法，品格高尚；自觉遵守团章，模范履行团员义务，积极参加团的组织生活和活动，有强烈的团员意识和荣誉感；学习成绩优秀，工作本领过硬，善于创新创造，具有艰苦奋斗精神，在本职岗位上业绩突出，能够发挥模范带头作用；成为注册志愿者，积极参加公益活动；在团员青年中有较高威信。</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第三十条  </w:t>
      </w:r>
      <w:r>
        <w:rPr>
          <w:rFonts w:hint="eastAsia" w:ascii="方正仿宋_GBK" w:hAnsi="方正仿宋_GBK" w:eastAsia="方正仿宋_GBK" w:cs="方正仿宋_GBK"/>
          <w:i w:val="0"/>
          <w:iCs w:val="0"/>
          <w:caps w:val="0"/>
          <w:color w:val="auto"/>
          <w:spacing w:val="0"/>
          <w:sz w:val="32"/>
          <w:szCs w:val="32"/>
          <w:highlight w:val="none"/>
          <w:shd w:val="clear" w:fill="FFFFFF"/>
        </w:rPr>
        <w:t>合格团员的主要条件为：拥护党的领导，执行党的路线、方针、政策；能够遵守政治纪律和政治规矩，自觉维护以习近平同志为核心的党中央权威；能够践行社会主义核心价值观，遵守国家法律法规和团的纪律；能够执行团的决议，完成团组织交给的任务，参加团的组织生活和活动；能够在学习、生产、工作及其他社会生活中发挥积极作用；关心集体，乐于助人，热心帮助青年进步，积极参加志愿服务活动。</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第三十一条  </w:t>
      </w:r>
      <w:r>
        <w:rPr>
          <w:rFonts w:hint="eastAsia" w:ascii="方正仿宋_GBK" w:hAnsi="方正仿宋_GBK" w:eastAsia="方正仿宋_GBK" w:cs="方正仿宋_GBK"/>
          <w:i w:val="0"/>
          <w:iCs w:val="0"/>
          <w:caps w:val="0"/>
          <w:color w:val="auto"/>
          <w:spacing w:val="0"/>
          <w:sz w:val="32"/>
          <w:szCs w:val="32"/>
          <w:highlight w:val="none"/>
          <w:shd w:val="clear" w:fill="FFFFFF"/>
        </w:rPr>
        <w:t>基本合格团员的主要表现为：在评议年度内受过警告、严重警告或撤销团内职务处分，但尚没有不合格团员的各种表现的。</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第三十二条  </w:t>
      </w:r>
      <w:r>
        <w:rPr>
          <w:rFonts w:hint="eastAsia" w:ascii="方正仿宋_GBK" w:hAnsi="方正仿宋_GBK" w:eastAsia="方正仿宋_GBK" w:cs="方正仿宋_GBK"/>
          <w:i w:val="0"/>
          <w:iCs w:val="0"/>
          <w:caps w:val="0"/>
          <w:color w:val="auto"/>
          <w:spacing w:val="0"/>
          <w:sz w:val="32"/>
          <w:szCs w:val="32"/>
          <w:highlight w:val="none"/>
          <w:shd w:val="clear" w:fill="FFFFFF"/>
        </w:rPr>
        <w:t>不合格团员的主要表现为：理想信念动摇；严重违反政治纪律、政治规矩和组织纪律；团的组织意识淡漠，不能履行团员义务、不执行团的决议，长期无故不参加团的组织生活和活动；有违法违纪行为；道德水平低下，行为失当，造成不良影响；在评议年度内受过留团察看处分或行政处分且无明显改进。</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第三十三条  </w:t>
      </w:r>
      <w:r>
        <w:rPr>
          <w:rFonts w:hint="eastAsia" w:ascii="方正仿宋_GBK" w:hAnsi="方正仿宋_GBK" w:eastAsia="方正仿宋_GBK" w:cs="方正仿宋_GBK"/>
          <w:i w:val="0"/>
          <w:iCs w:val="0"/>
          <w:caps w:val="0"/>
          <w:color w:val="auto"/>
          <w:spacing w:val="0"/>
          <w:sz w:val="32"/>
          <w:szCs w:val="32"/>
          <w:highlight w:val="none"/>
          <w:shd w:val="clear" w:fill="FFFFFF"/>
        </w:rPr>
        <w:t>对评议等次为优秀的团员，可在一定范围内进行公示，团组织应结合实际予以奖励。每年各级团组织评选表彰的优秀团员，一般应从上一年度评议为优秀的团员中产生。对于表现突出并积极要求入党的优秀团员，团支部应按照推荐优秀团员作入党积极分子的有关规定，及时向上级委员会推荐。</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第三十四条  </w:t>
      </w:r>
      <w:r>
        <w:rPr>
          <w:rFonts w:hint="eastAsia" w:ascii="方正仿宋_GBK" w:hAnsi="方正仿宋_GBK" w:eastAsia="方正仿宋_GBK" w:cs="方正仿宋_GBK"/>
          <w:i w:val="0"/>
          <w:iCs w:val="0"/>
          <w:caps w:val="0"/>
          <w:color w:val="auto"/>
          <w:spacing w:val="0"/>
          <w:sz w:val="32"/>
          <w:szCs w:val="32"/>
          <w:highlight w:val="none"/>
          <w:shd w:val="clear" w:fill="FFFFFF"/>
        </w:rPr>
        <w:t>对评议等次为基本合格的团员，应由支部书记进行谈话，予以教育帮助。</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第三十五条  </w:t>
      </w:r>
      <w:r>
        <w:rPr>
          <w:rFonts w:hint="eastAsia" w:ascii="方正仿宋_GBK" w:hAnsi="方正仿宋_GBK" w:eastAsia="方正仿宋_GBK" w:cs="方正仿宋_GBK"/>
          <w:i w:val="0"/>
          <w:iCs w:val="0"/>
          <w:caps w:val="0"/>
          <w:color w:val="auto"/>
          <w:spacing w:val="0"/>
          <w:sz w:val="32"/>
          <w:szCs w:val="32"/>
          <w:highlight w:val="none"/>
          <w:shd w:val="clear" w:fill="FFFFFF"/>
        </w:rPr>
        <w:t>对评议等次为不合格的团员，团组织要对其进行教育帮助，限期改正。三至六个月后，对能够接受团组织批评教育，反省自身错误，有明显改进的团员，再次进行团员评议；对不接受教育帮助或经教育帮助仍不改进的团员，应当劝其退团，劝而不退的由支部大会决定除名，并报上级委员会批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第三十六条  </w:t>
      </w:r>
      <w:r>
        <w:rPr>
          <w:rFonts w:hint="eastAsia" w:ascii="方正仿宋_GBK" w:hAnsi="方正仿宋_GBK" w:eastAsia="方正仿宋_GBK" w:cs="方正仿宋_GBK"/>
          <w:i w:val="0"/>
          <w:iCs w:val="0"/>
          <w:caps w:val="0"/>
          <w:color w:val="auto"/>
          <w:spacing w:val="0"/>
          <w:sz w:val="32"/>
          <w:szCs w:val="32"/>
          <w:highlight w:val="none"/>
          <w:shd w:val="clear" w:fill="FFFFFF"/>
        </w:rPr>
        <w:t>处置不合格团员要严肃慎重、实事求是，做到事实清楚、理由充分，处理恰当、手续完备，不定比例、不下指标。支部大会在讨论决定对不合格团员的处置时，除特殊情况外，应当吸收本人参加，认真听取本人的意见。决定后如果本人不服，可以提出申诉，有关团组织应及时处理或迅速转递，不得扣压。</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第六章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团员年度团籍注册制度</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第三十七条  </w:t>
      </w:r>
      <w:r>
        <w:rPr>
          <w:rFonts w:hint="eastAsia" w:ascii="方正仿宋_GBK" w:hAnsi="方正仿宋_GBK" w:eastAsia="方正仿宋_GBK" w:cs="方正仿宋_GBK"/>
          <w:i w:val="0"/>
          <w:iCs w:val="0"/>
          <w:caps w:val="0"/>
          <w:color w:val="auto"/>
          <w:spacing w:val="0"/>
          <w:sz w:val="32"/>
          <w:szCs w:val="32"/>
          <w:highlight w:val="none"/>
          <w:shd w:val="clear" w:fill="FFFFFF"/>
        </w:rPr>
        <w:t>团员年度团籍注册是对团员团籍的连续认定，是团组织掌握和了解团员履行义务、参加活动情况的重要途径，是团员管理的关键环节。</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第三十八条  </w:t>
      </w:r>
      <w:r>
        <w:rPr>
          <w:rFonts w:hint="eastAsia" w:ascii="方正仿宋_GBK" w:hAnsi="方正仿宋_GBK" w:eastAsia="方正仿宋_GBK" w:cs="方正仿宋_GBK"/>
          <w:i w:val="0"/>
          <w:iCs w:val="0"/>
          <w:caps w:val="0"/>
          <w:color w:val="auto"/>
          <w:spacing w:val="0"/>
          <w:sz w:val="32"/>
          <w:szCs w:val="32"/>
          <w:highlight w:val="none"/>
          <w:shd w:val="clear" w:fill="FFFFFF"/>
        </w:rPr>
        <w:t>年度团籍注册以团支部为单位进行，团支部一般应在每年</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秋季学期10</w:t>
      </w:r>
      <w:r>
        <w:rPr>
          <w:rFonts w:hint="eastAsia" w:ascii="方正仿宋_GBK" w:hAnsi="方正仿宋_GBK" w:eastAsia="方正仿宋_GBK" w:cs="方正仿宋_GBK"/>
          <w:i w:val="0"/>
          <w:iCs w:val="0"/>
          <w:caps w:val="0"/>
          <w:color w:val="auto"/>
          <w:spacing w:val="0"/>
          <w:sz w:val="32"/>
          <w:szCs w:val="32"/>
          <w:highlight w:val="none"/>
          <w:shd w:val="clear" w:fill="FFFFFF"/>
        </w:rPr>
        <w:t>月</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前</w:t>
      </w:r>
      <w:r>
        <w:rPr>
          <w:rFonts w:hint="eastAsia" w:ascii="方正仿宋_GBK" w:hAnsi="方正仿宋_GBK" w:eastAsia="方正仿宋_GBK" w:cs="方正仿宋_GBK"/>
          <w:i w:val="0"/>
          <w:iCs w:val="0"/>
          <w:caps w:val="0"/>
          <w:color w:val="auto"/>
          <w:spacing w:val="0"/>
          <w:sz w:val="32"/>
          <w:szCs w:val="32"/>
          <w:highlight w:val="none"/>
          <w:shd w:val="clear" w:fill="FFFFFF"/>
        </w:rPr>
        <w:t>，为团员办理年度团籍注册手续。超过规定注册时间一年未注册的团员证，即为失效。</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第三十九条  </w:t>
      </w:r>
      <w:r>
        <w:rPr>
          <w:rFonts w:hint="eastAsia" w:ascii="方正仿宋_GBK" w:hAnsi="方正仿宋_GBK" w:eastAsia="方正仿宋_GBK" w:cs="方正仿宋_GBK"/>
          <w:i w:val="0"/>
          <w:iCs w:val="0"/>
          <w:caps w:val="0"/>
          <w:color w:val="auto"/>
          <w:spacing w:val="0"/>
          <w:sz w:val="32"/>
          <w:szCs w:val="32"/>
          <w:highlight w:val="none"/>
          <w:shd w:val="clear" w:fill="FFFFFF"/>
        </w:rPr>
        <w:t>团员年度团籍注册应结合团员教育评议工作进行，根据团员评议结果，给予注册、暂缓注册或不予注册。</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第四十条  </w:t>
      </w:r>
      <w:r>
        <w:rPr>
          <w:rFonts w:hint="eastAsia" w:ascii="方正仿宋_GBK" w:hAnsi="方正仿宋_GBK" w:eastAsia="方正仿宋_GBK" w:cs="方正仿宋_GBK"/>
          <w:i w:val="0"/>
          <w:iCs w:val="0"/>
          <w:caps w:val="0"/>
          <w:color w:val="auto"/>
          <w:spacing w:val="0"/>
          <w:sz w:val="32"/>
          <w:szCs w:val="32"/>
          <w:highlight w:val="none"/>
          <w:shd w:val="clear" w:fill="FFFFFF"/>
        </w:rPr>
        <w:t>对团员评议等次为基本合格以上的团员，由基层团委在其团员证“团籍注册”栏内填写注册时间、评议等次，并加盖注册印章。</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第四十一条  </w:t>
      </w:r>
      <w:r>
        <w:rPr>
          <w:rFonts w:hint="eastAsia" w:ascii="方正仿宋_GBK" w:hAnsi="方正仿宋_GBK" w:eastAsia="方正仿宋_GBK" w:cs="方正仿宋_GBK"/>
          <w:i w:val="0"/>
          <w:iCs w:val="0"/>
          <w:caps w:val="0"/>
          <w:color w:val="auto"/>
          <w:spacing w:val="0"/>
          <w:sz w:val="32"/>
          <w:szCs w:val="32"/>
          <w:highlight w:val="none"/>
          <w:shd w:val="clear" w:fill="FFFFFF"/>
        </w:rPr>
        <w:t>对团员评议等次为不合格的团员，基层团委应当对其暂缓注册三至六个月。暂缓注册期后，对再次评议等次为合格的团员，及时给予注册；评议等次依然为不合格的团员，依照团员教育评议相关规定进行处理，不予注册。</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第四十二条  </w:t>
      </w:r>
      <w:r>
        <w:rPr>
          <w:rFonts w:hint="eastAsia" w:ascii="方正仿宋_GBK" w:hAnsi="方正仿宋_GBK" w:eastAsia="方正仿宋_GBK" w:cs="方正仿宋_GBK"/>
          <w:i w:val="0"/>
          <w:iCs w:val="0"/>
          <w:caps w:val="0"/>
          <w:color w:val="auto"/>
          <w:spacing w:val="0"/>
          <w:sz w:val="32"/>
          <w:szCs w:val="32"/>
          <w:highlight w:val="none"/>
          <w:shd w:val="clear" w:fill="FFFFFF"/>
        </w:rPr>
        <w:t>受团内警告、严重警告、撤销团内职务处分的团员，如能正常参加团的活动，按时交纳团费，一般可予以注册；受留团察看处分的团员，留团察看期间，其团员证由团组织收回，留团察看期满后，恢复了团员权利的，将团员证发还本人并及时注册；受开除团籍处分的团员，不再为其注册，其团员证由团组织收回，并将有关情况书面报上级委员会备案。</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第四十三条  </w:t>
      </w:r>
      <w:r>
        <w:rPr>
          <w:rFonts w:hint="eastAsia" w:ascii="方正仿宋_GBK" w:hAnsi="方正仿宋_GBK" w:eastAsia="方正仿宋_GBK" w:cs="方正仿宋_GBK"/>
          <w:i w:val="0"/>
          <w:iCs w:val="0"/>
          <w:caps w:val="0"/>
          <w:color w:val="auto"/>
          <w:spacing w:val="0"/>
          <w:sz w:val="32"/>
          <w:szCs w:val="32"/>
          <w:highlight w:val="none"/>
          <w:shd w:val="clear" w:fill="FFFFFF"/>
        </w:rPr>
        <w:t>基层团组织要认真做好流动团员团籍管理工作。流动团员外出时间不满六个月的，应在原团组织参加团员教育评议，进行团籍注册；团员外出地或工作单位相对固定，外出时间六个月以上的，一般应将组织关系转入外出地或工作单位相应的团组织，并参加教育评议，进行团籍注册。</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第四十四条  </w:t>
      </w:r>
      <w:r>
        <w:rPr>
          <w:rFonts w:hint="eastAsia" w:ascii="方正仿宋_GBK" w:hAnsi="方正仿宋_GBK" w:eastAsia="方正仿宋_GBK" w:cs="方正仿宋_GBK"/>
          <w:i w:val="0"/>
          <w:iCs w:val="0"/>
          <w:caps w:val="0"/>
          <w:color w:val="auto"/>
          <w:spacing w:val="0"/>
          <w:sz w:val="32"/>
          <w:szCs w:val="32"/>
          <w:highlight w:val="none"/>
          <w:shd w:val="clear" w:fill="FFFFFF"/>
        </w:rPr>
        <w:t>团员年满28周岁，没有担任团内职务，应当办理离团手续。团员加入共产党以后仍保留团籍，年满28周岁，没有在团内担任职务，不再保留团籍。办理超龄离团手续，须在团员证上“离团手续”栏内注明该同志的离团时间，并加盖团组织公章，转由其本人保存，作为永久性纪念。</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第四十五条  </w:t>
      </w:r>
      <w:r>
        <w:rPr>
          <w:rFonts w:hint="eastAsia" w:ascii="方正仿宋_GBK" w:hAnsi="方正仿宋_GBK" w:eastAsia="方正仿宋_GBK" w:cs="方正仿宋_GBK"/>
          <w:i w:val="0"/>
          <w:iCs w:val="0"/>
          <w:caps w:val="0"/>
          <w:color w:val="auto"/>
          <w:spacing w:val="0"/>
          <w:sz w:val="32"/>
          <w:szCs w:val="32"/>
          <w:highlight w:val="none"/>
          <w:shd w:val="clear" w:fill="FFFFFF"/>
        </w:rPr>
        <w:t>年度团籍注册后，团支部要根据注册情况修订团员花名册，并及时将注册情况向上级委员会作出书面报告。   </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第七章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团课</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第四十六条  </w:t>
      </w:r>
      <w:r>
        <w:rPr>
          <w:rFonts w:hint="eastAsia" w:ascii="方正仿宋_GBK" w:hAnsi="方正仿宋_GBK" w:eastAsia="方正仿宋_GBK" w:cs="方正仿宋_GBK"/>
          <w:i w:val="0"/>
          <w:iCs w:val="0"/>
          <w:caps w:val="0"/>
          <w:color w:val="auto"/>
          <w:spacing w:val="0"/>
          <w:sz w:val="32"/>
          <w:szCs w:val="32"/>
          <w:highlight w:val="none"/>
          <w:shd w:val="clear" w:fill="FFFFFF"/>
        </w:rPr>
        <w:t>团课是团组织对团员进行系统教育，提高团员思想理论水平和政治素质的重要途径，是教育引导团员在本职岗位和社会生活中发挥模范带头作用的重要载体，是团组织的一项经常性重要工作。</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第四十七条  </w:t>
      </w:r>
      <w:r>
        <w:rPr>
          <w:rFonts w:hint="eastAsia" w:ascii="方正仿宋_GBK" w:hAnsi="方正仿宋_GBK" w:eastAsia="方正仿宋_GBK" w:cs="方正仿宋_GBK"/>
          <w:i w:val="0"/>
          <w:iCs w:val="0"/>
          <w:caps w:val="0"/>
          <w:color w:val="auto"/>
          <w:spacing w:val="0"/>
          <w:sz w:val="32"/>
          <w:szCs w:val="32"/>
          <w:highlight w:val="none"/>
          <w:shd w:val="clear" w:fill="FFFFFF"/>
        </w:rPr>
        <w:t>坚持团课制度，要突出党性立场，突出党性教育，体现团的特点，注意运用马克思主义的立场、观点和方法，帮助团员解决思想问题，特别是理想、信念、宗旨、作风等方面的问题。要注意开展批评和自我批评，引导团员坚持真理，修正错误，互相帮助，共同提高。</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第四十八条  </w:t>
      </w:r>
      <w:r>
        <w:rPr>
          <w:rFonts w:hint="eastAsia" w:ascii="方正仿宋_GBK" w:hAnsi="方正仿宋_GBK" w:eastAsia="方正仿宋_GBK" w:cs="方正仿宋_GBK"/>
          <w:i w:val="0"/>
          <w:iCs w:val="0"/>
          <w:caps w:val="0"/>
          <w:color w:val="auto"/>
          <w:spacing w:val="0"/>
          <w:sz w:val="32"/>
          <w:szCs w:val="32"/>
          <w:highlight w:val="none"/>
          <w:shd w:val="clear" w:fill="FFFFFF"/>
        </w:rPr>
        <w:t>团课的主要内容为：学习马克思列宁主义、毛泽东思想、中国特色社会主义理论体系，学习习近平总书记系列重要讲话精神；开展中国特色社会主义共同理想和共产主义远大理想教育，加强社会主义核心价值观教育和“中国梦”教育；学习党的基础知识、党的光荣历史和传统，宣传党的路线、方针、政策，学习团的基本知识、重要会议精神和重点工作部署；学习中华优秀传统文化、革命文化和社会主义先进文化；广泛开展近代史、现代史教育和国情教育，开展好民主和法制教育。</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第四十九条  </w:t>
      </w:r>
      <w:r>
        <w:rPr>
          <w:rFonts w:hint="eastAsia" w:ascii="方正仿宋_GBK" w:hAnsi="方正仿宋_GBK" w:eastAsia="方正仿宋_GBK" w:cs="方正仿宋_GBK"/>
          <w:i w:val="0"/>
          <w:iCs w:val="0"/>
          <w:caps w:val="0"/>
          <w:color w:val="auto"/>
          <w:spacing w:val="0"/>
          <w:sz w:val="32"/>
          <w:szCs w:val="32"/>
          <w:highlight w:val="none"/>
          <w:shd w:val="clear" w:fill="FFFFFF"/>
        </w:rPr>
        <w:t>团课教育分为团前教育和团员教育两个阶段。团前教育以增强入团积极分子和青年对党、团组织的理解和认同，培养团员意识为主；团员教育以提高团员思想政治素质、强化团员先进性，促进团员在本职岗位和社会生活中发挥模范带头作用为主。</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第五十条  </w:t>
      </w:r>
      <w:r>
        <w:rPr>
          <w:rFonts w:hint="eastAsia" w:ascii="方正仿宋_GBK" w:hAnsi="方正仿宋_GBK" w:eastAsia="方正仿宋_GBK" w:cs="方正仿宋_GBK"/>
          <w:i w:val="0"/>
          <w:iCs w:val="0"/>
          <w:caps w:val="0"/>
          <w:color w:val="auto"/>
          <w:spacing w:val="0"/>
          <w:sz w:val="32"/>
          <w:szCs w:val="32"/>
          <w:highlight w:val="none"/>
          <w:shd w:val="clear" w:fill="FFFFFF"/>
        </w:rPr>
        <w:t>基层团组织开设团课一般由</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highlight w:val="none"/>
          <w:shd w:val="clear" w:fill="FFFFFF"/>
        </w:rPr>
        <w:t>团委或</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二级学院</w:t>
      </w:r>
      <w:r>
        <w:rPr>
          <w:rFonts w:hint="eastAsia" w:ascii="方正仿宋_GBK" w:hAnsi="方正仿宋_GBK" w:eastAsia="方正仿宋_GBK" w:cs="方正仿宋_GBK"/>
          <w:i w:val="0"/>
          <w:iCs w:val="0"/>
          <w:caps w:val="0"/>
          <w:color w:val="auto"/>
          <w:spacing w:val="0"/>
          <w:sz w:val="32"/>
          <w:szCs w:val="32"/>
          <w:highlight w:val="none"/>
          <w:shd w:val="clear" w:fill="FFFFFF"/>
        </w:rPr>
        <w:t>团总支、</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班级</w:t>
      </w:r>
      <w:r>
        <w:rPr>
          <w:rFonts w:hint="eastAsia" w:ascii="方正仿宋_GBK" w:hAnsi="方正仿宋_GBK" w:eastAsia="方正仿宋_GBK" w:cs="方正仿宋_GBK"/>
          <w:i w:val="0"/>
          <w:iCs w:val="0"/>
          <w:caps w:val="0"/>
          <w:color w:val="auto"/>
          <w:spacing w:val="0"/>
          <w:sz w:val="32"/>
          <w:szCs w:val="32"/>
          <w:highlight w:val="none"/>
          <w:shd w:val="clear" w:fill="FFFFFF"/>
        </w:rPr>
        <w:t>团支部委员会负责组织，也可采取部门、单位联合举办团课的形式。基层团组织每个季度应安排上一次团课，入团积极分子被确定为发展对象之前参加集中团课学习应不少于8学时。</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第五十一条  </w:t>
      </w:r>
      <w:r>
        <w:rPr>
          <w:rFonts w:hint="eastAsia" w:ascii="方正仿宋_GBK" w:hAnsi="方正仿宋_GBK" w:eastAsia="方正仿宋_GBK" w:cs="方正仿宋_GBK"/>
          <w:i w:val="0"/>
          <w:iCs w:val="0"/>
          <w:caps w:val="0"/>
          <w:color w:val="auto"/>
          <w:spacing w:val="0"/>
          <w:sz w:val="32"/>
          <w:szCs w:val="32"/>
          <w:highlight w:val="none"/>
          <w:shd w:val="clear" w:fill="FFFFFF"/>
        </w:rPr>
        <w:t>参加团课学习的人员范围由开设团课的基层团组织确定，除本组织的团员和入团积极分子外，可扩大至团组织所在单位中积极向团组织靠拢的28周岁以下的优秀青年</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教师</w:t>
      </w:r>
      <w:r>
        <w:rPr>
          <w:rFonts w:hint="eastAsia" w:ascii="方正仿宋_GBK" w:hAnsi="方正仿宋_GBK" w:eastAsia="方正仿宋_GBK" w:cs="方正仿宋_GBK"/>
          <w:i w:val="0"/>
          <w:iCs w:val="0"/>
          <w:caps w:val="0"/>
          <w:color w:val="auto"/>
          <w:spacing w:val="0"/>
          <w:sz w:val="32"/>
          <w:szCs w:val="32"/>
          <w:highlight w:val="none"/>
          <w:shd w:val="clear" w:fill="FFFFFF"/>
        </w:rPr>
        <w:t>。</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第五十二条  </w:t>
      </w:r>
      <w:r>
        <w:rPr>
          <w:rFonts w:hint="eastAsia" w:ascii="方正仿宋_GBK" w:hAnsi="方正仿宋_GBK" w:eastAsia="方正仿宋_GBK" w:cs="方正仿宋_GBK"/>
          <w:i w:val="0"/>
          <w:iCs w:val="0"/>
          <w:caps w:val="0"/>
          <w:color w:val="auto"/>
          <w:spacing w:val="0"/>
          <w:sz w:val="32"/>
          <w:szCs w:val="32"/>
          <w:highlight w:val="none"/>
          <w:shd w:val="clear" w:fill="FFFFFF"/>
        </w:rPr>
        <w:t>团课讲授者可由开设团课的基层团组织的团干部担任，也可邀请党政领导、专家学者担任，还可适当安排先进人物开展座谈交流。</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highlight w:val="none"/>
          <w:shd w:val="clear" w:fill="FFFFFF"/>
        </w:rPr>
        <w:t>团委主要负责人每年至少要为团员青年讲授一次团课。授课者要严格遵守党的政治纪律和组织纪律，以自己的模范行为和人格魅力去影响和教育团员青年。</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第五十三条  </w:t>
      </w:r>
      <w:r>
        <w:rPr>
          <w:rFonts w:hint="eastAsia" w:ascii="方正仿宋_GBK" w:hAnsi="方正仿宋_GBK" w:eastAsia="方正仿宋_GBK" w:cs="方正仿宋_GBK"/>
          <w:i w:val="0"/>
          <w:iCs w:val="0"/>
          <w:caps w:val="0"/>
          <w:color w:val="auto"/>
          <w:spacing w:val="0"/>
          <w:sz w:val="32"/>
          <w:szCs w:val="32"/>
          <w:highlight w:val="none"/>
          <w:shd w:val="clear" w:fill="FFFFFF"/>
        </w:rPr>
        <w:t>基层团组织开设团课可采用相对灵活的方式，可结合集体学习、专题研讨、团员论坛、集中收看重要会议活动直播和视频资料等方式开展，也可结合主题团日活动组织团员在实践中学习。</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lang w:eastAsia="zh-CN"/>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第五十四条  </w:t>
      </w:r>
      <w:r>
        <w:rPr>
          <w:rFonts w:hint="eastAsia" w:ascii="方正仿宋_GBK" w:hAnsi="方正仿宋_GBK" w:eastAsia="方正仿宋_GBK" w:cs="方正仿宋_GBK"/>
          <w:i w:val="0"/>
          <w:iCs w:val="0"/>
          <w:caps w:val="0"/>
          <w:color w:val="auto"/>
          <w:spacing w:val="0"/>
          <w:sz w:val="32"/>
          <w:szCs w:val="32"/>
          <w:highlight w:val="none"/>
          <w:shd w:val="clear" w:fill="FFFFFF"/>
        </w:rPr>
        <w:t>团课结束后应以团支部或团小组为单位组织团员进行讨论交流，巩固和深化团课学习效果，并及时向开设团课的团组织汇报讨论情况</w:t>
      </w:r>
      <w:r>
        <w:rPr>
          <w:rFonts w:hint="eastAsia" w:ascii="方正仿宋_GBK" w:hAnsi="方正仿宋_GBK" w:eastAsia="方正仿宋_GBK" w:cs="方正仿宋_GBK"/>
          <w:i w:val="0"/>
          <w:iCs w:val="0"/>
          <w:caps w:val="0"/>
          <w:color w:val="auto"/>
          <w:spacing w:val="0"/>
          <w:sz w:val="32"/>
          <w:szCs w:val="32"/>
          <w:highlight w:val="none"/>
          <w:shd w:val="clear" w:fill="FFFFFF"/>
          <w:lang w:eastAsia="zh-CN"/>
        </w:rPr>
        <w:t>。</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lang w:eastAsia="zh-CN"/>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第八章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组织实施</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第五十五条  </w:t>
      </w:r>
      <w:r>
        <w:rPr>
          <w:rFonts w:hint="eastAsia" w:ascii="方正仿宋_GBK" w:hAnsi="方正仿宋_GBK" w:eastAsia="方正仿宋_GBK" w:cs="方正仿宋_GBK"/>
          <w:i w:val="0"/>
          <w:iCs w:val="0"/>
          <w:caps w:val="0"/>
          <w:color w:val="auto"/>
          <w:spacing w:val="0"/>
          <w:sz w:val="32"/>
          <w:szCs w:val="32"/>
          <w:highlight w:val="none"/>
          <w:shd w:val="clear" w:fill="FFFFFF"/>
        </w:rPr>
        <w:t>落实“三会两制一课”，是严肃团内政治生活的一项基础性工作。</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学校各级团</w:t>
      </w:r>
      <w:r>
        <w:rPr>
          <w:rFonts w:hint="eastAsia" w:ascii="方正仿宋_GBK" w:hAnsi="方正仿宋_GBK" w:eastAsia="方正仿宋_GBK" w:cs="方正仿宋_GBK"/>
          <w:i w:val="0"/>
          <w:iCs w:val="0"/>
          <w:caps w:val="0"/>
          <w:color w:val="auto"/>
          <w:spacing w:val="0"/>
          <w:sz w:val="32"/>
          <w:szCs w:val="32"/>
          <w:highlight w:val="none"/>
          <w:shd w:val="clear" w:fill="FFFFFF"/>
        </w:rPr>
        <w:t>的领导机关负有重要领导责任，要切实抓好工作落实和责任落实。</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二级学院团总支</w:t>
      </w:r>
      <w:r>
        <w:rPr>
          <w:rFonts w:hint="eastAsia" w:ascii="方正仿宋_GBK" w:hAnsi="方正仿宋_GBK" w:eastAsia="方正仿宋_GBK" w:cs="方正仿宋_GBK"/>
          <w:i w:val="0"/>
          <w:iCs w:val="0"/>
          <w:caps w:val="0"/>
          <w:color w:val="auto"/>
          <w:spacing w:val="0"/>
          <w:sz w:val="32"/>
          <w:szCs w:val="32"/>
          <w:highlight w:val="none"/>
          <w:shd w:val="clear" w:fill="FFFFFF"/>
        </w:rPr>
        <w:t>每年要对所属团组织落实“三会两制一课”情况进行一次检查，检查结果在一定范围内进行通报</w:t>
      </w:r>
      <w:r>
        <w:rPr>
          <w:rFonts w:hint="eastAsia" w:ascii="方正仿宋_GBK" w:hAnsi="方正仿宋_GBK" w:eastAsia="方正仿宋_GBK" w:cs="方正仿宋_GBK"/>
          <w:i w:val="0"/>
          <w:iCs w:val="0"/>
          <w:caps w:val="0"/>
          <w:color w:val="auto"/>
          <w:spacing w:val="0"/>
          <w:sz w:val="32"/>
          <w:szCs w:val="32"/>
          <w:highlight w:val="none"/>
          <w:shd w:val="clear" w:fill="FFFFFF"/>
          <w:lang w:eastAsia="zh-CN"/>
        </w:rPr>
        <w:t>，</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同时向校团委报告</w:t>
      </w:r>
      <w:r>
        <w:rPr>
          <w:rFonts w:hint="eastAsia" w:ascii="方正仿宋_GBK" w:hAnsi="方正仿宋_GBK" w:eastAsia="方正仿宋_GBK" w:cs="方正仿宋_GBK"/>
          <w:i w:val="0"/>
          <w:iCs w:val="0"/>
          <w:caps w:val="0"/>
          <w:color w:val="auto"/>
          <w:spacing w:val="0"/>
          <w:sz w:val="32"/>
          <w:szCs w:val="32"/>
          <w:highlight w:val="none"/>
          <w:shd w:val="clear" w:fill="FFFFFF"/>
        </w:rPr>
        <w:t>。</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highlight w:val="none"/>
          <w:shd w:val="clear" w:fill="FFFFFF"/>
        </w:rPr>
        <w:t>团委主要负责人是推动</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学校</w:t>
      </w:r>
      <w:r>
        <w:rPr>
          <w:rFonts w:hint="eastAsia" w:ascii="方正仿宋_GBK" w:hAnsi="方正仿宋_GBK" w:eastAsia="方正仿宋_GBK" w:cs="方正仿宋_GBK"/>
          <w:i w:val="0"/>
          <w:iCs w:val="0"/>
          <w:caps w:val="0"/>
          <w:color w:val="auto"/>
          <w:spacing w:val="0"/>
          <w:sz w:val="32"/>
          <w:szCs w:val="32"/>
          <w:highlight w:val="none"/>
          <w:shd w:val="clear" w:fill="FFFFFF"/>
        </w:rPr>
        <w:t>“三会两制一课”落实的第一责任人</w:t>
      </w:r>
      <w:r>
        <w:rPr>
          <w:rFonts w:hint="eastAsia" w:ascii="方正仿宋_GBK" w:hAnsi="方正仿宋_GBK" w:eastAsia="方正仿宋_GBK" w:cs="方正仿宋_GBK"/>
          <w:i w:val="0"/>
          <w:iCs w:val="0"/>
          <w:caps w:val="0"/>
          <w:color w:val="auto"/>
          <w:spacing w:val="0"/>
          <w:sz w:val="32"/>
          <w:szCs w:val="32"/>
          <w:highlight w:val="none"/>
          <w:shd w:val="clear" w:fill="FFFFFF"/>
          <w:lang w:eastAsia="zh-CN"/>
        </w:rPr>
        <w:t>，</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二级学院团总支</w:t>
      </w:r>
      <w:r>
        <w:rPr>
          <w:rFonts w:hint="eastAsia" w:ascii="方正仿宋_GBK" w:hAnsi="方正仿宋_GBK" w:eastAsia="方正仿宋_GBK" w:cs="方正仿宋_GBK"/>
          <w:i w:val="0"/>
          <w:iCs w:val="0"/>
          <w:caps w:val="0"/>
          <w:color w:val="auto"/>
          <w:spacing w:val="0"/>
          <w:sz w:val="32"/>
          <w:szCs w:val="32"/>
          <w:highlight w:val="none"/>
          <w:shd w:val="clear" w:fill="FFFFFF"/>
        </w:rPr>
        <w:t>主要负责人是推动</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学院</w:t>
      </w:r>
      <w:r>
        <w:rPr>
          <w:rFonts w:hint="eastAsia" w:ascii="方正仿宋_GBK" w:hAnsi="方正仿宋_GBK" w:eastAsia="方正仿宋_GBK" w:cs="方正仿宋_GBK"/>
          <w:i w:val="0"/>
          <w:iCs w:val="0"/>
          <w:caps w:val="0"/>
          <w:color w:val="auto"/>
          <w:spacing w:val="0"/>
          <w:sz w:val="32"/>
          <w:szCs w:val="32"/>
          <w:highlight w:val="none"/>
          <w:shd w:val="clear" w:fill="FFFFFF"/>
        </w:rPr>
        <w:t>“三会两制一课”落实的第一责任人。团支部要将“三会两制一课”作为基本工作职责，负责具体组织实施。</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第五十六条  </w:t>
      </w:r>
      <w:r>
        <w:rPr>
          <w:rFonts w:hint="eastAsia" w:ascii="方正仿宋_GBK" w:hAnsi="方正仿宋_GBK" w:eastAsia="方正仿宋_GBK" w:cs="方正仿宋_GBK"/>
          <w:i w:val="0"/>
          <w:iCs w:val="0"/>
          <w:caps w:val="0"/>
          <w:color w:val="auto"/>
          <w:spacing w:val="0"/>
          <w:sz w:val="32"/>
          <w:szCs w:val="32"/>
          <w:highlight w:val="none"/>
          <w:shd w:val="clear" w:fill="FFFFFF"/>
        </w:rPr>
        <w:t>全体团员要牢记团员身份、增强团员意识，积极参加团的组织生活。团员没有正当理由，连续六个月不参加团的组织生活，严格按照有关规定处理。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第五十七条  </w:t>
      </w:r>
      <w:r>
        <w:rPr>
          <w:rFonts w:hint="eastAsia" w:ascii="方正仿宋_GBK" w:hAnsi="方正仿宋_GBK" w:eastAsia="方正仿宋_GBK" w:cs="方正仿宋_GBK"/>
          <w:i w:val="0"/>
          <w:iCs w:val="0"/>
          <w:caps w:val="0"/>
          <w:color w:val="auto"/>
          <w:spacing w:val="0"/>
          <w:sz w:val="32"/>
          <w:szCs w:val="32"/>
          <w:highlight w:val="none"/>
          <w:shd w:val="clear" w:fill="FFFFFF"/>
        </w:rPr>
        <w:t>没有选举及表决任务的支部大会、支部委员会、团小组会，以及团员教育阶段的团课，可探索适当采用网络新媒体形式开展。要结合工作实际，注重团员参与，突出工作实效，避免形式主义。</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b/>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i w:val="0"/>
          <w:iCs w:val="0"/>
          <w:caps w:val="0"/>
          <w:color w:val="auto"/>
          <w:spacing w:val="0"/>
          <w:sz w:val="32"/>
          <w:szCs w:val="32"/>
          <w:highlight w:val="none"/>
          <w:shd w:val="clear" w:fill="FFFFFF"/>
          <w:lang w:val="en-US" w:eastAsia="zh-CN"/>
        </w:rPr>
        <w:t xml:space="preserve">第九章  </w:t>
      </w:r>
      <w:r>
        <w:rPr>
          <w:rStyle w:val="24"/>
          <w:rFonts w:hint="eastAsia" w:ascii="方正黑体_GBK" w:hAnsi="方正黑体_GBK" w:eastAsia="方正黑体_GBK" w:cs="方正黑体_GBK"/>
          <w:b/>
          <w:bCs/>
          <w:i w:val="0"/>
          <w:iCs w:val="0"/>
          <w:caps w:val="0"/>
          <w:color w:val="auto"/>
          <w:spacing w:val="0"/>
          <w:sz w:val="32"/>
          <w:szCs w:val="32"/>
          <w:highlight w:val="none"/>
          <w:shd w:val="clear" w:fill="FFFFFF"/>
        </w:rPr>
        <w:t>附则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第五十八条</w:t>
      </w:r>
      <w:r>
        <w:rPr>
          <w:rFonts w:hint="eastAsia" w:ascii="方正仿宋_GBK" w:hAnsi="方正仿宋_GBK" w:eastAsia="方正仿宋_GBK" w:cs="方正仿宋_GBK"/>
          <w:i w:val="0"/>
          <w:iCs w:val="0"/>
          <w:caps w:val="0"/>
          <w:color w:val="auto"/>
          <w:spacing w:val="0"/>
          <w:sz w:val="32"/>
          <w:szCs w:val="32"/>
          <w:highlight w:val="none"/>
          <w:shd w:val="clear" w:fill="FFFFFF"/>
        </w:rPr>
        <w:t>　本细则由</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共青团云南城市建设职业学院委员会</w:t>
      </w:r>
      <w:r>
        <w:rPr>
          <w:rFonts w:hint="eastAsia" w:ascii="方正仿宋_GBK" w:hAnsi="方正仿宋_GBK" w:eastAsia="方正仿宋_GBK" w:cs="方正仿宋_GBK"/>
          <w:i w:val="0"/>
          <w:iCs w:val="0"/>
          <w:caps w:val="0"/>
          <w:color w:val="auto"/>
          <w:spacing w:val="0"/>
          <w:sz w:val="32"/>
          <w:szCs w:val="32"/>
          <w:highlight w:val="none"/>
          <w:shd w:val="clear" w:fill="FFFFFF"/>
        </w:rPr>
        <w:t>负责解释。</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第五十九条  </w:t>
      </w:r>
      <w:r>
        <w:rPr>
          <w:rFonts w:hint="eastAsia" w:ascii="方正仿宋_GBK" w:hAnsi="方正仿宋_GBK" w:eastAsia="方正仿宋_GBK" w:cs="方正仿宋_GBK"/>
          <w:i w:val="0"/>
          <w:iCs w:val="0"/>
          <w:caps w:val="0"/>
          <w:color w:val="auto"/>
          <w:spacing w:val="0"/>
          <w:sz w:val="32"/>
          <w:szCs w:val="32"/>
          <w:highlight w:val="none"/>
          <w:shd w:val="clear" w:fill="FFFFFF"/>
        </w:rPr>
        <w:t>本细则自</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2022年8月1日</w:t>
      </w:r>
      <w:r>
        <w:rPr>
          <w:rFonts w:hint="eastAsia" w:ascii="方正仿宋_GBK" w:hAnsi="方正仿宋_GBK" w:eastAsia="方正仿宋_GBK" w:cs="方正仿宋_GBK"/>
          <w:i w:val="0"/>
          <w:iCs w:val="0"/>
          <w:caps w:val="0"/>
          <w:color w:val="auto"/>
          <w:spacing w:val="0"/>
          <w:sz w:val="32"/>
          <w:szCs w:val="32"/>
          <w:highlight w:val="none"/>
          <w:shd w:val="clear" w:fill="FFFFFF"/>
        </w:rPr>
        <w:t>起施行。</w:t>
      </w:r>
    </w:p>
    <w:p>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bCs/>
          <w:color w:val="auto"/>
          <w:sz w:val="36"/>
          <w:szCs w:val="36"/>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bCs/>
          <w:color w:val="auto"/>
          <w:sz w:val="36"/>
          <w:szCs w:val="36"/>
          <w:highlight w:val="none"/>
          <w:lang w:val="en-US" w:eastAsia="zh-CN"/>
        </w:rPr>
      </w:pPr>
      <w:bookmarkStart w:id="368" w:name="_Toc8652"/>
      <w:r>
        <w:rPr>
          <w:rFonts w:hint="eastAsia" w:ascii="方正小标宋_GBK" w:hAnsi="方正小标宋_GBK" w:eastAsia="方正小标宋_GBK" w:cs="方正小标宋_GBK"/>
          <w:b/>
          <w:bCs/>
          <w:color w:val="auto"/>
          <w:sz w:val="36"/>
          <w:szCs w:val="36"/>
          <w:highlight w:val="none"/>
          <w:lang w:val="en-US" w:eastAsia="zh-CN"/>
        </w:rPr>
        <w:t>云南城市建设职业学院发展团员工作细则（试行）</w:t>
      </w:r>
      <w:bookmarkEnd w:id="368"/>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第一章  总则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xml:space="preserve">  为了规范发展团员工作，保证新发展的团员质量，提升团员队伍先进性，依据《中国共产主义青年团章程》和《中国共产主义青年团发展团员工作细则》有关规定，结合学校实际，制定本细则。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发展团员工作应当按照坚持标准、控制规模、提高质量、发挥作用的总要求，有领导、有计划地进行，坚持入团自愿原则，成熟一个发展一个，防止突击发展，反对关门主义。校团委每年负责向共青团云南省委进行发展名额的申报及校内名额分配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color w:val="auto"/>
          <w:highlight w:val="none"/>
          <w:lang w:val="en-US" w:eastAsia="zh-CN"/>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团的基层组织应当做好经常性发展团员工作，着力把各方面先进青年吸收进团组织，保持团员队伍朝气蓬勃的青年特点，使共青团真正成为团结教育青年的坚强核心。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Fonts w:hint="eastAsia"/>
          <w:b/>
          <w:bCs w:val="0"/>
          <w:color w:val="auto"/>
          <w:highlight w:val="none"/>
          <w:lang w:val="en-US" w:eastAsia="zh-CN"/>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第二章  入团积极分子的确定和培养教育</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第四条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xml:space="preserve">  团组织应当加强对青年的教育和引导，面向青年开展团的各项活动，宣传团的基本知识，努力为青年健康成长提供服务，提高青年对团的认识，激发青年的进步热情，建立起一支数量众多的入团积极分子队伍。</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第五条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团组织应当主动了解青年，及时发现那些积极要求进步、各方面表现好的青年，鼓励他们申请入团。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第六条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年龄在十四周岁以上，二十八周岁以下的中国青年，承认团的章程，愿意参加团的一个组织并在其中积极工作、执行团的决议和按期交纳团费的，可以申请加入中国共产主义青年团。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第七条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入团申请青年学生应当向学习所在班级团支部提出入团申请，入团申请青年教师应当向校团委教师团支部提出入团申请。</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第八条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组织收到入团申请书后，应当在一个月内派人同入团申请人谈话，了解基本情况。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第九条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在入团申请人中确定入团积极分子，应采取团员推荐等方式，由支部委员会（不设支部委员会的由支部大会，下同）研究决定，并报二级学院团总支备案。</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团组织应当指定一至两名团员作入团积极分子的培养联系人。培养联系人的主要任务是：</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（一）向入团积极分子介绍团的基本知识；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（二）了解入团积极分子的思想觉悟、道德品质和现实表现等，做好培养教育工作，引导其端正入团动机；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（三）及时向团支部汇报入团积极分子情况；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（四）向团支部提出能否将入团积极分子列为发展对象的意见。</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第十一条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团组织应当高度重视对入团积极分子的教育、培养和考察，形成集中教育和日常培养考察相结合的工作机制。对入团积极分子须进行三个月以上的培养教育。未经团组织培养考察的青年，一般不得发展入团。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第十二条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入团积极分子在发展入团之前要参加不少于8学时的团课学习。团组织应当对入团积极分子开展党的理论教育、中国特色社会主义和中国梦教育、社会主义核心价值观教育，开展党史、国史和社会主义发展史教育，开展团章教育和团的优良传统教育，教唱团歌，帮助他们提高思想觉悟，端正入团动机，确立为共产主义事业而奋斗的信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第十三条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团组织应当吸收入团积极分子参加团的有关活动，给他们分配适当的社会实践，鼓励他们努力学习、立足本职、争创一流，使他们在实践中受教育、起作用、长才干。</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应当鼓励入团积极分子成为注册志愿者，积极参与志愿服务。将入团积极分子是否是注册志愿者、是否参加过一定时间的志愿服务活动作为入团的重要考察内容。入团时，积极推动新团员成为注册志愿者。</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第十四条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支部应及时对入团积极分子进行考察，在经过规定时间的培养教育后，团支部委员会应听取联系人、团员和群众的意见，从思想觉悟和政治素质、在本职岗位上一贯表现和道德品质等方面对他们进行考察，并为已具备团员条件的积极分子办理入团手续。</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入团积极分子工作、学习所在单位发生变动，应当及时报告原单位团组织。原单位团组织应当及时将入团申请书、参加团的活动记录、培养教育情况、志愿服务记录等有关材料转交现单位（居住地）团组织。现单位（居住地）团组织应当对有关材料进行认真审查，并接续做好培养教育工作。培养教育时间可连续计算。</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第三章  新团员的接收</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outlineLvl w:val="1"/>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第十五条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xml:space="preserve">  接收新团员应当严格按照团章规定的标准和程序办理。发展青年入团，要坚持把政治标准放在首位，着重看其是否在学习、生产、工作和社会活动中发挥模范带头作用。</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第十六条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申请入团的青年要有本支部的两名团员作介绍人。入团介绍人一般由培养联系人担任，也可以由申请入团的青年自己约请，或由团组织指定。</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受留团察看处分尚未恢复团员权利或尚在缓期注册期间的团员，不能作青年入团介绍人。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第十七条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入团介绍人的主要任务是：　</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（一）向被介绍人解释团的章程，说明团员的条件、义务和权利；</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（二）认真了解被介绍人的入团动机、政治觉悟、道德品质、工作学习经历、现实表现等情况，如实向团组织汇报；</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（三）指导被介绍人填写《入团志愿书》，并认真填写自己的意见；</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（四）向支部大会负责地介绍被介绍人的情况。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第十八条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团支部委员会应在入团积极分子中讨论确定发展对象，报具有审批权限的基层团委预审。</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二级学院团总支对发展对象的条件、培养教育情况等进行预审，并将预审结果报校团委审核后，由二级学院团总支将预审结果以书面形式通知团支部委员会，并向预审合格的发展对象发放《入团志愿书》。</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发展对象要认真如实填写《入团志愿书》。《入团志愿书》经支委会检查合格后，再提交支部大会讨论。　</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第十九条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xml:space="preserve">  青年入团必须经团支部大会讨论通过。讨论青年入团的支部大会，有表决权的到会人数必须超过应到会有表决权人数的半数。</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支部大会讨论接收青年入团的主要程序是：　</w:t>
      </w:r>
    </w:p>
    <w:p>
      <w:pPr>
        <w:pStyle w:val="3"/>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申请人汇报个人简历、家庭情况和对团的认识、入团动机以及需向团组织说明的问题；</w:t>
      </w:r>
    </w:p>
    <w:p>
      <w:pPr>
        <w:pStyle w:val="3"/>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入团介绍人介绍申请人有关情况，并对其能否入团表明意见；</w:t>
      </w:r>
    </w:p>
    <w:p>
      <w:pPr>
        <w:pStyle w:val="3"/>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支部委员会报告对申请人的审议意见；　</w:t>
      </w:r>
    </w:p>
    <w:p>
      <w:pPr>
        <w:pStyle w:val="3"/>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与会团员对申请人能否入团进行充分讨论，并采取无记名投票方式进行表决。赞成人数超过应到会有表决权团员的半数，才能通过接收新团员的决议。因故不能到会的有表决权的团员，在支部大会召开前正式向团支部提出书面意见的，应当统计在票数内。</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支部大会讨论两名以上的青年入团时，必须逐个讨论和表决。</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第二十一条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团支部应当及时将支部大会决议写入《入团志愿书》，连同本人入团申请书，一并报上级团组织审批。</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支部大会决议主要包括：申请人的主要表现；应到会和实际到会有表决权的团员人数；表决结果；通过决议的日期；支部书记签名。</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第二十二条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接收新团员由校团委审批。二级学院团总支不能审批接收新团员，但应当对新团员情况进行审议。</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第二十三条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校团委审批接收新团员必须召开委员会，集体审议，表决决定。审议的主要内容是：申请人是否具备团员条件，入团手续是否完备等。审批意见写入《入团志愿书》，并转二级学院团总支通知报批的团支部。</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第二十四条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团支部应通过支部书记或委员谈话的郑重方式及时将上级团组织批准青年入团的决定通知本人并在团员大会上宣布。对于未被批准入团的青年，团支部也应将情况及时通知本人，帮助其认识自己的不足，鼓励其继续努力。</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被批准入团的青年，从支部大会通过之日起取得团籍、计算团龄，并交纳团费。</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第二十五条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校团委对团支部上报的接收新团员的决议，必须在三个月内审批，并报团省委组织部门。凡无故超过规定时间而未予审批的，应追究有关人员的责任。</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第二十六条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新团员应当参加入团仪式。入团仪式可以由团的基层委员会、总支部委员会或支部委员会组织。在入团仪式上，由上级团组织的代表或本级团组织的负责人带领新团员宣誓，并向新团员颁发团员证和团徽。团员证需由校团委加盖钢印。入团仪式可以邀请同级党组织的负责人参加。</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第二十七条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团组织应加强对新团员的教育和管理，帮助他们不断提高思想政治素质和执行团章、履行团员义务的自觉性。</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第二十八条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团组织应将新团员的《入团志愿书》存入本人团员档案，由校团委组织部门统一管理。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第二十九条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在特殊情况下，经校团委召开委员会审议，可以直接接收团员。</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第四章  团员的追认</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第三十条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入团积极分子在申请入团期间，对在中国特色社会主义事业中为党和人民利益英勇献身，事迹突出，并在较大范围内有教育意义的，可以追认为团员。</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第三十一条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追认团员应由其所在单位团组织整理事迹材料，经其生前所在团支部召开支部大会通过和县级以上团委审查同意后，报送省级团委批准。</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第五章  发展团员工作的领导和纪律</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第三十二条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各级团组织应当把发展团员工作列入重要议事日程，将其作为工作述职、评议、考核的重要内容，考核结果作为评选表彰的重要依据。对发展团员工作情况，校团委应每年开展一次检查，二级学院团总支随时掌握工作进度，及时解决问题。对于发展团员工作情况较差的团组织要进行通报，必要时由校团委进行组织整顿。</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第三十三条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各级团组织对发展团员工作中出现的违纪违规问题和不正之风，应当严肃查处。对不坚持标准、不履行程序和培养考察失职、审查把关不严的团组织及其负责人、直接责任人进行批评教育，情节严重的给予纪律处分。对违反团章和有关规定发展团员的典型案例要及时进行查处和通报，对违反规定吸收入团的，一律不予承认，切实维护发展团员工作的严肃性。</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第三十四条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《入团志愿书》由共青团云南省委统一配发，校团委负责做好领取及校内发放工作，并严格管理。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第六章  附则</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 xml:space="preserve">第三十五条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本细则由校团委组织部负责解释。</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第三十六条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本细则自2022年8月1日起施行。</w:t>
      </w:r>
    </w:p>
    <w:p>
      <w:pPr>
        <w:pageBreakBefore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bCs/>
          <w:color w:val="auto"/>
          <w:spacing w:val="0"/>
          <w:sz w:val="32"/>
          <w:szCs w:val="32"/>
          <w:highlight w:val="none"/>
          <w:lang w:val="en-US" w:eastAsia="zh-CN"/>
        </w:rPr>
      </w:pPr>
    </w:p>
    <w:p>
      <w:pPr>
        <w:pageBreakBefore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bCs/>
          <w:color w:val="auto"/>
          <w:spacing w:val="0"/>
          <w:sz w:val="36"/>
          <w:szCs w:val="36"/>
          <w:highlight w:val="none"/>
          <w:lang w:val="en-US" w:eastAsia="zh-CN"/>
        </w:rPr>
      </w:pPr>
      <w:bookmarkStart w:id="369" w:name="_Toc3050"/>
      <w:r>
        <w:rPr>
          <w:rFonts w:hint="eastAsia" w:ascii="方正小标宋_GBK" w:hAnsi="方正小标宋_GBK" w:eastAsia="方正小标宋_GBK" w:cs="方正小标宋_GBK"/>
          <w:b/>
          <w:bCs/>
          <w:color w:val="auto"/>
          <w:spacing w:val="0"/>
          <w:sz w:val="36"/>
          <w:szCs w:val="36"/>
          <w:highlight w:val="none"/>
          <w:lang w:val="en-US" w:eastAsia="zh-CN"/>
        </w:rPr>
        <w:t>云南城市建设职业学院团学骨干选拔、管理和考核办法（修订）</w:t>
      </w:r>
      <w:bookmarkEnd w:id="369"/>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r>
        <w:rPr>
          <w:rFonts w:ascii="楷体" w:hAnsi="楷体" w:eastAsia="楷体" w:cs="楷体"/>
          <w:i w:val="0"/>
          <w:iCs w:val="0"/>
          <w:caps w:val="0"/>
          <w:color w:val="auto"/>
          <w:spacing w:val="0"/>
          <w:sz w:val="27"/>
          <w:szCs w:val="27"/>
          <w:highlight w:val="none"/>
          <w:shd w:val="clear" w:fill="FFFFFF"/>
        </w:rPr>
        <w:t>（20</w:t>
      </w:r>
      <w:r>
        <w:rPr>
          <w:rFonts w:hint="eastAsia" w:ascii="楷体" w:hAnsi="楷体" w:eastAsia="楷体" w:cs="楷体"/>
          <w:i w:val="0"/>
          <w:iCs w:val="0"/>
          <w:caps w:val="0"/>
          <w:color w:val="auto"/>
          <w:spacing w:val="0"/>
          <w:sz w:val="27"/>
          <w:szCs w:val="27"/>
          <w:highlight w:val="none"/>
          <w:shd w:val="clear" w:fill="FFFFFF"/>
          <w:lang w:val="en-US" w:eastAsia="zh-CN"/>
        </w:rPr>
        <w:t>22</w:t>
      </w:r>
      <w:r>
        <w:rPr>
          <w:rFonts w:ascii="楷体" w:hAnsi="楷体" w:eastAsia="楷体" w:cs="楷体"/>
          <w:i w:val="0"/>
          <w:iCs w:val="0"/>
          <w:caps w:val="0"/>
          <w:color w:val="auto"/>
          <w:spacing w:val="0"/>
          <w:sz w:val="27"/>
          <w:szCs w:val="27"/>
          <w:highlight w:val="none"/>
          <w:shd w:val="clear" w:fill="FFFFFF"/>
        </w:rPr>
        <w:t>年</w:t>
      </w:r>
      <w:r>
        <w:rPr>
          <w:rFonts w:hint="eastAsia" w:ascii="楷体" w:hAnsi="楷体" w:eastAsia="楷体" w:cs="楷体"/>
          <w:i w:val="0"/>
          <w:iCs w:val="0"/>
          <w:caps w:val="0"/>
          <w:color w:val="auto"/>
          <w:spacing w:val="0"/>
          <w:sz w:val="27"/>
          <w:szCs w:val="27"/>
          <w:highlight w:val="none"/>
          <w:shd w:val="clear" w:fill="FFFFFF"/>
          <w:lang w:val="en-US" w:eastAsia="zh-CN"/>
        </w:rPr>
        <w:t>7</w:t>
      </w:r>
      <w:r>
        <w:rPr>
          <w:rFonts w:ascii="楷体" w:hAnsi="楷体" w:eastAsia="楷体" w:cs="楷体"/>
          <w:i w:val="0"/>
          <w:iCs w:val="0"/>
          <w:caps w:val="0"/>
          <w:color w:val="auto"/>
          <w:spacing w:val="0"/>
          <w:sz w:val="27"/>
          <w:szCs w:val="27"/>
          <w:highlight w:val="none"/>
          <w:shd w:val="clear" w:fill="FFFFFF"/>
        </w:rPr>
        <w:t>月</w:t>
      </w:r>
      <w:r>
        <w:rPr>
          <w:rFonts w:hint="eastAsia" w:ascii="楷体" w:hAnsi="楷体" w:eastAsia="楷体" w:cs="楷体"/>
          <w:i w:val="0"/>
          <w:iCs w:val="0"/>
          <w:caps w:val="0"/>
          <w:color w:val="auto"/>
          <w:spacing w:val="0"/>
          <w:sz w:val="27"/>
          <w:szCs w:val="27"/>
          <w:highlight w:val="none"/>
          <w:shd w:val="clear" w:fill="FFFFFF"/>
          <w:lang w:val="en-US" w:eastAsia="zh-CN"/>
        </w:rPr>
        <w:t>18</w:t>
      </w:r>
      <w:r>
        <w:rPr>
          <w:rFonts w:ascii="楷体" w:hAnsi="楷体" w:eastAsia="楷体" w:cs="楷体"/>
          <w:i w:val="0"/>
          <w:iCs w:val="0"/>
          <w:caps w:val="0"/>
          <w:color w:val="auto"/>
          <w:spacing w:val="0"/>
          <w:sz w:val="27"/>
          <w:szCs w:val="27"/>
          <w:highlight w:val="none"/>
          <w:shd w:val="clear" w:fill="FFFFFF"/>
        </w:rPr>
        <w:t>日</w:t>
      </w:r>
      <w:r>
        <w:rPr>
          <w:rFonts w:hint="eastAsia" w:ascii="楷体" w:hAnsi="楷体" w:eastAsia="楷体" w:cs="楷体"/>
          <w:i w:val="0"/>
          <w:iCs w:val="0"/>
          <w:caps w:val="0"/>
          <w:color w:val="auto"/>
          <w:spacing w:val="0"/>
          <w:sz w:val="27"/>
          <w:szCs w:val="27"/>
          <w:highlight w:val="none"/>
          <w:shd w:val="clear" w:fill="FFFFFF"/>
          <w:lang w:val="en-US" w:eastAsia="zh-CN"/>
        </w:rPr>
        <w:t>共青团云南城市建设职业学院第三届</w:t>
      </w:r>
      <w:r>
        <w:rPr>
          <w:rFonts w:ascii="楷体" w:hAnsi="楷体" w:eastAsia="楷体" w:cs="楷体"/>
          <w:i w:val="0"/>
          <w:iCs w:val="0"/>
          <w:caps w:val="0"/>
          <w:color w:val="auto"/>
          <w:spacing w:val="0"/>
          <w:sz w:val="27"/>
          <w:szCs w:val="27"/>
          <w:highlight w:val="none"/>
          <w:shd w:val="clear" w:fill="FFFFFF"/>
        </w:rPr>
        <w:t>委员会</w:t>
      </w:r>
      <w:r>
        <w:rPr>
          <w:rFonts w:hint="eastAsia" w:ascii="楷体" w:hAnsi="楷体" w:eastAsia="楷体" w:cs="楷体"/>
          <w:i w:val="0"/>
          <w:iCs w:val="0"/>
          <w:caps w:val="0"/>
          <w:color w:val="auto"/>
          <w:spacing w:val="0"/>
          <w:sz w:val="27"/>
          <w:szCs w:val="27"/>
          <w:highlight w:val="none"/>
          <w:shd w:val="clear" w:fill="FFFFFF"/>
          <w:lang w:val="en-US" w:eastAsia="zh-CN"/>
        </w:rPr>
        <w:t>全体会议审议通过）</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highlight w:val="none"/>
          <w:shd w:val="clear" w:fill="FFFFFF"/>
          <w:lang w:val="en-US" w:eastAsia="zh-CN"/>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第一章  总则</w:t>
      </w:r>
    </w:p>
    <w:p>
      <w:pPr>
        <w:keepNext w:val="0"/>
        <w:keepLines w:val="0"/>
        <w:pageBreakBefore w:val="0"/>
        <w:widowControl/>
        <w:kinsoku/>
        <w:wordWrap/>
        <w:overflowPunct/>
        <w:topLinePunct w:val="0"/>
        <w:autoSpaceDE/>
        <w:autoSpaceDN/>
        <w:bidi w:val="0"/>
        <w:adjustRightInd w:val="0"/>
        <w:snapToGrid w:val="0"/>
        <w:spacing w:line="560" w:lineRule="exact"/>
        <w:ind w:firstLine="635" w:firstLineChars="200"/>
        <w:jc w:val="left"/>
        <w:textAlignment w:val="auto"/>
        <w:rPr>
          <w:rFonts w:hint="eastAsia" w:ascii="方正楷体_GBK" w:hAnsi="方正楷体_GBK" w:eastAsia="方正楷体_GBK" w:cs="方正楷体_GBK"/>
          <w:b/>
          <w:bCs/>
          <w:color w:val="auto"/>
          <w:spacing w:val="-2"/>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35" w:firstLineChars="200"/>
        <w:jc w:val="left"/>
        <w:textAlignment w:val="auto"/>
        <w:rPr>
          <w:rFonts w:hint="eastAsia" w:ascii="方正仿宋_GBK" w:hAnsi="方正仿宋_GBK" w:eastAsia="方正仿宋_GBK" w:cs="方正仿宋_GBK"/>
          <w:b w:val="0"/>
          <w:i w:val="0"/>
          <w:caps w:val="0"/>
          <w:color w:val="auto"/>
          <w:spacing w:val="0"/>
          <w:sz w:val="32"/>
          <w:szCs w:val="32"/>
          <w:highlight w:val="none"/>
          <w:lang w:eastAsia="zh-CN"/>
        </w:rPr>
      </w:pPr>
      <w:r>
        <w:rPr>
          <w:rFonts w:hint="eastAsia" w:ascii="方正楷体_GBK" w:hAnsi="方正楷体_GBK" w:eastAsia="方正楷体_GBK" w:cs="方正楷体_GBK"/>
          <w:b/>
          <w:bCs/>
          <w:color w:val="auto"/>
          <w:spacing w:val="-2"/>
          <w:kern w:val="0"/>
          <w:sz w:val="32"/>
          <w:szCs w:val="32"/>
          <w:highlight w:val="none"/>
          <w:lang w:val="en-US" w:eastAsia="zh-CN"/>
        </w:rPr>
        <w:t>第一条</w:t>
      </w:r>
      <w:r>
        <w:rPr>
          <w:rFonts w:hint="eastAsia" w:ascii="方正仿宋_GBK" w:hAnsi="方正仿宋_GBK" w:eastAsia="方正仿宋_GBK" w:cs="方正仿宋_GBK"/>
          <w:b/>
          <w:bCs/>
          <w:color w:val="auto"/>
          <w:spacing w:val="-2"/>
          <w:kern w:val="0"/>
          <w:sz w:val="32"/>
          <w:szCs w:val="32"/>
          <w:highlight w:val="none"/>
          <w:lang w:val="en-US" w:eastAsia="zh-CN"/>
        </w:rPr>
        <w:t xml:space="preserve">  </w:t>
      </w:r>
      <w:r>
        <w:rPr>
          <w:rFonts w:hint="eastAsia" w:ascii="方正仿宋_GBK" w:hAnsi="方正仿宋_GBK" w:eastAsia="方正仿宋_GBK" w:cs="方正仿宋_GBK"/>
          <w:color w:val="auto"/>
          <w:spacing w:val="-2"/>
          <w:kern w:val="0"/>
          <w:sz w:val="32"/>
          <w:szCs w:val="32"/>
          <w:highlight w:val="none"/>
        </w:rPr>
        <w:t>为进一步加强</w:t>
      </w:r>
      <w:r>
        <w:rPr>
          <w:rFonts w:hint="eastAsia" w:ascii="方正仿宋_GBK" w:hAnsi="方正仿宋_GBK" w:eastAsia="方正仿宋_GBK" w:cs="方正仿宋_GBK"/>
          <w:color w:val="auto"/>
          <w:spacing w:val="-2"/>
          <w:kern w:val="0"/>
          <w:sz w:val="32"/>
          <w:szCs w:val="32"/>
          <w:highlight w:val="none"/>
          <w:lang w:val="en-US" w:eastAsia="zh-CN"/>
        </w:rPr>
        <w:t>学校各级团学骨干</w:t>
      </w:r>
      <w:r>
        <w:rPr>
          <w:rFonts w:hint="eastAsia" w:ascii="方正仿宋_GBK" w:hAnsi="方正仿宋_GBK" w:eastAsia="方正仿宋_GBK" w:cs="方正仿宋_GBK"/>
          <w:color w:val="auto"/>
          <w:spacing w:val="-2"/>
          <w:kern w:val="0"/>
          <w:sz w:val="32"/>
          <w:szCs w:val="32"/>
          <w:highlight w:val="none"/>
        </w:rPr>
        <w:t>队伍建设，打造一批思想素质过硬、工作作风扎实、实践能力突出的</w:t>
      </w:r>
      <w:r>
        <w:rPr>
          <w:rFonts w:hint="eastAsia" w:ascii="方正仿宋_GBK" w:hAnsi="方正仿宋_GBK" w:eastAsia="方正仿宋_GBK" w:cs="方正仿宋_GBK"/>
          <w:color w:val="auto"/>
          <w:spacing w:val="-2"/>
          <w:kern w:val="0"/>
          <w:sz w:val="32"/>
          <w:szCs w:val="32"/>
          <w:highlight w:val="none"/>
          <w:lang w:val="en-US" w:eastAsia="zh-CN"/>
        </w:rPr>
        <w:t>团学骨干先锋</w:t>
      </w:r>
      <w:r>
        <w:rPr>
          <w:rFonts w:hint="eastAsia" w:ascii="方正仿宋_GBK" w:hAnsi="方正仿宋_GBK" w:eastAsia="方正仿宋_GBK" w:cs="方正仿宋_GBK"/>
          <w:color w:val="auto"/>
          <w:spacing w:val="-2"/>
          <w:kern w:val="0"/>
          <w:sz w:val="32"/>
          <w:szCs w:val="32"/>
          <w:highlight w:val="none"/>
        </w:rPr>
        <w:t>队伍，充分发挥</w:t>
      </w:r>
      <w:r>
        <w:rPr>
          <w:rFonts w:hint="eastAsia" w:ascii="方正仿宋_GBK" w:hAnsi="方正仿宋_GBK" w:eastAsia="方正仿宋_GBK" w:cs="方正仿宋_GBK"/>
          <w:color w:val="auto"/>
          <w:spacing w:val="-2"/>
          <w:kern w:val="0"/>
          <w:sz w:val="32"/>
          <w:szCs w:val="32"/>
          <w:highlight w:val="none"/>
          <w:lang w:val="en-US" w:eastAsia="zh-CN"/>
        </w:rPr>
        <w:t>团学骨干</w:t>
      </w:r>
      <w:r>
        <w:rPr>
          <w:rFonts w:hint="eastAsia" w:ascii="方正仿宋_GBK" w:hAnsi="方正仿宋_GBK" w:eastAsia="方正仿宋_GBK" w:cs="方正仿宋_GBK"/>
          <w:color w:val="auto"/>
          <w:spacing w:val="-2"/>
          <w:kern w:val="0"/>
          <w:sz w:val="32"/>
          <w:szCs w:val="32"/>
          <w:highlight w:val="none"/>
        </w:rPr>
        <w:t>自我教育、自我管理、自我服务、自我监督的作用，根据共青团中央、教育部、全国学联有关文件精神，结合学校实际情况，特制定本办法</w:t>
      </w:r>
      <w:r>
        <w:rPr>
          <w:rFonts w:hint="eastAsia" w:ascii="方正仿宋_GBK" w:hAnsi="方正仿宋_GBK" w:eastAsia="方正仿宋_GBK" w:cs="方正仿宋_GBK"/>
          <w:color w:val="auto"/>
          <w:spacing w:val="-2"/>
          <w:kern w:val="0"/>
          <w:sz w:val="32"/>
          <w:szCs w:val="32"/>
          <w:highlight w:val="none"/>
          <w:lang w:eastAsia="zh-CN"/>
        </w:rPr>
        <w:t>。</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第二条  </w:t>
      </w:r>
      <w:r>
        <w:rPr>
          <w:rFonts w:hint="eastAsia" w:ascii="方正仿宋_GBK" w:hAnsi="方正仿宋_GBK" w:eastAsia="方正仿宋_GBK" w:cs="方正仿宋_GBK"/>
          <w:color w:val="auto"/>
          <w:spacing w:val="-2"/>
          <w:kern w:val="0"/>
          <w:sz w:val="32"/>
          <w:szCs w:val="32"/>
          <w:highlight w:val="none"/>
          <w:lang w:val="en-US" w:eastAsia="zh-CN"/>
        </w:rPr>
        <w:t>团学骨干</w:t>
      </w:r>
      <w:r>
        <w:rPr>
          <w:rFonts w:hint="eastAsia" w:ascii="方正仿宋_GBK" w:hAnsi="方正仿宋_GBK" w:eastAsia="方正仿宋_GBK" w:cs="方正仿宋_GBK"/>
          <w:color w:val="auto"/>
          <w:spacing w:val="-2"/>
          <w:kern w:val="0"/>
          <w:sz w:val="32"/>
          <w:szCs w:val="32"/>
          <w:highlight w:val="none"/>
          <w:lang w:val="en-US" w:eastAsia="zh-CN" w:bidi="ar-SA"/>
        </w:rPr>
        <w:t>是学校联系广大学生的桥梁和纽带，应在同级党组织的领导下，在同级团组织的指导下积极主动开展工作，热心服务同学，在各方面成为团员青年的表率。</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第三条</w:t>
      </w:r>
      <w:r>
        <w:rPr>
          <w:rFonts w:hint="eastAsia" w:ascii="方正仿宋_GBK" w:hAnsi="方正仿宋_GBK" w:eastAsia="方正仿宋_GBK" w:cs="方正仿宋_GBK"/>
          <w:color w:val="auto"/>
          <w:spacing w:val="-2"/>
          <w:kern w:val="0"/>
          <w:sz w:val="32"/>
          <w:szCs w:val="32"/>
          <w:highlight w:val="none"/>
          <w:lang w:val="en-US" w:eastAsia="zh-CN" w:bidi="ar-SA"/>
        </w:rPr>
        <w:t>　本办法适用于本规定适用于校团委直属组织（部门）；各二级学院团总支（学生会）；各班级团支部、班委会；各学生社团中任职或工作的团学骨干。</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其中，校团委直属部门为办公室、组织部、宣传部、社团工作部、国旗护卫队、礼仪队；校团委直属学生组织为校学生会、校青年志愿者协会、校广播站、校大学生艺术团；校团委社团工作部统筹、协调、监督各学生社团的日常工作。</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第四条  </w:t>
      </w:r>
      <w:r>
        <w:rPr>
          <w:rFonts w:hint="eastAsia" w:ascii="方正仿宋_GBK" w:hAnsi="方正仿宋_GBK" w:eastAsia="方正仿宋_GBK" w:cs="方正仿宋_GBK"/>
          <w:color w:val="auto"/>
          <w:spacing w:val="-2"/>
          <w:kern w:val="0"/>
          <w:sz w:val="32"/>
          <w:szCs w:val="32"/>
          <w:highlight w:val="none"/>
          <w:lang w:val="en-US" w:eastAsia="zh-CN" w:bidi="ar-SA"/>
        </w:rPr>
        <w:t>校团委组织部负责统筹、协调、指导和监督全校各级团学骨干的选拔、管理和考核。各二级学院团总支具体负责本学院的团学骨干的选拔、管理和考核。</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pPr>
      <w:r>
        <w:rPr>
          <w:rStyle w:val="24"/>
          <w:rFonts w:hint="eastAsia" w:ascii="方正黑体_GBK" w:hAnsi="方正黑体_GBK" w:eastAsia="方正黑体_GBK" w:cs="方正黑体_GBK"/>
          <w:b/>
          <w:bCs w:val="0"/>
          <w:i w:val="0"/>
          <w:iCs w:val="0"/>
          <w:caps w:val="0"/>
          <w:color w:val="auto"/>
          <w:spacing w:val="0"/>
          <w:kern w:val="0"/>
          <w:sz w:val="32"/>
          <w:szCs w:val="32"/>
          <w:highlight w:val="none"/>
          <w:shd w:val="clear" w:fill="FFFFFF"/>
          <w:lang w:val="en-US" w:eastAsia="zh-CN" w:bidi="ar"/>
        </w:rPr>
        <w:t>第二章  岗位设置和任职条件</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4"/>
          <w:rFonts w:hint="eastAsia" w:ascii="方正黑体_GBK" w:hAnsi="方正黑体_GBK" w:eastAsia="方正黑体_GBK" w:cs="方正黑体_GBK"/>
          <w:b w:val="0"/>
          <w:bCs/>
          <w:i w:val="0"/>
          <w:iCs w:val="0"/>
          <w:caps w:val="0"/>
          <w:color w:val="auto"/>
          <w:spacing w:val="0"/>
          <w:kern w:val="0"/>
          <w:sz w:val="32"/>
          <w:szCs w:val="32"/>
          <w:highlight w:val="none"/>
          <w:shd w:val="clear" w:fill="FFFFFF"/>
          <w:lang w:val="en-US" w:eastAsia="zh-CN" w:bidi="ar"/>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第五条  </w:t>
      </w:r>
      <w:r>
        <w:rPr>
          <w:rFonts w:hint="eastAsia" w:ascii="方正仿宋_GBK" w:hAnsi="方正仿宋_GBK" w:eastAsia="方正仿宋_GBK" w:cs="方正仿宋_GBK"/>
          <w:color w:val="auto"/>
          <w:spacing w:val="-2"/>
          <w:kern w:val="0"/>
          <w:sz w:val="32"/>
          <w:szCs w:val="32"/>
          <w:highlight w:val="none"/>
          <w:lang w:val="en-US" w:eastAsia="zh-CN" w:bidi="ar-SA"/>
        </w:rPr>
        <w:t>按照精简机构、控制总量、满足需要、提高效能的原则设置各级团学组织机构和</w:t>
      </w:r>
      <w:r>
        <w:rPr>
          <w:rFonts w:hint="eastAsia" w:ascii="方正仿宋_GBK" w:hAnsi="方正仿宋_GBK" w:eastAsia="方正仿宋_GBK" w:cs="方正仿宋_GBK"/>
          <w:color w:val="auto"/>
          <w:spacing w:val="-2"/>
          <w:kern w:val="0"/>
          <w:sz w:val="32"/>
          <w:szCs w:val="32"/>
          <w:highlight w:val="none"/>
          <w:lang w:val="en-US" w:eastAsia="zh-CN"/>
        </w:rPr>
        <w:t>团学骨干</w:t>
      </w:r>
      <w:r>
        <w:rPr>
          <w:rFonts w:hint="eastAsia" w:ascii="方正仿宋_GBK" w:hAnsi="方正仿宋_GBK" w:eastAsia="方正仿宋_GBK" w:cs="方正仿宋_GBK"/>
          <w:color w:val="auto"/>
          <w:spacing w:val="-2"/>
          <w:kern w:val="0"/>
          <w:sz w:val="32"/>
          <w:szCs w:val="32"/>
          <w:highlight w:val="none"/>
          <w:lang w:val="en-US" w:eastAsia="zh-CN" w:bidi="ar-SA"/>
        </w:rPr>
        <w:t>岗位。校级团学组织机构和岗位设置由校团委会同学校党委组织部、学生工作处共同研究确定。各二级学院团学组织机构和岗位设置在本学院党组织的领导下，由学院团总支研究确定，并报校团委组织部备案。各班级团支部、班委会岗位设置在辅导员（班主任）的指导监督下，由班级团支部大会（班级全体学生大会）研究确定，并报学院团总支备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第六条</w:t>
      </w:r>
      <w:r>
        <w:rPr>
          <w:rFonts w:hint="eastAsia" w:ascii="方正仿宋_GBK" w:hAnsi="方正仿宋_GBK" w:eastAsia="方正仿宋_GBK" w:cs="方正仿宋_GBK"/>
          <w:color w:val="auto"/>
          <w:spacing w:val="-2"/>
          <w:kern w:val="0"/>
          <w:sz w:val="32"/>
          <w:szCs w:val="32"/>
          <w:highlight w:val="none"/>
          <w:lang w:val="en-US" w:eastAsia="zh-CN" w:bidi="ar-SA"/>
        </w:rPr>
        <w:t>　校（院）级团学组织岗位和职数设置:</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校团委直属各部门设部长1名，副部长1名，干事5-8名。校团委直属各部门原则上不得超过10人。校团委国旗护卫队、校团委礼仪队根据学校工作需要，可另行增设团学骨干岗位和职数。同等情况下，校团委直属各部门有限考虑中共党员（预备党员）或共青团员。</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校学生会设立主席团，由执行主席1名、副主席2至3名组成，聘任秘书长1名，由校团委专职干部兼任；校学生会各职能部门设部长1名，副部长1名，干事4名。校学生会成员总数不得超过40人，且须为共青团员。不得设置主席助理、部长助理等岗位。</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校青年志愿者协会、校广播站、校大学生艺术团组织岗位和职数设置，根据学校工作需要，参照校学生会拟定，报校团委同意后执行。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各二级学院学生会成员总数不得超过30人，且须为共青团员，其机构设置参照校学生会的有关要求执行。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各学生社团，设社长1名，副社长1名，在校团委社团工作部的监督下选拔，并报校团委组织部备案。</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第七条</w:t>
      </w:r>
      <w:r>
        <w:rPr>
          <w:rFonts w:hint="eastAsia" w:ascii="方正仿宋_GBK" w:hAnsi="方正仿宋_GBK" w:eastAsia="方正仿宋_GBK" w:cs="方正仿宋_GBK"/>
          <w:color w:val="auto"/>
          <w:spacing w:val="-2"/>
          <w:kern w:val="0"/>
          <w:sz w:val="32"/>
          <w:szCs w:val="32"/>
          <w:highlight w:val="none"/>
          <w:lang w:val="en-US" w:eastAsia="zh-CN" w:bidi="ar-SA"/>
        </w:rPr>
        <w:t xml:space="preserve">  班级团支部一般设书记、组织委员、宣传委员等岗位；班委会一般设班长、副班长、学习委员、生活委员、文艺委员、体育委员、心理委员、宿舍长等岗位。</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default" w:ascii="方正楷体_GBK" w:hAnsi="方正楷体_GBK" w:eastAsia="方正楷体_GBK" w:cs="方正楷体_GBK"/>
          <w:b/>
          <w:bCs/>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条件成熟的班级，在二级学院团总支的指导监督下，可探索实施班团一体化建设工作。</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562" w:leftChars="0" w:right="0" w:rightChars="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第八条</w:t>
      </w:r>
      <w:r>
        <w:rPr>
          <w:rFonts w:hint="eastAsia" w:ascii="方正仿宋_GBK" w:hAnsi="方正仿宋_GBK" w:eastAsia="方正仿宋_GBK" w:cs="方正仿宋_GBK"/>
          <w:color w:val="auto"/>
          <w:spacing w:val="-2"/>
          <w:kern w:val="0"/>
          <w:sz w:val="32"/>
          <w:szCs w:val="32"/>
          <w:highlight w:val="none"/>
          <w:lang w:val="en-US" w:eastAsia="zh-CN" w:bidi="ar-SA"/>
        </w:rPr>
        <w:t>　团学骨干应当具备下列基本条件：</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政治过硬。自觉坚持以马克思列宁主义、毛泽东思想、邓小平理论、“三个代表”重要思想、科学发展观和习近平新时代中国特色社会主义思想为指导，坚持党的路线方针政策，在思想上政治上行动上始终与党中央保持高度一致。</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品德良好。带头践行社会主义核心价值观，具有良好的道德品质和个人修养，模范遵守国家法律法规、《中国共产主义青年团章程》、《云南城市建设职业学院学生手册》、《云南城市建设职业学院关于学校各级团学骨干改进作风服务同学的若干规定》，在校期间无违法违纪违规和处分记录。</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（三）学习优良。学习态度端正，遵守学术道德规范，刻苦钻研，勇于创新，成绩优良，无挂科记录（不含补考）。</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（四）作风过硬。坚持原则，敢抓敢管，敢于担当，具有强烈的责任感和事业心，有胜任工作岗位的组织协调能力。</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（五）群众认可。密切联系同学，谦虚务实，关心和维护广大同学利益，全心全意为同学服务，具有良好的群众基础。</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第九条  </w:t>
      </w:r>
      <w:r>
        <w:rPr>
          <w:rFonts w:hint="eastAsia" w:ascii="方正仿宋_GBK" w:hAnsi="方正仿宋_GBK" w:eastAsia="方正仿宋_GBK" w:cs="方正仿宋_GBK"/>
          <w:color w:val="auto"/>
          <w:spacing w:val="-2"/>
          <w:kern w:val="0"/>
          <w:sz w:val="32"/>
          <w:szCs w:val="32"/>
          <w:highlight w:val="none"/>
          <w:lang w:val="en-US" w:eastAsia="zh-CN" w:bidi="ar-SA"/>
        </w:rPr>
        <w:t>校（院）级团学骨干应当具备下列基本资格：</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（一）担任校团委直属组织（部门）主要负责人的，应当有一年以上校团委直属组织（部门）工作经历，原则上应为共青团员，为中共党员或中共预备党员的，可优先考虑。</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（二）担任院级团学组织（含部门）主要负责人的，应当有一学期以上院级团学组织（含部门）工作经历，原则上应为共青团员，中共党员或中共预备党员的，可优先考虑。</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（三）对于特别优秀或者工作特殊需要的，经校团委书记班子会议研究，可以破格提拔任用。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pacing w:val="-2"/>
          <w:kern w:val="0"/>
          <w:sz w:val="32"/>
          <w:szCs w:val="32"/>
          <w:highlight w:val="none"/>
          <w:lang w:val="en-US" w:eastAsia="zh-CN" w:bidi="ar-SA"/>
        </w:rPr>
      </w:pPr>
      <w:r>
        <w:rPr>
          <w:rFonts w:hint="eastAsia" w:ascii="方正黑体_GBK" w:hAnsi="方正黑体_GBK" w:eastAsia="方正黑体_GBK" w:cs="方正黑体_GBK"/>
          <w:b/>
          <w:bCs/>
          <w:color w:val="auto"/>
          <w:spacing w:val="-2"/>
          <w:kern w:val="0"/>
          <w:sz w:val="32"/>
          <w:szCs w:val="32"/>
          <w:highlight w:val="none"/>
          <w:lang w:val="en-US" w:eastAsia="zh-CN" w:bidi="ar-SA"/>
        </w:rPr>
        <w:t>第三章  选拔和任用</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highlight w:val="none"/>
          <w:lang w:val="en-US" w:eastAsia="zh-CN" w:bidi="ar-SA"/>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第十条</w:t>
      </w:r>
      <w:r>
        <w:rPr>
          <w:rFonts w:hint="eastAsia" w:ascii="方正仿宋_GBK" w:hAnsi="方正仿宋_GBK" w:eastAsia="方正仿宋_GBK" w:cs="方正仿宋_GBK"/>
          <w:color w:val="auto"/>
          <w:spacing w:val="-2"/>
          <w:kern w:val="0"/>
          <w:sz w:val="32"/>
          <w:szCs w:val="32"/>
          <w:highlight w:val="none"/>
          <w:lang w:val="en-US" w:eastAsia="zh-CN" w:bidi="ar-SA"/>
        </w:rPr>
        <w:t>　团学骨干选拔任用必须依据有关章程的规定，按照德才兼备、以德为先的标准，坚持公开、公平、公正、透明的原则，经组织推荐、自荐、群众举荐等多种渠道产生候选人后，通过民主选举、公开竞聘或上级组织任命等方式产生，并报有关部门审批备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第十一条  </w:t>
      </w:r>
      <w:r>
        <w:rPr>
          <w:rFonts w:hint="eastAsia" w:ascii="方正仿宋_GBK" w:hAnsi="方正仿宋_GBK" w:eastAsia="方正仿宋_GBK" w:cs="方正仿宋_GBK"/>
          <w:color w:val="auto"/>
          <w:spacing w:val="-2"/>
          <w:kern w:val="0"/>
          <w:sz w:val="32"/>
          <w:szCs w:val="32"/>
          <w:highlight w:val="none"/>
          <w:lang w:val="en-US" w:eastAsia="zh-CN" w:bidi="ar-SA"/>
        </w:rPr>
        <w:t>校（院）级团学组织在同级党组织的领导下，按照管理权限，根据团学组织任期和工作实际，由校（院）级团学组织提出启动团学骨干选拔任用工作意见，就选拔任用的职位、条件、范围、方式和程序等形成方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第十二条</w:t>
      </w:r>
      <w:r>
        <w:rPr>
          <w:rFonts w:hint="eastAsia" w:ascii="方正仿宋_GBK" w:hAnsi="方正仿宋_GBK" w:eastAsia="方正仿宋_GBK" w:cs="方正仿宋_GBK"/>
          <w:b/>
          <w:bCs/>
          <w:color w:val="auto"/>
          <w:spacing w:val="-2"/>
          <w:kern w:val="0"/>
          <w:sz w:val="32"/>
          <w:szCs w:val="32"/>
          <w:highlight w:val="none"/>
          <w:lang w:val="en-US" w:eastAsia="zh-CN" w:bidi="ar-SA"/>
        </w:rPr>
        <w:t> </w:t>
      </w:r>
      <w:r>
        <w:rPr>
          <w:rFonts w:hint="eastAsia" w:ascii="方正仿宋_GBK" w:hAnsi="方正仿宋_GBK" w:eastAsia="方正仿宋_GBK" w:cs="方正仿宋_GBK"/>
          <w:color w:val="auto"/>
          <w:spacing w:val="-2"/>
          <w:kern w:val="0"/>
          <w:sz w:val="32"/>
          <w:szCs w:val="32"/>
          <w:highlight w:val="none"/>
          <w:lang w:val="en-US" w:eastAsia="zh-CN" w:bidi="ar-SA"/>
        </w:rPr>
        <w:t>校（院）级团学组织团学骨干选拔一般按照以下程序进行：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（一）发布公告。公布团学骨干岗位、报名资格条件、选拔的基本程序和方式。</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（二）推荐报名。学生根据自身条件报名自荐。校团委直属组织（部门）团学骨干换届，各二级学院可重点向学校推荐人选。</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（三）资格审查。根据团学骨干选拔任用条件和资格，对报名人选进行资格审查。</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（四）组织考察。根据工作实际，采取笔试、面试等适当方式进行能力和素质测试，择优确定差额人选，报上级组织或指导单位审批（备案）。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公开竞聘。校（院）级团学组织（部门）主要负责人的候选人应进行公开答辩，校学生会主席团成员由学生代表大会选举产生；学校学生代表大会闭会期间，因工作需要，可由校团委提名，学校党委审议通过后，由校团委直接任命。各二级院学生会主席团成员由所在二级院学生代表大会选举产生；二级学院学生代表大会闭会期间，因工作需要，可由二级学院团总支提名，校团委审议通过后，由二级学院团总支直接任命。</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各级团学组织其他团学骨干要合理设计产生方式，扩大民主范围，保证广大同学的知情权、参与权。</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（六）讨论决定。各级团学组织主管或指导单位研究讨论决定团学骨干正式人选方案，公示结果，公示期不少于5天。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（七）履行任职手续。公示无异议的办理任职手续，试用期为三个月。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第十三条  </w:t>
      </w:r>
      <w:r>
        <w:rPr>
          <w:rFonts w:hint="eastAsia" w:ascii="方正仿宋_GBK" w:hAnsi="方正仿宋_GBK" w:eastAsia="方正仿宋_GBK" w:cs="方正仿宋_GBK"/>
          <w:color w:val="auto"/>
          <w:spacing w:val="-2"/>
          <w:kern w:val="0"/>
          <w:sz w:val="32"/>
          <w:szCs w:val="32"/>
          <w:highlight w:val="none"/>
          <w:lang w:val="en-US" w:eastAsia="zh-CN" w:bidi="ar-SA"/>
        </w:rPr>
        <w:t>班级团支部、班委会团学骨干选拔应在辅导员（班主任）及所在二级学院团总支（学生会）指导监督下，召开团支部全体团员大会（班级全体学生会议），通过民主选举的方式产生。</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各学生社团社长及副社长的选拔要在校团委社团工作部的指导监督下，面向所在学生社团的全体社团成员，采取民主选举或组织任命的方式产生。</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第十四条  </w:t>
      </w:r>
      <w:r>
        <w:rPr>
          <w:rFonts w:hint="eastAsia" w:ascii="方正仿宋_GBK" w:hAnsi="方正仿宋_GBK" w:eastAsia="方正仿宋_GBK" w:cs="方正仿宋_GBK"/>
          <w:color w:val="auto"/>
          <w:spacing w:val="-2"/>
          <w:kern w:val="0"/>
          <w:sz w:val="32"/>
          <w:szCs w:val="32"/>
          <w:highlight w:val="none"/>
          <w:lang w:val="en-US" w:eastAsia="zh-CN" w:bidi="ar-SA"/>
        </w:rPr>
        <w:t>团学骨干选任应当科学规范测试、测评，突出岗位特点和工作实绩，注重能力素质和一贯表现，防止简单以分数、以票取人的倾向。</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第十五条</w:t>
      </w:r>
      <w:r>
        <w:rPr>
          <w:rFonts w:hint="eastAsia" w:ascii="方正仿宋_GBK" w:hAnsi="方正仿宋_GBK" w:eastAsia="方正仿宋_GBK" w:cs="方正仿宋_GBK"/>
          <w:color w:val="auto"/>
          <w:spacing w:val="-2"/>
          <w:kern w:val="0"/>
          <w:sz w:val="32"/>
          <w:szCs w:val="32"/>
          <w:highlight w:val="none"/>
          <w:lang w:val="en-US" w:eastAsia="zh-CN" w:bidi="ar-SA"/>
        </w:rPr>
        <w:t>　因工作需要在特殊情况下，在校团委组织部的指导监督下，团学骨干也可由组织指定、任命等形式产生。</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center"/>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pacing w:val="-2"/>
          <w:kern w:val="0"/>
          <w:sz w:val="32"/>
          <w:szCs w:val="32"/>
          <w:highlight w:val="none"/>
          <w:lang w:val="en-US" w:eastAsia="zh-CN" w:bidi="ar-SA"/>
        </w:rPr>
      </w:pPr>
      <w:r>
        <w:rPr>
          <w:rFonts w:hint="eastAsia" w:ascii="方正黑体_GBK" w:hAnsi="方正黑体_GBK" w:eastAsia="方正黑体_GBK" w:cs="方正黑体_GBK"/>
          <w:b/>
          <w:bCs/>
          <w:color w:val="auto"/>
          <w:spacing w:val="-2"/>
          <w:kern w:val="0"/>
          <w:sz w:val="32"/>
          <w:szCs w:val="32"/>
          <w:highlight w:val="none"/>
          <w:lang w:val="en-US" w:eastAsia="zh-CN" w:bidi="ar-SA"/>
        </w:rPr>
        <w:t>第四章  培养和管理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第十六条</w:t>
      </w:r>
      <w:r>
        <w:rPr>
          <w:rFonts w:hint="eastAsia" w:ascii="方正仿宋_GBK" w:hAnsi="方正仿宋_GBK" w:eastAsia="方正仿宋_GBK" w:cs="方正仿宋_GBK"/>
          <w:color w:val="auto"/>
          <w:spacing w:val="-2"/>
          <w:kern w:val="0"/>
          <w:sz w:val="32"/>
          <w:szCs w:val="32"/>
          <w:highlight w:val="none"/>
          <w:lang w:val="en-US" w:eastAsia="zh-CN" w:bidi="ar-SA"/>
        </w:rPr>
        <w:t>　团学骨干实行任期制，每届任期为一年，同一职务一般不连任（班级团支部书记、班长等班级团学骨干除外）。校（院）级团学组织团学骨干和学生社团负责人换届原则上安排在每年5-6月，干事招新原则上安排在每年秋季学期开学典礼后的1-2周内。班级团支部、班委会换届一般在每年9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第十七条  </w:t>
      </w:r>
      <w:r>
        <w:rPr>
          <w:rFonts w:hint="eastAsia" w:ascii="方正仿宋_GBK" w:hAnsi="方正仿宋_GBK" w:eastAsia="方正仿宋_GBK" w:cs="方正仿宋_GBK"/>
          <w:color w:val="auto"/>
          <w:spacing w:val="-2"/>
          <w:kern w:val="0"/>
          <w:sz w:val="32"/>
          <w:szCs w:val="32"/>
          <w:highlight w:val="none"/>
          <w:lang w:val="en-US" w:eastAsia="zh-CN" w:bidi="ar-SA"/>
        </w:rPr>
        <w:t>团学骨干在任职期间享有下列权利：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（一）代表学生参与学校教育和管理事务，积极参与有关学生事务的协商工作，加强与学校有关部门和广大学生的联系。</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（二）在维护国家和人民以及学校整体利益的同时，依法理性地维护广大同学的正当权益。</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（三）对本级或上级团学组织工作有讨论、建议和监督的权利。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（四）有被推荐或自荐到上一级团学组织任职的权利。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（五）学校各级各类评奖评优工作中，在同等条件下，优先考虑的权利。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（六）按学校有关规定享受其他应享受的权利。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第十八条  </w:t>
      </w:r>
      <w:r>
        <w:rPr>
          <w:rFonts w:hint="eastAsia" w:ascii="方正仿宋_GBK" w:hAnsi="方正仿宋_GBK" w:eastAsia="方正仿宋_GBK" w:cs="方正仿宋_GBK"/>
          <w:color w:val="auto"/>
          <w:spacing w:val="-2"/>
          <w:kern w:val="0"/>
          <w:sz w:val="32"/>
          <w:szCs w:val="32"/>
          <w:highlight w:val="none"/>
          <w:lang w:val="en-US" w:eastAsia="zh-CN" w:bidi="ar-SA"/>
        </w:rPr>
        <w:t>团学骨干在任职期间必须履行以下义务：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（一）认真学习党团理论，积极宣传党的路线方针政策。</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（二）及时反映广大同学的意见和呼声。</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（三）团结广大同学，成为同学和学校的桥梁与纽带。</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（四）服从组织安排，做好本职工作，认真开展各项有益于学生身心健康、学业发展及成长成才的团学活动。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（五）在思想、学习、工作、生活等各方面以身作则，发挥模范表率作用，自觉维护团学组织和学生干部队伍声誉。</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（六）按学校有关规定依法履行的其他各项义务。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第十九条  </w:t>
      </w:r>
      <w:r>
        <w:rPr>
          <w:rFonts w:hint="eastAsia" w:ascii="方正仿宋_GBK" w:hAnsi="方正仿宋_GBK" w:eastAsia="方正仿宋_GBK" w:cs="方正仿宋_GBK"/>
          <w:color w:val="auto"/>
          <w:spacing w:val="-2"/>
          <w:kern w:val="0"/>
          <w:sz w:val="32"/>
          <w:szCs w:val="32"/>
          <w:highlight w:val="none"/>
          <w:lang w:val="en-US" w:eastAsia="zh-CN" w:bidi="ar-SA"/>
        </w:rPr>
        <w:t>各级团学组织要切实加强团学骨干的作风建设，引导团学骨干努力践行六个“争做”：</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（一）坚定理想信念，争做核心价值观的践行者。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（二）强化服务意识，争做同学权益的维护者。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（三）勇于创新创造，争做勤学善思的争先者。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（四）厉行勤俭节约，争做艰苦奋斗的引领者。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（五）坚持按章办事，争做遵规守法的示范者。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（六）敢于担当责任，争做服务社会的奉献者。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第二十条  </w:t>
      </w:r>
      <w:r>
        <w:rPr>
          <w:rFonts w:hint="eastAsia" w:ascii="方正仿宋_GBK" w:hAnsi="方正仿宋_GBK" w:eastAsia="方正仿宋_GBK" w:cs="方正仿宋_GBK"/>
          <w:color w:val="auto"/>
          <w:spacing w:val="-2"/>
          <w:kern w:val="0"/>
          <w:sz w:val="32"/>
          <w:szCs w:val="32"/>
          <w:highlight w:val="none"/>
          <w:lang w:val="en-US" w:eastAsia="zh-CN" w:bidi="ar-SA"/>
        </w:rPr>
        <w:t>各级团学组织要切实加强团学骨干组织纪律观念教育，引导团学骨干必须做到五项“不准”：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（一）不准以团学组织名义，未经申请报批，私下聚集，或以过生日等名义，组织团学骨干参与聚餐酗酒、夜不归宿、聚众斗殴等违反学校《学生手册》的行为。</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（二）不准利用团学骨干职务之便或以不正当手段为自己或他人谋取荣誉或其它利益。</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（三）不准违反学校财务管理规定，假公济私、化公为私、滥用浪费。</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（四）不准未经批准以团学组织或团学骨干名义开展任何有偿赞助活动，私自泄露学生个人信息。</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（五）不准拉帮结派，搞团团伙伙，做任何影响团结和侵害组织声誉的事情。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第二十一条</w:t>
      </w:r>
      <w:r>
        <w:rPr>
          <w:rFonts w:hint="eastAsia" w:ascii="方正仿宋_GBK" w:hAnsi="方正仿宋_GBK" w:eastAsia="方正仿宋_GBK" w:cs="方正仿宋_GBK"/>
          <w:color w:val="auto"/>
          <w:spacing w:val="-2"/>
          <w:kern w:val="0"/>
          <w:sz w:val="32"/>
          <w:szCs w:val="32"/>
          <w:highlight w:val="none"/>
          <w:lang w:val="en-US" w:eastAsia="zh-CN" w:bidi="ar-SA"/>
        </w:rPr>
        <w:t>　对违反国家法律法规和校纪校规，不能很好履行职责的团学骨干，视情节轻重予以批评教育、劝退、免职、撤职等处理。团学骨干有下列情形之一者，应主动辞职或直接撤职，一经撤职的，不再复用。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（一）违反国家法律法规或校纪校规，被追究刑事责任或受到学校处分的。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（二）任期内学习成绩严重下滑，出现不及格课程的。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（三）违反学校财务管理规定，私自截留、套取经费的。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（四）未恪尽职守，不能胜任所担任职务者。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（五）个人素养和道德水准低下，经教育不改在学生中形成不良影响的。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第二十二条  </w:t>
      </w:r>
      <w:r>
        <w:rPr>
          <w:rFonts w:hint="eastAsia" w:ascii="方正仿宋_GBK" w:hAnsi="方正仿宋_GBK" w:eastAsia="方正仿宋_GBK" w:cs="方正仿宋_GBK"/>
          <w:color w:val="auto"/>
          <w:spacing w:val="-2"/>
          <w:kern w:val="0"/>
          <w:sz w:val="32"/>
          <w:szCs w:val="32"/>
          <w:highlight w:val="none"/>
          <w:lang w:val="en-US" w:eastAsia="zh-CN" w:bidi="ar-SA"/>
        </w:rPr>
        <w:t>实行团学骨干培训制度。坚持“理论培训和实践锻炼相结合，集中专门培训和分级分类培训相结合”的原则，加强团学骨干全面培养指导，校团委负责组织“青年马克思主义者培养工程”“团校”等培训班，各二级学院要普遍建立团学骨干培训平台，制定培训计划，采取多形式多层次对团学骨干进行培训。</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第二十三条  </w:t>
      </w:r>
      <w:r>
        <w:rPr>
          <w:rFonts w:hint="eastAsia" w:ascii="方正仿宋_GBK" w:hAnsi="方正仿宋_GBK" w:eastAsia="方正仿宋_GBK" w:cs="方正仿宋_GBK"/>
          <w:color w:val="auto"/>
          <w:spacing w:val="-2"/>
          <w:kern w:val="0"/>
          <w:sz w:val="32"/>
          <w:szCs w:val="32"/>
          <w:highlight w:val="none"/>
          <w:lang w:val="en-US" w:eastAsia="zh-CN" w:bidi="ar-SA"/>
        </w:rPr>
        <w:t>逐步建立团学骨干调查研究制度。各级团学组织团学骨干要转变工作作风，经常围绕学校重点工作、学生关注的热点问题和利益诉求开展调查研究，有针对性地到基层了解情况、帮助解决实际问题，不断提升工作水平和服务质量。</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第二十四条  </w:t>
      </w:r>
      <w:r>
        <w:rPr>
          <w:rFonts w:hint="eastAsia" w:ascii="方正仿宋_GBK" w:hAnsi="方正仿宋_GBK" w:eastAsia="方正仿宋_GBK" w:cs="方正仿宋_GBK"/>
          <w:color w:val="auto"/>
          <w:spacing w:val="-2"/>
          <w:kern w:val="0"/>
          <w:sz w:val="32"/>
          <w:szCs w:val="32"/>
          <w:highlight w:val="none"/>
          <w:lang w:val="en-US" w:eastAsia="zh-CN" w:bidi="ar-SA"/>
        </w:rPr>
        <w:t>逐步完善团学组织推荐优秀团学骨干作为党的培养对象制度。各级团学组织按照“团员推优”的基本条件和有关要求，向党组织推荐优秀团学骨干作为重点培养对象。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第二十五条  </w:t>
      </w:r>
      <w:r>
        <w:rPr>
          <w:rFonts w:hint="eastAsia" w:ascii="方正仿宋_GBK" w:hAnsi="方正仿宋_GBK" w:eastAsia="方正仿宋_GBK" w:cs="方正仿宋_GBK"/>
          <w:color w:val="auto"/>
          <w:spacing w:val="-2"/>
          <w:kern w:val="0"/>
          <w:sz w:val="32"/>
          <w:szCs w:val="32"/>
          <w:highlight w:val="none"/>
          <w:lang w:val="en-US" w:eastAsia="zh-CN" w:bidi="ar-SA"/>
        </w:rPr>
        <w:t>逐步探索团学组织学习研讨制度。定期编印和配发学习资料，组织理论研讨、读书沙龙、工作交流等活动，利用寒暑假组织参观、考察，提高团学骨干的理论水平、工作能力和社会责任感。</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第二十六条  </w:t>
      </w:r>
      <w:r>
        <w:rPr>
          <w:rFonts w:hint="eastAsia" w:ascii="方正仿宋_GBK" w:hAnsi="方正仿宋_GBK" w:eastAsia="方正仿宋_GBK" w:cs="方正仿宋_GBK"/>
          <w:color w:val="auto"/>
          <w:spacing w:val="-2"/>
          <w:kern w:val="0"/>
          <w:sz w:val="32"/>
          <w:szCs w:val="32"/>
          <w:highlight w:val="none"/>
          <w:lang w:val="en-US" w:eastAsia="zh-CN" w:bidi="ar-SA"/>
        </w:rPr>
        <w:t>逐步建立团学组织组织生活会制度。各级团学组织主要团学骨干、各部门每年召开1次专题组织生活会，重点对照检查思想状况、工作作风等方面的问题，开展批评和自我批评。团学组织团学骨干同时要参加所在部门组织生活会，带头开展批评与自我批评。团学组织团学骨干组织生活会要邀请相关指导老师参加。</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第二十七条</w:t>
      </w:r>
      <w:r>
        <w:rPr>
          <w:rFonts w:hint="eastAsia" w:ascii="方正仿宋_GBK" w:hAnsi="方正仿宋_GBK" w:eastAsia="方正仿宋_GBK" w:cs="方正仿宋_GBK"/>
          <w:color w:val="auto"/>
          <w:spacing w:val="-2"/>
          <w:kern w:val="0"/>
          <w:sz w:val="32"/>
          <w:szCs w:val="32"/>
          <w:highlight w:val="none"/>
          <w:lang w:val="en-US" w:eastAsia="zh-CN" w:bidi="ar-SA"/>
        </w:rPr>
        <w:t>　建立各级团学组织工作例会制度。定期分系统、分部门召开团学骨干例会，研讨工作、布置任务、交流思想 、反馈信息，并做好会议记录。</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第二十八条</w:t>
      </w:r>
      <w:r>
        <w:rPr>
          <w:rFonts w:hint="eastAsia" w:ascii="方正仿宋_GBK" w:hAnsi="方正仿宋_GBK" w:eastAsia="方正仿宋_GBK" w:cs="方正仿宋_GBK"/>
          <w:color w:val="auto"/>
          <w:spacing w:val="-2"/>
          <w:kern w:val="0"/>
          <w:sz w:val="32"/>
          <w:szCs w:val="32"/>
          <w:highlight w:val="none"/>
          <w:lang w:val="en-US" w:eastAsia="zh-CN" w:bidi="ar-SA"/>
        </w:rPr>
        <w:t>　建立团学骨干年度述职制度。各级团学组织团学骨干要在各自团学组织系统内进行任期述职，部门干事在各自部门内作工作述职，学生社团负责人面向所在社团全体成员或成员代表述职，班级团支部、班委会干部面向所在团支部和班级全体成员述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pacing w:val="-2"/>
          <w:kern w:val="0"/>
          <w:sz w:val="32"/>
          <w:szCs w:val="32"/>
          <w:highlight w:val="none"/>
          <w:lang w:val="en-US" w:eastAsia="zh-CN" w:bidi="ar-SA"/>
        </w:rPr>
      </w:pPr>
      <w:r>
        <w:rPr>
          <w:rFonts w:hint="eastAsia" w:ascii="方正黑体_GBK" w:hAnsi="方正黑体_GBK" w:eastAsia="方正黑体_GBK" w:cs="方正黑体_GBK"/>
          <w:b/>
          <w:bCs/>
          <w:color w:val="auto"/>
          <w:spacing w:val="-2"/>
          <w:kern w:val="0"/>
          <w:sz w:val="32"/>
          <w:szCs w:val="32"/>
          <w:highlight w:val="none"/>
          <w:lang w:val="en-US" w:eastAsia="zh-CN" w:bidi="ar-SA"/>
        </w:rPr>
        <w:t>第五章  工作考核</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highlight w:val="none"/>
          <w:lang w:val="en-US" w:eastAsia="zh-CN" w:bidi="ar-SA"/>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第二十九条  </w:t>
      </w:r>
      <w:r>
        <w:rPr>
          <w:rFonts w:hint="eastAsia" w:ascii="方正仿宋_GBK" w:hAnsi="方正仿宋_GBK" w:eastAsia="方正仿宋_GBK" w:cs="方正仿宋_GBK"/>
          <w:color w:val="auto"/>
          <w:spacing w:val="-2"/>
          <w:kern w:val="0"/>
          <w:sz w:val="32"/>
          <w:szCs w:val="32"/>
          <w:highlight w:val="none"/>
          <w:lang w:val="en-US" w:eastAsia="zh-CN" w:bidi="ar-SA"/>
        </w:rPr>
        <w:t>考核内容。考核主要从团学骨干政治素质、道德品质、学业发展、履职能力和纪律作风等方面进行，力求对团学骨干做出实事求是的客观评价。</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第三十条</w:t>
      </w:r>
      <w:r>
        <w:rPr>
          <w:rFonts w:hint="eastAsia" w:ascii="方正仿宋_GBK" w:hAnsi="方正仿宋_GBK" w:eastAsia="方正仿宋_GBK" w:cs="方正仿宋_GBK"/>
          <w:color w:val="auto"/>
          <w:spacing w:val="-2"/>
          <w:kern w:val="0"/>
          <w:sz w:val="32"/>
          <w:szCs w:val="32"/>
          <w:highlight w:val="none"/>
          <w:lang w:val="en-US" w:eastAsia="zh-CN" w:bidi="ar-SA"/>
        </w:rPr>
        <w:t>　校团委直属组织（部门）的团学骨干考核程序：</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（一）由校团委组织部制定考核方案，成立考核领导小组，确保考核工作公正、准确、有序进行。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（二）校团委直属组织（部门）的团学骨干，填写《云南城市建设职业学院校团委直属组织（部门）团学骨干考核登记表》,并存入学生个人档案。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（三）各二级学院团学组织的团学骨干考核工作，由各二级学院团总支参照校团委考核管理办法，结合二级学院工作实际予以实施，并做好档案管理。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校团委直属组织（部门）的团学骨干考核结果，由校团委组织部反馈至其所在的二级学院党组织。</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第三十一条</w:t>
      </w:r>
      <w:r>
        <w:rPr>
          <w:rFonts w:hint="eastAsia" w:ascii="方正仿宋_GBK" w:hAnsi="方正仿宋_GBK" w:eastAsia="方正仿宋_GBK" w:cs="方正仿宋_GBK"/>
          <w:color w:val="auto"/>
          <w:spacing w:val="-2"/>
          <w:kern w:val="0"/>
          <w:sz w:val="32"/>
          <w:szCs w:val="32"/>
          <w:highlight w:val="none"/>
          <w:lang w:val="en-US" w:eastAsia="zh-CN" w:bidi="ar-SA"/>
        </w:rPr>
        <w:t>　考核时间。校团委直属组织（部门）的团学骨干考核工作，由校团委书记班子会议研究统筹，集中考核一般安排在任期届满前一个月进行。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第三十二条</w:t>
      </w:r>
      <w:r>
        <w:rPr>
          <w:rFonts w:hint="eastAsia" w:ascii="方正仿宋_GBK" w:hAnsi="方正仿宋_GBK" w:eastAsia="方正仿宋_GBK" w:cs="方正仿宋_GBK"/>
          <w:color w:val="auto"/>
          <w:spacing w:val="-2"/>
          <w:kern w:val="0"/>
          <w:sz w:val="32"/>
          <w:szCs w:val="32"/>
          <w:highlight w:val="none"/>
          <w:lang w:val="en-US" w:eastAsia="zh-CN" w:bidi="ar-SA"/>
        </w:rPr>
        <w:t>　考核等次及结果应用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（一）考核结果分为优秀、称职和不称职三个等次，其中优秀比例不超过20%。</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（二）考核结果作为各项先进个人（集体）评比、团学骨干选拔任用、团员发展、推优入党、校内外实践活动等优先考虑的重要依据。</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pacing w:val="-2"/>
          <w:kern w:val="0"/>
          <w:sz w:val="32"/>
          <w:szCs w:val="32"/>
          <w:highlight w:val="none"/>
          <w:lang w:val="en-US" w:eastAsia="zh-CN" w:bidi="ar-SA"/>
        </w:rPr>
      </w:pPr>
      <w:r>
        <w:rPr>
          <w:rFonts w:hint="eastAsia" w:ascii="方正黑体_GBK" w:hAnsi="方正黑体_GBK" w:eastAsia="方正黑体_GBK" w:cs="方正黑体_GBK"/>
          <w:b/>
          <w:bCs/>
          <w:color w:val="auto"/>
          <w:spacing w:val="-2"/>
          <w:kern w:val="0"/>
          <w:sz w:val="32"/>
          <w:szCs w:val="32"/>
          <w:highlight w:val="none"/>
          <w:lang w:val="en-US" w:eastAsia="zh-CN" w:bidi="ar-SA"/>
        </w:rPr>
        <w:t>第六章  纪律监督</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第三十三条  </w:t>
      </w:r>
      <w:r>
        <w:rPr>
          <w:rFonts w:hint="eastAsia" w:ascii="方正仿宋_GBK" w:hAnsi="方正仿宋_GBK" w:eastAsia="方正仿宋_GBK" w:cs="方正仿宋_GBK"/>
          <w:color w:val="auto"/>
          <w:spacing w:val="-2"/>
          <w:kern w:val="0"/>
          <w:sz w:val="32"/>
          <w:szCs w:val="32"/>
          <w:highlight w:val="none"/>
          <w:lang w:val="en-US" w:eastAsia="zh-CN" w:bidi="ar-SA"/>
        </w:rPr>
        <w:t>各级团学组织选拔任用团学骨干，必须严格遵守本办法的各项规定和以下纪律：</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（一）不准未经审批设置岗位或职数，各级团学组织每年干事招聘完成后须将在编人员统计表报校团委办公室。</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（二）不准个人决定团学骨干的任免，个人不能改变集体作出的团学骨干任免决定及选举结果。</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（三）不准在团学骨干选拔任用工作中任人唯亲，封官许愿，营私舞弊，打击报复。</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 xml:space="preserve">第三十四条  </w:t>
      </w:r>
      <w:r>
        <w:rPr>
          <w:rFonts w:hint="eastAsia" w:ascii="方正仿宋_GBK" w:hAnsi="方正仿宋_GBK" w:eastAsia="方正仿宋_GBK" w:cs="方正仿宋_GBK"/>
          <w:color w:val="auto"/>
          <w:spacing w:val="-2"/>
          <w:kern w:val="0"/>
          <w:sz w:val="32"/>
          <w:szCs w:val="32"/>
          <w:highlight w:val="none"/>
          <w:lang w:val="en-US" w:eastAsia="zh-CN" w:bidi="ar-SA"/>
        </w:rPr>
        <w:t>任何个人、组织和部门发现团学骨干有违反校纪校规及本办法者，均可向其所在团组织或校团委办公室检举，同时应提供证据充分的实名举报材料。接收到检举材料的团组织和校团委办公室有义务对检举人的真实情况保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仿宋_GBK" w:hAnsi="方正仿宋_GBK" w:eastAsia="方正仿宋_GBK" w:cs="方正仿宋_GBK"/>
          <w:color w:val="auto"/>
          <w:spacing w:val="-2"/>
          <w:kern w:val="0"/>
          <w:sz w:val="32"/>
          <w:szCs w:val="32"/>
          <w:highlight w:val="none"/>
          <w:lang w:val="en-US" w:eastAsia="zh-CN" w:bidi="ar-SA"/>
        </w:rPr>
        <w:t>各级团组织在接收到检举材料后，应迅速展开实事求是的调查。被调查者应积极配合，不得故意阻挠、破坏调查人员的正常工作。在调查过程中，被调查者的工作不受影响，但是一经查明检举情况属实，立即停止其工作，并依照本办法第二十、二十一条规定进行严肃处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黑体_GBK" w:hAnsi="方正黑体_GBK" w:eastAsia="方正黑体_GBK" w:cs="方正黑体_GBK"/>
          <w:b/>
          <w:bCs/>
          <w:color w:val="auto"/>
          <w:spacing w:val="-2"/>
          <w:kern w:val="0"/>
          <w:sz w:val="32"/>
          <w:szCs w:val="32"/>
          <w:highlight w:val="none"/>
          <w:lang w:val="en-US" w:eastAsia="zh-CN" w:bidi="ar-SA"/>
        </w:rPr>
      </w:pPr>
      <w:r>
        <w:rPr>
          <w:rFonts w:hint="eastAsia" w:ascii="方正黑体_GBK" w:hAnsi="方正黑体_GBK" w:eastAsia="方正黑体_GBK" w:cs="方正黑体_GBK"/>
          <w:b/>
          <w:bCs/>
          <w:color w:val="auto"/>
          <w:spacing w:val="-2"/>
          <w:kern w:val="0"/>
          <w:sz w:val="32"/>
          <w:szCs w:val="32"/>
          <w:highlight w:val="none"/>
          <w:lang w:val="en-US" w:eastAsia="zh-CN" w:bidi="ar-SA"/>
        </w:rPr>
        <w:t>第七章  附 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highlight w:val="none"/>
          <w:lang w:val="en-US" w:eastAsia="zh-CN" w:bidi="ar-SA"/>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第三十六条</w:t>
      </w:r>
      <w:r>
        <w:rPr>
          <w:rFonts w:hint="eastAsia" w:ascii="方正仿宋_GBK" w:hAnsi="方正仿宋_GBK" w:eastAsia="方正仿宋_GBK" w:cs="方正仿宋_GBK"/>
          <w:color w:val="auto"/>
          <w:spacing w:val="-2"/>
          <w:kern w:val="0"/>
          <w:sz w:val="32"/>
          <w:szCs w:val="32"/>
          <w:highlight w:val="none"/>
          <w:lang w:val="en-US" w:eastAsia="zh-CN" w:bidi="ar-SA"/>
        </w:rPr>
        <w:t>　各级团学组织的团学骨干管理，要严格执行本办法。</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第三十七条</w:t>
      </w:r>
      <w:r>
        <w:rPr>
          <w:rFonts w:hint="eastAsia" w:ascii="方正仿宋_GBK" w:hAnsi="方正仿宋_GBK" w:eastAsia="方正仿宋_GBK" w:cs="方正仿宋_GBK"/>
          <w:color w:val="auto"/>
          <w:spacing w:val="-2"/>
          <w:kern w:val="0"/>
          <w:sz w:val="32"/>
          <w:szCs w:val="32"/>
          <w:highlight w:val="none"/>
          <w:lang w:val="en-US" w:eastAsia="zh-CN" w:bidi="ar-SA"/>
        </w:rPr>
        <w:t>　本办法由共青团共青团云南城市建设职业学院委员会负责解释。</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highlight w:val="none"/>
          <w:lang w:val="en-US" w:eastAsia="zh-CN" w:bidi="ar-SA"/>
        </w:rPr>
      </w:pPr>
      <w:r>
        <w:rPr>
          <w:rFonts w:hint="eastAsia" w:ascii="方正楷体_GBK" w:hAnsi="方正楷体_GBK" w:eastAsia="方正楷体_GBK" w:cs="方正楷体_GBK"/>
          <w:b/>
          <w:bCs/>
          <w:color w:val="auto"/>
          <w:spacing w:val="-2"/>
          <w:kern w:val="0"/>
          <w:sz w:val="32"/>
          <w:szCs w:val="32"/>
          <w:highlight w:val="none"/>
          <w:lang w:val="en-US" w:eastAsia="zh-CN" w:bidi="ar-SA"/>
        </w:rPr>
        <w:t>第三十八条</w:t>
      </w:r>
      <w:r>
        <w:rPr>
          <w:rFonts w:hint="eastAsia" w:ascii="方正仿宋_GBK" w:hAnsi="方正仿宋_GBK" w:eastAsia="方正仿宋_GBK" w:cs="方正仿宋_GBK"/>
          <w:color w:val="auto"/>
          <w:spacing w:val="-2"/>
          <w:kern w:val="0"/>
          <w:sz w:val="32"/>
          <w:szCs w:val="32"/>
          <w:highlight w:val="none"/>
          <w:lang w:val="en-US" w:eastAsia="zh-CN" w:bidi="ar-SA"/>
        </w:rPr>
        <w:t>　本办法自2022年8月1日起实施。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color w:val="auto"/>
          <w:sz w:val="36"/>
          <w:szCs w:val="36"/>
          <w:highlight w:val="none"/>
          <w:lang w:val="en-US" w:eastAsia="zh-CN"/>
        </w:rPr>
      </w:pPr>
    </w:p>
    <w:p>
      <w:pPr>
        <w:pageBreakBefore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bCs/>
          <w:color w:val="auto"/>
          <w:spacing w:val="0"/>
          <w:sz w:val="36"/>
          <w:szCs w:val="36"/>
          <w:highlight w:val="none"/>
          <w:lang w:val="en-US" w:eastAsia="zh-CN"/>
        </w:rPr>
      </w:pPr>
      <w:bookmarkStart w:id="370" w:name="_Toc3596"/>
      <w:r>
        <w:rPr>
          <w:rFonts w:hint="eastAsia" w:ascii="方正小标宋_GBK" w:hAnsi="方正小标宋_GBK" w:eastAsia="方正小标宋_GBK" w:cs="方正小标宋_GBK"/>
          <w:b/>
          <w:bCs/>
          <w:color w:val="auto"/>
          <w:spacing w:val="0"/>
          <w:sz w:val="36"/>
          <w:szCs w:val="36"/>
          <w:highlight w:val="none"/>
          <w:lang w:val="en-US" w:eastAsia="zh-CN"/>
        </w:rPr>
        <w:t>云南城市建设职业学院学生社团管理办法（试行）</w:t>
      </w:r>
      <w:bookmarkEnd w:id="37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8"/>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总 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第一条  </w:t>
      </w:r>
      <w:r>
        <w:rPr>
          <w:rFonts w:hint="eastAsia" w:ascii="方正仿宋_GBK" w:hAnsi="方正仿宋_GBK" w:eastAsia="方正仿宋_GBK" w:cs="方正仿宋_GBK"/>
          <w:b w:val="0"/>
          <w:bCs w:val="0"/>
          <w:color w:val="auto"/>
          <w:sz w:val="32"/>
          <w:szCs w:val="32"/>
          <w:highlight w:val="none"/>
          <w:lang w:val="en-US" w:eastAsia="zh-CN"/>
        </w:rPr>
        <w:t>为深入学习贯彻习近平新时代中国特色社会主义思想特别是习近平总书记关于高校思想政治工作和青年工作的重要论述，根据《教育部党组 共青团中央关于印发&lt;高校学生社团建设管理办法&gt;的通知》（教党〔2020〕13号）精神和要求，切实加强我校学生社团的建设管理，充分发挥学生社团育人功能，积极促进我校学生社团的健康有序发展，特制定本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第二条  </w:t>
      </w:r>
      <w:r>
        <w:rPr>
          <w:rFonts w:hint="eastAsia" w:ascii="方正仿宋_GBK" w:hAnsi="方正仿宋_GBK" w:eastAsia="方正仿宋_GBK" w:cs="方正仿宋_GBK"/>
          <w:b w:val="0"/>
          <w:bCs w:val="0"/>
          <w:color w:val="auto"/>
          <w:sz w:val="32"/>
          <w:szCs w:val="32"/>
          <w:highlight w:val="none"/>
          <w:lang w:val="en-US" w:eastAsia="zh-CN"/>
        </w:rPr>
        <w:t>本规定适用于云南城市建设职业学院所有学生社团。学生社团是落实立德树人根本任务，推进素质教育的重要载体，是学生根据成长成才需要，结合自身兴趣特长，在学校党委的领导和团委的指导下开展活动的群众性学生团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第三条  </w:t>
      </w:r>
      <w:r>
        <w:rPr>
          <w:rFonts w:hint="eastAsia" w:ascii="方正仿宋_GBK" w:hAnsi="方正仿宋_GBK" w:eastAsia="方正仿宋_GBK" w:cs="方正仿宋_GBK"/>
          <w:b w:val="0"/>
          <w:bCs w:val="0"/>
          <w:color w:val="auto"/>
          <w:sz w:val="32"/>
          <w:szCs w:val="32"/>
          <w:highlight w:val="none"/>
          <w:lang w:val="en-US" w:eastAsia="zh-CN"/>
        </w:rPr>
        <w:t>我校学生社团分为思想政治类、学术科技类、创新创业类、文化体育类、志愿公益类、自律互助类共六类。各二级学院设有专业类社团归类为学术科技类社团。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第四条  </w:t>
      </w:r>
      <w:r>
        <w:rPr>
          <w:rFonts w:hint="eastAsia" w:ascii="方正仿宋_GBK" w:hAnsi="方正仿宋_GBK" w:eastAsia="方正仿宋_GBK" w:cs="方正仿宋_GBK"/>
          <w:b w:val="0"/>
          <w:bCs w:val="0"/>
          <w:color w:val="auto"/>
          <w:sz w:val="32"/>
          <w:szCs w:val="32"/>
          <w:highlight w:val="none"/>
          <w:lang w:val="en-US" w:eastAsia="zh-CN"/>
        </w:rPr>
        <w:t>学生社团的基本任务是：以习近平新时代中国特色社会主义思想为指导，团结凝聚广大青年学生，坚持思想性、知识性、艺术性、多样性相统一的原则，积极开展方向正确、健康向上、格调高雅、形式多样的社团活动，丰富课余生活，繁荣校园文化，促进青年学生德智体美劳全面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18"/>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学生社团管理机构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第五条  </w:t>
      </w:r>
      <w:r>
        <w:rPr>
          <w:rFonts w:hint="eastAsia" w:ascii="方正仿宋_GBK" w:hAnsi="方正仿宋_GBK" w:eastAsia="方正仿宋_GBK" w:cs="方正仿宋_GBK"/>
          <w:b w:val="0"/>
          <w:bCs w:val="0"/>
          <w:color w:val="auto"/>
          <w:sz w:val="32"/>
          <w:szCs w:val="32"/>
          <w:highlight w:val="none"/>
          <w:lang w:val="en-US" w:eastAsia="zh-CN"/>
        </w:rPr>
        <w:t>学校党委统一领导我校学生社团工作，把学生社团工作纳入学校思想政治工作和群团工作整体格局进行谋划部署，学校党委每年度至少专题研究和听取学生社团工作汇报1次，及时研究解决有关问题。建立健全由党委分管学生工作的负责同志分管学生社团工作，团委指导具体事务，各二级学院、各相关职能部门共同参与的学生社团工作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第六条 </w:t>
      </w:r>
      <w:r>
        <w:rPr>
          <w:rFonts w:hint="eastAsia" w:ascii="方正仿宋_GBK" w:hAnsi="方正仿宋_GBK" w:eastAsia="方正仿宋_GBK" w:cs="方正仿宋_GBK"/>
          <w:b w:val="0"/>
          <w:bCs w:val="0"/>
          <w:color w:val="auto"/>
          <w:sz w:val="32"/>
          <w:szCs w:val="32"/>
          <w:highlight w:val="none"/>
          <w:lang w:val="en-US" w:eastAsia="zh-CN"/>
        </w:rPr>
        <w:t xml:space="preserve"> 校团委负责承担起学生社团建设发展、统筹管理的相关职责。在学校党委的领导下，校团委牵头组织各相关部门负责人及学生社团业务相关领域专家成立学生社团建设管理评议委员会（以下简称评议委员会），对全校学生社团建设发展进行研究规划，制度性研究学生社团注册登记及年审、骨干遴选及考核等重要工作和重大事项，推进党的领导具体化。加强学生社团开展活动的规范管理和分类指导。评议委员会主任由校党委分管学生工作的副书记担任，评议委员会下设办公室，由校团委书记担任办公室主任。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第七条 </w:t>
      </w:r>
      <w:r>
        <w:rPr>
          <w:rFonts w:hint="eastAsia" w:ascii="方正仿宋_GBK" w:hAnsi="方正仿宋_GBK" w:eastAsia="方正仿宋_GBK" w:cs="方正仿宋_GBK"/>
          <w:b w:val="0"/>
          <w:bCs w:val="0"/>
          <w:color w:val="auto"/>
          <w:sz w:val="32"/>
          <w:szCs w:val="32"/>
          <w:highlight w:val="none"/>
          <w:lang w:val="en-US" w:eastAsia="zh-CN"/>
        </w:rPr>
        <w:t xml:space="preserve"> 评议委员会负责对学生社团注册及年审进行评议审核，评议审核结果提交学校党委核准后执行，评议委员会每年10月，对学生社团注册登记材料进行审核，审核合格后报学校党委。每年12月对学生社团星级评定结果进行审核，审核通过后上报学校党委。评议委员会严格把控学生社团质量，促进学生社团精品建设、健康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第八条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加强党建带团建，把党建、团建与学生会建设、社团建设有机结合起来，发挥好共青团的指导作用。校团委加强对全校学生社团的具体管理，成立校团委社团工作部，配备专职工作人员，做好学生社团建设管理评议日常工作和社团建设管理具体事务，做好每年度的学生社团活动专项经费的预算审批和使用。指导学生社团完善社团大会制度，制定学生社团骨干评价考核办法，遴选产生各社团负责人。校团委每学期初将各学生社团活动开展计划进行统计上报学校党委分管学生工作的副书记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第九条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每个学生社团须有明确的业务指导单位。业务指导单位应是与社团业务相关的校内行政职能部门、二级学院。业务指导单位承担学生社团健康发展的主体责任，担负对所负责社团日常活动的监督指导和社团成员的教育管理职责，负责指导教师工作情况评价认定等。学生社团注册、年审时应将工作总结、工作计划、会员构成等材料交业务指导单位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第十条 </w:t>
      </w:r>
      <w:r>
        <w:rPr>
          <w:rFonts w:hint="eastAsia" w:ascii="方正仿宋_GBK" w:hAnsi="方正仿宋_GBK" w:eastAsia="方正仿宋_GBK" w:cs="方正仿宋_GBK"/>
          <w:b w:val="0"/>
          <w:bCs w:val="0"/>
          <w:color w:val="auto"/>
          <w:sz w:val="32"/>
          <w:szCs w:val="32"/>
          <w:highlight w:val="none"/>
          <w:lang w:val="en-US" w:eastAsia="zh-CN"/>
        </w:rPr>
        <w:t xml:space="preserve"> 各职能部门、二级学院在学校党委的领导下，在校团委的指导下，负责本单位社团的日常管理和业务的指导，并承担学生社团健康发展的主体责任。校团委每年度对负责社团指导教师工作情况进行1次评价认定，对社团的工作计划、总结、换届等工作进行审核并报学校党委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第三章 社团的申请、注册、登记、年审及注销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第十一条 </w:t>
      </w:r>
      <w:r>
        <w:rPr>
          <w:rFonts w:hint="eastAsia" w:ascii="方正仿宋_GBK" w:hAnsi="方正仿宋_GBK" w:eastAsia="方正仿宋_GBK" w:cs="方正仿宋_GBK"/>
          <w:b w:val="0"/>
          <w:bCs w:val="0"/>
          <w:color w:val="auto"/>
          <w:sz w:val="32"/>
          <w:szCs w:val="32"/>
          <w:highlight w:val="none"/>
          <w:lang w:val="en-US" w:eastAsia="zh-CN"/>
        </w:rPr>
        <w:t xml:space="preserve"> 除学生会组织（校学生会、各二级学院学生会）、班团组织（行政班级、基层团组织）和校团委直属学生组织外，全校各类学生团体均属于学生社团，均需每年进行注册登记。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第十二条 </w:t>
      </w:r>
      <w:r>
        <w:rPr>
          <w:rFonts w:hint="eastAsia" w:ascii="方正仿宋_GBK" w:hAnsi="方正仿宋_GBK" w:eastAsia="方正仿宋_GBK" w:cs="方正仿宋_GBK"/>
          <w:b w:val="0"/>
          <w:bCs w:val="0"/>
          <w:color w:val="auto"/>
          <w:sz w:val="32"/>
          <w:szCs w:val="32"/>
          <w:highlight w:val="none"/>
          <w:lang w:val="en-US" w:eastAsia="zh-CN"/>
        </w:rPr>
        <w:t xml:space="preserve"> 申请成立学生社团，需具备以下条件：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（一）有20名及以上的本校在读学生联合发起，所有发起人须具有我校正式学籍，未受过校纪校规处分，具有较高的思想政治素养和开展该社团活动必备的基本素质；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（二）有规范的名称和相应的组织机构，名称应与其业务性质相符，准确反映其特征，应符合法律法规要求，不得违背校园文明风尚和社会公共道德；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（三）有明确的指导单位，原则上业务指导单位应是与社团业务相关的校内行政职能部门、二级学院（党团）组织或校内其他学术研究机构；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（四）有至少1名我校在职在岗（党员）教职工担任社团指导教师；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（五）有规范的社团章程，包括社团名称、类别、宗旨、成员资格、权利和义务、组织管理制度、财务制度、负责人产生程序、章程修改程序、社团终止程序及其他应由章程规定的相关事项。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学生评议审核，评议审核结果须提交学校党委审批后方可执行。原则上在把控质量的前提下，促进学生社团精品建设、健康发展。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第十三条 </w:t>
      </w:r>
      <w:r>
        <w:rPr>
          <w:rFonts w:hint="eastAsia" w:ascii="方正仿宋_GBK" w:hAnsi="方正仿宋_GBK" w:eastAsia="方正仿宋_GBK" w:cs="方正仿宋_GBK"/>
          <w:b w:val="0"/>
          <w:bCs w:val="0"/>
          <w:color w:val="auto"/>
          <w:sz w:val="32"/>
          <w:szCs w:val="32"/>
          <w:highlight w:val="none"/>
          <w:lang w:val="en-US" w:eastAsia="zh-CN"/>
        </w:rPr>
        <w:t xml:space="preserve"> 申请成立学生社团，发起人要成立筹备组专门负责筹建事宜并指定拟任负责人，发起人必须向学生社团建设管理评议委员会递交下列材料：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（一）云南城市建设职业学院学生社团注册申请书；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（二）学生社团章程草案；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（三）发起人和拟任负责人基本情况（包括思想表现、学习成绩等）；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（四）指导教师确认书、业务指导单位确认书等；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（五）其他须特殊说明的情况。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第十四条 </w:t>
      </w:r>
      <w:r>
        <w:rPr>
          <w:rFonts w:hint="eastAsia" w:ascii="方正仿宋_GBK" w:hAnsi="方正仿宋_GBK" w:eastAsia="方正仿宋_GBK" w:cs="方正仿宋_GBK"/>
          <w:b w:val="0"/>
          <w:bCs w:val="0"/>
          <w:color w:val="auto"/>
          <w:sz w:val="32"/>
          <w:szCs w:val="32"/>
          <w:highlight w:val="none"/>
          <w:lang w:val="en-US" w:eastAsia="zh-CN"/>
        </w:rPr>
        <w:t xml:space="preserve"> 学生社团注册于每年9月底完成，注册前应向校团委社团工作部提交社团成立注册申请书、发起人和拟任负责人基本情况（包括思想表现、学习成绩等）、指导教师确认书、业务指导单位确认书以及社团章程草案等材料，社团部将于7个工作日内审核通后报学生社团建设管理评议委员会审批。各行政职能部门的学生组织最终提交学校党委同意后方可注册。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第十五条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实行年审制度。社团工作部每年12月底对全校学生社团进行星级评定，评定内容包括社团成员构成、社团负责人工作及学习情况、年度活动清单、指导教师工作情况、业务指导单位意见、财务状况、有无违纪违规情况等。评定结果交学生社团建设管理评议委员会进行审核，最终报学校党委。每年1月初公布学生社团考核等级，并对年审合格的学生社团进行注册登记，只有注册登记的学生社团方可继续开展活动。各职能部门的学生组织严格按照学生社团年审制度和学生社团管理办法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第十六条 </w:t>
      </w:r>
      <w:r>
        <w:rPr>
          <w:rFonts w:hint="eastAsia" w:ascii="方正仿宋_GBK" w:hAnsi="方正仿宋_GBK" w:eastAsia="方正仿宋_GBK" w:cs="方正仿宋_GBK"/>
          <w:b w:val="0"/>
          <w:bCs w:val="0"/>
          <w:color w:val="auto"/>
          <w:sz w:val="32"/>
          <w:szCs w:val="32"/>
          <w:highlight w:val="none"/>
          <w:lang w:val="en-US" w:eastAsia="zh-CN"/>
        </w:rPr>
        <w:t xml:space="preserve"> 学生社团有下列情形之一的，不予批准成立或不予继续注册登记：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（一）申请成立时弄虚作假的；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（二）参加学生社团的人数长期不足20人的；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（三）年审不合格且整改无效的；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（四）全体成员大会决议解散的；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（五）在同一校区已有性质相同或相似学生社团的；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（六）涉及宗教文化的；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（七）涉及民族排他性或地区排他性的；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（八）跨地跨校联合成立的；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（九）未经学校审核批准的校外机构会员单位或分支机构性质的学生组织；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（十）举办违反法律法规、校纪校规或社团章程宗旨活动的；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（十一）其他不宜批准成立或不宜继续注册登记的。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第十七条 </w:t>
      </w:r>
      <w:r>
        <w:rPr>
          <w:rFonts w:hint="eastAsia" w:ascii="方正仿宋_GBK" w:hAnsi="方正仿宋_GBK" w:eastAsia="方正仿宋_GBK" w:cs="方正仿宋_GBK"/>
          <w:b w:val="0"/>
          <w:bCs w:val="0"/>
          <w:color w:val="auto"/>
          <w:sz w:val="32"/>
          <w:szCs w:val="32"/>
          <w:highlight w:val="none"/>
          <w:lang w:val="en-US" w:eastAsia="zh-CN"/>
        </w:rPr>
        <w:t xml:space="preserve"> 校团委社团工作部根据年审结果，对运行情况良好的社团，在评优等方面给予适当的表彰激励。对年审不合格的学生社团提出整改意见，整改期为3个月，整改期间社团不得开展除整改以外的其他活动。对于不符合本办法精神和要求的学生社团，由学生社团建设管理评议委员会报学校党委，立即停止一切活动并进行注销，同时撤销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第十八条 </w:t>
      </w:r>
      <w:r>
        <w:rPr>
          <w:rFonts w:hint="eastAsia" w:ascii="方正仿宋_GBK" w:hAnsi="方正仿宋_GBK" w:eastAsia="方正仿宋_GBK" w:cs="方正仿宋_GBK"/>
          <w:b w:val="0"/>
          <w:bCs w:val="0"/>
          <w:color w:val="auto"/>
          <w:sz w:val="32"/>
          <w:szCs w:val="32"/>
          <w:highlight w:val="none"/>
          <w:lang w:val="en-US" w:eastAsia="zh-CN"/>
        </w:rPr>
        <w:t xml:space="preserve"> 企业、社团机构或个人原则上不得在学校建立特定冠名的学生俱乐部、协会等社团。对于与企业、社会机构或个人联系紧密的创新创业类社团，确有冠名需要的，须报学校党委批准；经批准成立的学生社团，未经请示校团委同意的，不得向学生收取社团费用，原则上按照社团管理要求进行管理，具体业务工作由发起部门直接指导。原则上学生社团不应涉及外事事务，确有需要的，须由校团委报学校党委批准，业务指导单位要加大管理力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第十九条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校团委每年发布该学年《云南城市建设职业学院学生社团白名单》。“白名单”之外的学生社团不得开展任何活动，“白名单”之内的学生社团中的成员，未经学生社团集体研究授权，不得以社团名义开展活动。未经批准成立或已经注销的学生社团不得开展任何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每学期初要接受学校党委组织的定期排查。对于未按规定注册或政治导向错误、开展非法活动的学生社团要依法依规予以取缔。对于校外人员未经学校许可,滥用、冒用学校名称（包括学校已申请注册具有法律效力的简称、别称）建立学生社团(含其运营的新媒体平台)在校内外开展非法活动的，除对其校内非法活动及活动据点予以取缔外，还应运用法律手段依法追究该非法社团及相关负责人的法律责任，维护学校和学生权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第四章 社团活动管理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第二十一条 </w:t>
      </w:r>
      <w:r>
        <w:rPr>
          <w:rFonts w:hint="eastAsia" w:ascii="方正仿宋_GBK" w:hAnsi="方正仿宋_GBK" w:eastAsia="方正仿宋_GBK" w:cs="方正仿宋_GBK"/>
          <w:b w:val="0"/>
          <w:bCs w:val="0"/>
          <w:color w:val="auto"/>
          <w:sz w:val="32"/>
          <w:szCs w:val="32"/>
          <w:highlight w:val="none"/>
          <w:lang w:val="en-US" w:eastAsia="zh-CN"/>
        </w:rPr>
        <w:t xml:space="preserve"> 鼓励学生社团依据法律法规、校纪校规、社团章程广泛开展社团活动。积极创新载体形式，不断增强社团活动的吸引力和感染力。社团活动须经学生社团集体决策、指导教师同意并报业务单位批准后方可开展。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第二十二条 </w:t>
      </w:r>
      <w:r>
        <w:rPr>
          <w:rFonts w:hint="eastAsia" w:ascii="方正仿宋_GBK" w:hAnsi="方正仿宋_GBK" w:eastAsia="方正仿宋_GBK" w:cs="方正仿宋_GBK"/>
          <w:b w:val="0"/>
          <w:bCs w:val="0"/>
          <w:color w:val="auto"/>
          <w:sz w:val="32"/>
          <w:szCs w:val="32"/>
          <w:highlight w:val="none"/>
          <w:lang w:val="en-US" w:eastAsia="zh-CN"/>
        </w:rPr>
        <w:t xml:space="preserve"> 学生社团临时性活动是指有上级要求或在特殊节日、重大时间节点所举办的与社团业务相关的活动。社团临时活动须经学生社团集体决策、指导教师同意并报业务指导单位批准后方可开展。300人以上的活动需填写大型活动审批表、活动策划、安保方案等书面材料，由业务指导部门提交至校团委社团部审核通过后，报学校后保处备案方可开展。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第二十三条 </w:t>
      </w:r>
      <w:r>
        <w:rPr>
          <w:rFonts w:hint="eastAsia" w:ascii="方正仿宋_GBK" w:hAnsi="方正仿宋_GBK" w:eastAsia="方正仿宋_GBK" w:cs="方正仿宋_GBK"/>
          <w:b w:val="0"/>
          <w:bCs w:val="0"/>
          <w:color w:val="auto"/>
          <w:sz w:val="32"/>
          <w:szCs w:val="32"/>
          <w:highlight w:val="none"/>
          <w:lang w:val="en-US" w:eastAsia="zh-CN"/>
        </w:rPr>
        <w:t xml:space="preserve"> 学生社团及其成员不得开展与其宗旨不符的活动，不得开展纯商业性活动，不得参与违法违纪活动，不得散布违背宪法、法律、法规和党的路线方针政策的错误观点和言论。未经批准，学生社团不得自行与校外任何单位、组织或个人签订任何形式的合约或协议，不得接受组织性质不明的经费资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第二十四条 </w:t>
      </w:r>
      <w:r>
        <w:rPr>
          <w:rFonts w:hint="eastAsia" w:ascii="方正仿宋_GBK" w:hAnsi="方正仿宋_GBK" w:eastAsia="方正仿宋_GBK" w:cs="方正仿宋_GBK"/>
          <w:b w:val="0"/>
          <w:bCs w:val="0"/>
          <w:color w:val="auto"/>
          <w:sz w:val="32"/>
          <w:szCs w:val="32"/>
          <w:highlight w:val="none"/>
          <w:lang w:val="en-US" w:eastAsia="zh-CN"/>
        </w:rPr>
        <w:t xml:space="preserve"> 学生社团建立网站、新媒体平台及印发刊物等须向业务指导单位、校团委、党委宣传部、学校党委进行审批。学生社团开展线上线下宣传、发布活动信息须经指导老师、业务指导部门负责人、校团委、党委宣传部进行审批。业务指导单位要建立内容把关机制，确保发布内容积极健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第二十五条 </w:t>
      </w:r>
      <w:r>
        <w:rPr>
          <w:rFonts w:hint="eastAsia" w:ascii="方正仿宋_GBK" w:hAnsi="方正仿宋_GBK" w:eastAsia="方正仿宋_GBK" w:cs="方正仿宋_GBK"/>
          <w:b w:val="0"/>
          <w:bCs w:val="0"/>
          <w:color w:val="auto"/>
          <w:sz w:val="32"/>
          <w:szCs w:val="32"/>
          <w:highlight w:val="none"/>
          <w:lang w:val="en-US" w:eastAsia="zh-CN"/>
        </w:rPr>
        <w:t xml:space="preserve"> 学生社团邀请校外人士出席活动，须在业务指导单位批准的前提下，按照学校的相关要求进行审批和备案；学生社团以社团名义到校外参加活动时，原则上须由社团指导教师带队，须提前向业务指导单位申请，并向学生社团建设管理评议委员会办公室报备。学生社团举办讲座、报告会、沙龙论坛等活动，需按照学校报告会、论坛和讲座管理办法相关要求进行审批和备案方可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第二十六条 </w:t>
      </w:r>
      <w:r>
        <w:rPr>
          <w:rFonts w:hint="eastAsia" w:ascii="方正仿宋_GBK" w:hAnsi="方正仿宋_GBK" w:eastAsia="方正仿宋_GBK" w:cs="方正仿宋_GBK"/>
          <w:b w:val="0"/>
          <w:bCs w:val="0"/>
          <w:color w:val="auto"/>
          <w:sz w:val="32"/>
          <w:szCs w:val="32"/>
          <w:highlight w:val="none"/>
          <w:lang w:val="en-US" w:eastAsia="zh-CN"/>
        </w:rPr>
        <w:t xml:space="preserve"> 加强学生社团及其成员开展活动的规范管理和分类指导。发现违反法律法规或校纪校规的活动,要坚决及时制止。对违反法律法规或校纪校规的学生社团，要视情节严重，按程序对相关责任人给予纪律处分。在校期间受到校纪校规处分的、曾因违反有关规定被撤销社团职务的、对社团被宣布解散或注销应当承担主要责任的学生不得再担任社团负责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第二十七条 </w:t>
      </w:r>
      <w:r>
        <w:rPr>
          <w:rFonts w:hint="eastAsia" w:ascii="方正仿宋_GBK" w:hAnsi="方正仿宋_GBK" w:eastAsia="方正仿宋_GBK" w:cs="方正仿宋_GBK"/>
          <w:b w:val="0"/>
          <w:bCs w:val="0"/>
          <w:color w:val="auto"/>
          <w:sz w:val="32"/>
          <w:szCs w:val="32"/>
          <w:highlight w:val="none"/>
          <w:lang w:val="en-US" w:eastAsia="zh-CN"/>
        </w:rPr>
        <w:t xml:space="preserve"> 强化学生社团监督工作。校团委每学期组织开展学生社团排查工作。对于未按规定注册或政治导向错误、开展非法活动的学生社团要依法依规予以取缔。发现违反法律或校纪校规的活动，坚决及时制止。对违反法律法规或校纪校规的学生社团，视情节严重，按程序对相关责任人给予纪律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9"/>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组织建设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第二十八条 </w:t>
      </w:r>
      <w:r>
        <w:rPr>
          <w:rFonts w:hint="eastAsia" w:ascii="方正仿宋_GBK" w:hAnsi="方正仿宋_GBK" w:eastAsia="方正仿宋_GBK" w:cs="方正仿宋_GBK"/>
          <w:b w:val="0"/>
          <w:bCs w:val="0"/>
          <w:color w:val="auto"/>
          <w:sz w:val="32"/>
          <w:szCs w:val="32"/>
          <w:highlight w:val="none"/>
          <w:lang w:val="en-US" w:eastAsia="zh-CN"/>
        </w:rPr>
        <w:t xml:space="preserve"> 充分保障学生社团成员权利。所有学生社团成员应当是具有正式学籍的本校在读学生。社团成员有权了解所在社团的章程、组织机构和财务制度，有权对社团的管理和活动提出建议和质询，有权按照章程申请加入或退出该社团，有权向上级管理部门反映社团及其成员出现的违反法律法规或校纪校规等问题。建立学生社团管理系统，社团成员应每年一次注册，并按相关要求参加社团相关活动，原则上每名学生最多加入2个学生社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第二十九条 </w:t>
      </w:r>
      <w:r>
        <w:rPr>
          <w:rFonts w:hint="eastAsia" w:ascii="方正仿宋_GBK" w:hAnsi="方正仿宋_GBK" w:eastAsia="方正仿宋_GBK" w:cs="方正仿宋_GBK"/>
          <w:b w:val="0"/>
          <w:bCs w:val="0"/>
          <w:color w:val="auto"/>
          <w:sz w:val="32"/>
          <w:szCs w:val="32"/>
          <w:highlight w:val="none"/>
          <w:lang w:val="en-US" w:eastAsia="zh-CN"/>
        </w:rPr>
        <w:t xml:space="preserve"> 完善学生社团全体成员大会制度。拟批准成立的学生社团要于成立当月召开全体成员大会或成员代表大会，通过社团章程，选举产生社团负责人候选人。已注册的学生社团要求每学期至少召开2次全体成员大会或成员代表大会，依照社团章程行使职权，包括选举和更换社团负责人候选人，审议社团工作报告，对社团变更、解散等事项做出决定，修改社团章程，监督社团财务及活动开展情况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第三十条 </w:t>
      </w:r>
      <w:r>
        <w:rPr>
          <w:rFonts w:hint="eastAsia" w:ascii="方正仿宋_GBK" w:hAnsi="方正仿宋_GBK" w:eastAsia="方正仿宋_GBK" w:cs="方正仿宋_GBK"/>
          <w:b w:val="0"/>
          <w:bCs w:val="0"/>
          <w:color w:val="auto"/>
          <w:sz w:val="32"/>
          <w:szCs w:val="32"/>
          <w:highlight w:val="none"/>
          <w:lang w:val="en-US" w:eastAsia="zh-CN"/>
        </w:rPr>
        <w:t xml:space="preserve"> 健全学生社团骨干遴选机制。学生社团负责人候选人须政治立场鲜明、学习成绩优秀、组织能力突出。学习成绩综合排名须在班级前50%。学生社团负责人由党委学生工作部门和校团委的指导下，通过提名推荐、公开选举、考察公示、审核批准等环节遴选产生。思想政治类社团和志愿公益类社团的主要负责人应为中共（预备）党员。社团各部门负责人由学生社团在指导单位和指导教师的指导下遴选产生，名单报校团委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第三十一条 </w:t>
      </w:r>
      <w:r>
        <w:rPr>
          <w:rFonts w:hint="eastAsia" w:ascii="方正仿宋_GBK" w:hAnsi="方正仿宋_GBK" w:eastAsia="方正仿宋_GBK" w:cs="方正仿宋_GBK"/>
          <w:b w:val="0"/>
          <w:bCs w:val="0"/>
          <w:color w:val="auto"/>
          <w:sz w:val="32"/>
          <w:szCs w:val="32"/>
          <w:highlight w:val="none"/>
          <w:lang w:val="en-US" w:eastAsia="zh-CN"/>
        </w:rPr>
        <w:t xml:space="preserve"> 强化学生社团骨干评价激励。校团委社团工作部制定全面客观、科学有效的学生骨干评价考核办法，建立以服务和贡献为导向的荣誉激励机制，引导学生社团骨干全心全意为社团发展服务，为社团成员成长助力，在社团工作的实践中受教育、长才干、做贡献。每年根据学生社团星级评定结果产生一定数量优秀社团工作者进行表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2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第三十二条 </w:t>
      </w:r>
      <w:r>
        <w:rPr>
          <w:rFonts w:hint="eastAsia" w:ascii="方正仿宋_GBK" w:hAnsi="方正仿宋_GBK" w:eastAsia="方正仿宋_GBK" w:cs="方正仿宋_GBK"/>
          <w:b w:val="0"/>
          <w:bCs w:val="0"/>
          <w:color w:val="auto"/>
          <w:sz w:val="32"/>
          <w:szCs w:val="32"/>
          <w:highlight w:val="none"/>
          <w:lang w:val="en-US" w:eastAsia="zh-CN"/>
        </w:rPr>
        <w:t xml:space="preserve"> 学生社团指导教师的主要职责是：指导学生社团发展建设，把握社团发展正确方向，加强社团成员思想政治教育，规范学生社团日常管理，参加学生社团相关活动，开展学生社团骨干培训，定期对所指导社团工作进行总结，及时发现掌握、指导整改社团建设活动中存在的突出问题，并向业务指导单位、学生社团建设管理评议委员会办公室报告等。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第三十三条 </w:t>
      </w:r>
      <w:r>
        <w:rPr>
          <w:rFonts w:hint="eastAsia" w:ascii="方正仿宋_GBK" w:hAnsi="方正仿宋_GBK" w:eastAsia="方正仿宋_GBK" w:cs="方正仿宋_GBK"/>
          <w:b w:val="0"/>
          <w:bCs w:val="0"/>
          <w:color w:val="auto"/>
          <w:sz w:val="32"/>
          <w:szCs w:val="32"/>
          <w:highlight w:val="none"/>
          <w:lang w:val="en-US" w:eastAsia="zh-CN"/>
        </w:rPr>
        <w:t xml:space="preserve"> 学生社团指导教师应为本校在编在岗教职工，具备较强的思想政治素质、组织管理能力和社团发展相关的专业知识，工作经验丰富，热心公益事务，具备奉献精神，关爱学生成长。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第三十四条 </w:t>
      </w:r>
      <w:r>
        <w:rPr>
          <w:rFonts w:hint="eastAsia" w:ascii="方正仿宋_GBK" w:hAnsi="方正仿宋_GBK" w:eastAsia="方正仿宋_GBK" w:cs="方正仿宋_GBK"/>
          <w:b w:val="0"/>
          <w:bCs w:val="0"/>
          <w:color w:val="auto"/>
          <w:sz w:val="32"/>
          <w:szCs w:val="32"/>
          <w:highlight w:val="none"/>
          <w:lang w:val="en-US" w:eastAsia="zh-CN"/>
        </w:rPr>
        <w:t xml:space="preserve"> 配强学生社团指导教师，形成齐抓共管的协调联动长效机制。党委学生工作部门要牵头建立学生社团指导教师选聘机制，会同校团委、党委组织部、党委宣传部、党委学生工作部、人力资源部、教务处等部门，注重发挥各二级学院为依托，按照个人申请、组织推荐、双向选择的原则建立指导教师库，并在教师库内选聘指导教师。思想政治类社团和志愿公益类社团指导教师须为中共党员。鼓励选聘高水平的思政课教师担任思想政治类社团的指导教师。指导教师实行聘任制，每个聘期为1年。原则上每名指导教师最多可指导2个学生社团，每个学生社团最多配备2名指导教师，且至少有1名指导教师为中共党员。对于指导教师在日常社团活动的管理、指导不称职等情况，学生社团建设管理评议委员会将及时进行调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第三十五条 </w:t>
      </w:r>
      <w:r>
        <w:rPr>
          <w:rFonts w:hint="eastAsia" w:ascii="方正仿宋_GBK" w:hAnsi="方正仿宋_GBK" w:eastAsia="方正仿宋_GBK" w:cs="方正仿宋_GBK"/>
          <w:b w:val="0"/>
          <w:bCs w:val="0"/>
          <w:color w:val="auto"/>
          <w:sz w:val="32"/>
          <w:szCs w:val="32"/>
          <w:highlight w:val="none"/>
          <w:lang w:val="en-US" w:eastAsia="zh-CN"/>
        </w:rPr>
        <w:t xml:space="preserve"> 学生工作部门要牵头加强对学生社团指导教师评价考核。将指导教师纳入高校思想政治工作队伍培训计划，加大培训力度。学生社团指导教师工作量核定按照相应的标准计算工作量。日常指导工作完成后计算相应的工作量，学生社团建设管理评议委员会考核后将工作量报人力资源部实施。人力资源部将指导学生社团情况纳入教师思想政治工作和师德师风表现中。对考核优秀的指导教师在绩效工资、职称评聘、评奖评优中给予政策支持，对考核不合格的指导教师解除聘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2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经费管理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 xml:space="preserve">  </w:t>
      </w:r>
      <w:r>
        <w:rPr>
          <w:rFonts w:hint="eastAsia" w:ascii="方正楷体_GBK" w:hAnsi="方正楷体_GBK" w:eastAsia="方正楷体_GBK" w:cs="方正楷体_GBK"/>
          <w:b/>
          <w:bCs/>
          <w:color w:val="auto"/>
          <w:sz w:val="32"/>
          <w:szCs w:val="32"/>
          <w:highlight w:val="none"/>
          <w:lang w:val="en-US" w:eastAsia="zh-CN"/>
        </w:rPr>
        <w:t xml:space="preserve">  第三十六条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学生社团原则上不接受校外资助，社团活动经费根据开展活动需要，向社团业务指导部门提出申请，业务指导部门根据工作实际需要提供必要经费保障，并对经费的使用进行指导与审核。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第三十七条 </w:t>
      </w:r>
      <w:r>
        <w:rPr>
          <w:rFonts w:hint="eastAsia" w:ascii="方正仿宋_GBK" w:hAnsi="方正仿宋_GBK" w:eastAsia="方正仿宋_GBK" w:cs="方正仿宋_GBK"/>
          <w:b w:val="0"/>
          <w:bCs w:val="0"/>
          <w:color w:val="auto"/>
          <w:sz w:val="32"/>
          <w:szCs w:val="32"/>
          <w:highlight w:val="none"/>
          <w:lang w:val="en-US" w:eastAsia="zh-CN"/>
        </w:rPr>
        <w:t xml:space="preserve"> 加强学生社团场地保障。学校在活动场所、设备、活动时间等方面对学生社团予以保障。积极引导学术科技类社团在实训中心开展活动；文化体育类社团可申请在学校操场、排练室等公共区域开展活动；同时，学校活动室在空闲期间为学生社团活动提供保障，社团可通过申请使用活动场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2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第三十八条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建立倒查问责机制,对学生社团管理出现重大问题的相关部门、业务指导单位及指导教师，要按照全面从严治党要求依规依纪进行严肃追责问责。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第三十九条  </w:t>
      </w:r>
      <w:r>
        <w:rPr>
          <w:rFonts w:hint="eastAsia" w:ascii="方正仿宋_GBK" w:hAnsi="方正仿宋_GBK" w:eastAsia="方正仿宋_GBK" w:cs="方正仿宋_GBK"/>
          <w:b w:val="0"/>
          <w:bCs w:val="0"/>
          <w:color w:val="auto"/>
          <w:sz w:val="32"/>
          <w:szCs w:val="32"/>
          <w:highlight w:val="none"/>
          <w:lang w:val="en-US" w:eastAsia="zh-CN"/>
        </w:rPr>
        <w:t>本办法适用于云南城市建设职业学院全体学生社团。各相关部门、业务指导单位应根据本办法，结合工作实际制定相关制度或实施细则，并报学生社团建设管理评议委员会办公室备案。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02"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0"/>
          <w:szCs w:val="30"/>
          <w:highlight w:val="none"/>
          <w:lang w:val="en-US" w:eastAsia="zh-CN"/>
        </w:rPr>
        <w:t xml:space="preserve">第四十条  </w:t>
      </w:r>
      <w:r>
        <w:rPr>
          <w:rFonts w:hint="eastAsia" w:ascii="方正仿宋_GBK" w:hAnsi="方正仿宋_GBK" w:eastAsia="方正仿宋_GBK" w:cs="方正仿宋_GBK"/>
          <w:b w:val="0"/>
          <w:bCs w:val="0"/>
          <w:color w:val="auto"/>
          <w:sz w:val="32"/>
          <w:szCs w:val="32"/>
          <w:highlight w:val="none"/>
          <w:lang w:val="en-US" w:eastAsia="zh-CN"/>
        </w:rPr>
        <w:t>本办法自发布之日起施行，由共青团云南城市建设职业学院负责解释。其他有关学生社团管理办法的规定与本方法不一致的，以本办法为准。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pageBreakBefore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bCs/>
          <w:color w:val="auto"/>
          <w:sz w:val="36"/>
          <w:szCs w:val="36"/>
          <w:highlight w:val="none"/>
          <w:lang w:val="en-US" w:eastAsia="zh-CN"/>
        </w:rPr>
      </w:pPr>
      <w:bookmarkStart w:id="371" w:name="_Toc21919"/>
      <w:r>
        <w:rPr>
          <w:rFonts w:hint="eastAsia" w:ascii="方正小标宋_GBK" w:hAnsi="方正小标宋_GBK" w:eastAsia="方正小标宋_GBK" w:cs="方正小标宋_GBK"/>
          <w:b/>
          <w:bCs/>
          <w:color w:val="auto"/>
          <w:sz w:val="36"/>
          <w:szCs w:val="36"/>
          <w:highlight w:val="none"/>
          <w:lang w:val="en-US" w:eastAsia="zh-CN"/>
        </w:rPr>
        <w:t>云南城市建设职业学院关于学校各级团学骨干改进作风服务同学的若干规定</w:t>
      </w:r>
      <w:bookmarkEnd w:id="371"/>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i w:val="0"/>
          <w:iCs w:val="0"/>
          <w:caps w:val="0"/>
          <w:color w:val="auto"/>
          <w:spacing w:val="0"/>
          <w:sz w:val="36"/>
          <w:szCs w:val="36"/>
          <w:highlight w:val="none"/>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为了树立学校各级团学组织清醒阳光的组织形象，依据全国学联印发的《关于学联学生会工作人员改进作风服务同学的若干规定》有关规定，结合学校实际，制定本规定。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　恪守学生本分。带头勤奋学习，学好专业知识，培养科学精神，模范遵守法律法规、校规校纪和学术规范。不得因学生工作而迟到早退、缺课旷课、荒废学业。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第二条</w:t>
      </w:r>
      <w:r>
        <w:rPr>
          <w:rFonts w:hint="eastAsia" w:ascii="方正仿宋_GBK" w:hAnsi="方正仿宋_GBK" w:eastAsia="方正仿宋_GBK" w:cs="方正仿宋_GBK"/>
          <w:i w:val="0"/>
          <w:iCs w:val="0"/>
          <w:caps w:val="0"/>
          <w:color w:val="auto"/>
          <w:spacing w:val="0"/>
          <w:sz w:val="32"/>
          <w:szCs w:val="32"/>
          <w:highlight w:val="none"/>
          <w:shd w:val="clear" w:fill="FFFFFF"/>
        </w:rPr>
        <w:t>　</w:t>
      </w:r>
      <w:r>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t>牢记服务宗旨。把努力为同学服务作为主要目的，从同学中来、到同学中去，认真倾听广大同学诉求，积极畅通校园沟通协调渠道，实心实意帮助同学解决困难。不得把服务同学当作秀，装样子、走过场。</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第三条</w:t>
      </w:r>
      <w:r>
        <w:rPr>
          <w:rFonts w:hint="eastAsia" w:ascii="方正仿宋_GBK" w:hAnsi="方正仿宋_GBK" w:eastAsia="方正仿宋_GBK" w:cs="方正仿宋_GBK"/>
          <w:i w:val="0"/>
          <w:iCs w:val="0"/>
          <w:caps w:val="0"/>
          <w:color w:val="auto"/>
          <w:spacing w:val="0"/>
          <w:sz w:val="32"/>
          <w:szCs w:val="32"/>
          <w:highlight w:val="none"/>
          <w:shd w:val="clear" w:fill="FFFFFF"/>
        </w:rPr>
        <w:t>　永葆理想情怀。珍惜代表服务同学的荣誉和锻炼能力的机会，公私分明，甘于奉献。不得投机钻营、自我设计，借组织平台为个人“镀金”“铺路”，谋求“加分”等私利。</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第四条</w:t>
      </w:r>
      <w:r>
        <w:rPr>
          <w:rFonts w:hint="eastAsia" w:ascii="方正仿宋_GBK" w:hAnsi="方正仿宋_GBK" w:eastAsia="方正仿宋_GBK" w:cs="方正仿宋_GBK"/>
          <w:i w:val="0"/>
          <w:iCs w:val="0"/>
          <w:caps w:val="0"/>
          <w:color w:val="auto"/>
          <w:spacing w:val="0"/>
          <w:sz w:val="32"/>
          <w:szCs w:val="32"/>
          <w:highlight w:val="none"/>
          <w:shd w:val="clear" w:fill="FFFFFF"/>
        </w:rPr>
        <w:t>　勤勉务实做事。把让广大同学满意作为工作目标，扎根同学、勤奋工作、求真务实，力戒模仿行政化工作方式。不得搞形式主义、做表面文章，作风漂浮、慵懒无为。</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第五条</w:t>
      </w:r>
      <w:r>
        <w:rPr>
          <w:rFonts w:hint="eastAsia" w:ascii="方正仿宋_GBK" w:hAnsi="方正仿宋_GBK" w:eastAsia="方正仿宋_GBK" w:cs="方正仿宋_GBK"/>
          <w:i w:val="0"/>
          <w:iCs w:val="0"/>
          <w:caps w:val="0"/>
          <w:color w:val="auto"/>
          <w:spacing w:val="0"/>
          <w:sz w:val="32"/>
          <w:szCs w:val="32"/>
          <w:highlight w:val="none"/>
          <w:shd w:val="clear" w:fill="FFFFFF"/>
        </w:rPr>
        <w:t>　营造平等氛围。牢记自己的首要身份是学生，牢记</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各级团学组织</w:t>
      </w:r>
      <w:r>
        <w:rPr>
          <w:rFonts w:hint="eastAsia" w:ascii="方正仿宋_GBK" w:hAnsi="方正仿宋_GBK" w:eastAsia="方正仿宋_GBK" w:cs="方正仿宋_GBK"/>
          <w:i w:val="0"/>
          <w:iCs w:val="0"/>
          <w:caps w:val="0"/>
          <w:color w:val="auto"/>
          <w:spacing w:val="0"/>
          <w:sz w:val="32"/>
          <w:szCs w:val="32"/>
          <w:highlight w:val="none"/>
          <w:shd w:val="clear" w:fill="FFFFFF"/>
        </w:rPr>
        <w:t>工作的本质是群众工作，彼此互相帮助、平等相待。不得以学生“官”自居，追求头衔、装腔作势，不得向同学指派与工作无关的任务，不得未经批准以</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团学组织</w:t>
      </w:r>
      <w:r>
        <w:rPr>
          <w:rFonts w:hint="eastAsia" w:ascii="方正仿宋_GBK" w:hAnsi="方正仿宋_GBK" w:eastAsia="方正仿宋_GBK" w:cs="方正仿宋_GBK"/>
          <w:i w:val="0"/>
          <w:iCs w:val="0"/>
          <w:caps w:val="0"/>
          <w:color w:val="auto"/>
          <w:spacing w:val="0"/>
          <w:sz w:val="32"/>
          <w:szCs w:val="32"/>
          <w:highlight w:val="none"/>
          <w:shd w:val="clear" w:fill="FFFFFF"/>
        </w:rPr>
        <w:t>及工作人员名义开展其他业务。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第六条</w:t>
      </w:r>
      <w:r>
        <w:rPr>
          <w:rFonts w:hint="eastAsia" w:ascii="方正仿宋_GBK" w:hAnsi="方正仿宋_GBK" w:eastAsia="方正仿宋_GBK" w:cs="方正仿宋_GBK"/>
          <w:i w:val="0"/>
          <w:iCs w:val="0"/>
          <w:caps w:val="0"/>
          <w:color w:val="auto"/>
          <w:spacing w:val="0"/>
          <w:sz w:val="32"/>
          <w:szCs w:val="32"/>
          <w:highlight w:val="none"/>
          <w:shd w:val="clear" w:fill="FFFFFF"/>
        </w:rPr>
        <w:t>　摒弃庸俗习气。努力建设充满朝气、干净纯粹的组织文化，坚决抵制社会不良习气侵蚀。不得拉帮结派、搞小圈子，不得吃吃喝喝、贪图玩乐、讲求排场。</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方正仿宋_GBK" w:hAnsi="方正仿宋_GBK" w:eastAsia="方正仿宋_GBK" w:cs="方正仿宋_GBK"/>
          <w:i w:val="0"/>
          <w:iCs w:val="0"/>
          <w:caps w:val="0"/>
          <w:color w:val="auto"/>
          <w:spacing w:val="0"/>
          <w:sz w:val="32"/>
          <w:szCs w:val="32"/>
          <w:highlight w:val="none"/>
          <w:shd w:val="clear" w:fill="FFFFFF"/>
          <w:lang w:val="en-US" w:eastAsia="zh-CN"/>
        </w:rPr>
      </w:pPr>
      <w:r>
        <w:rPr>
          <w:rFonts w:hint="eastAsia" w:ascii="方正楷体_GBK" w:hAnsi="方正楷体_GBK" w:eastAsia="方正楷体_GBK" w:cs="方正楷体_GBK"/>
          <w:b/>
          <w:bCs/>
          <w:i w:val="0"/>
          <w:iCs w:val="0"/>
          <w:caps w:val="0"/>
          <w:color w:val="auto"/>
          <w:spacing w:val="0"/>
          <w:kern w:val="0"/>
          <w:sz w:val="32"/>
          <w:szCs w:val="32"/>
          <w:highlight w:val="none"/>
          <w:shd w:val="clear" w:fill="FFFFFF"/>
          <w:lang w:val="en-US" w:eastAsia="zh-CN" w:bidi="ar"/>
        </w:rPr>
        <w:t>附则</w:t>
      </w:r>
      <w:r>
        <w:rPr>
          <w:rFonts w:hint="eastAsia" w:ascii="方正仿宋_GBK" w:hAnsi="方正仿宋_GBK" w:eastAsia="方正仿宋_GBK" w:cs="方正仿宋_GBK"/>
          <w:i w:val="0"/>
          <w:iCs w:val="0"/>
          <w:caps w:val="0"/>
          <w:color w:val="auto"/>
          <w:spacing w:val="0"/>
          <w:sz w:val="32"/>
          <w:szCs w:val="32"/>
          <w:highlight w:val="none"/>
          <w:shd w:val="clear" w:fill="FFFFFF"/>
          <w:lang w:val="en-US" w:eastAsia="zh-CN"/>
        </w:rPr>
        <w:t xml:space="preserve">  本规定适用于校团委直属组织（部门）；各二级学院团总支（学生会）；各班级团支部、班委会；各学生社团中任职或工作的团学骨干。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color w:val="auto"/>
          <w:kern w:val="2"/>
          <w:sz w:val="32"/>
          <w:szCs w:val="32"/>
          <w:highlight w:val="none"/>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color w:val="auto"/>
          <w:kern w:val="2"/>
          <w:sz w:val="36"/>
          <w:szCs w:val="36"/>
          <w:highlight w:val="none"/>
          <w:lang w:val="en-US" w:eastAsia="zh-CN" w:bidi="ar-SA"/>
        </w:rPr>
      </w:pPr>
      <w:bookmarkStart w:id="372" w:name="_Toc9901"/>
      <w:r>
        <w:rPr>
          <w:rFonts w:hint="eastAsia" w:ascii="方正小标宋_GBK" w:hAnsi="方正小标宋_GBK" w:eastAsia="方正小标宋_GBK" w:cs="方正小标宋_GBK"/>
          <w:b/>
          <w:bCs/>
          <w:color w:val="auto"/>
          <w:kern w:val="2"/>
          <w:sz w:val="36"/>
          <w:szCs w:val="36"/>
          <w:highlight w:val="none"/>
          <w:lang w:val="en-US" w:eastAsia="zh-CN" w:bidi="ar-SA"/>
        </w:rPr>
        <w:t>中国共产主义青年团纪律处分条例（试行）</w:t>
      </w:r>
      <w:bookmarkEnd w:id="372"/>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楷体_GBK" w:hAnsi="方正楷体_GBK" w:eastAsia="方正楷体_GBK" w:cs="方正楷体_GBK"/>
          <w:i w:val="0"/>
          <w:iCs w:val="0"/>
          <w:caps w:val="0"/>
          <w:color w:val="auto"/>
          <w:spacing w:val="0"/>
          <w:sz w:val="27"/>
          <w:szCs w:val="27"/>
          <w:highlight w:val="none"/>
          <w:shd w:val="clear" w:fill="FFFFFF"/>
          <w:lang w:eastAsia="zh-CN"/>
        </w:rPr>
      </w:pPr>
      <w:r>
        <w:rPr>
          <w:rFonts w:hint="eastAsia" w:ascii="方正楷体_GBK" w:hAnsi="方正楷体_GBK" w:eastAsia="方正楷体_GBK" w:cs="方正楷体_GBK"/>
          <w:i w:val="0"/>
          <w:iCs w:val="0"/>
          <w:caps w:val="0"/>
          <w:color w:val="auto"/>
          <w:spacing w:val="0"/>
          <w:sz w:val="27"/>
          <w:szCs w:val="27"/>
          <w:highlight w:val="none"/>
          <w:shd w:val="clear" w:fill="FFFFFF"/>
        </w:rPr>
        <w:t>（2022年1月25日共青团十八届六中全会审议批准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楷体_GBK" w:hAnsi="方正楷体_GBK" w:eastAsia="方正楷体_GBK" w:cs="方正楷体_GBK"/>
          <w:i w:val="0"/>
          <w:iCs w:val="0"/>
          <w:caps w:val="0"/>
          <w:color w:val="auto"/>
          <w:spacing w:val="0"/>
          <w:sz w:val="27"/>
          <w:szCs w:val="27"/>
          <w:highlight w:val="none"/>
        </w:rPr>
      </w:pPr>
      <w:r>
        <w:rPr>
          <w:rFonts w:hint="eastAsia" w:ascii="方正楷体_GBK" w:hAnsi="方正楷体_GBK" w:eastAsia="方正楷体_GBK" w:cs="方正楷体_GBK"/>
          <w:i w:val="0"/>
          <w:iCs w:val="0"/>
          <w:caps w:val="0"/>
          <w:color w:val="auto"/>
          <w:spacing w:val="0"/>
          <w:sz w:val="27"/>
          <w:szCs w:val="27"/>
          <w:highlight w:val="none"/>
          <w:shd w:val="clear" w:fill="FFFFFF"/>
        </w:rPr>
        <w:t>2022年1月28日共青团中央发布）</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lang w:eastAsia="zh-CN"/>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第一章　总则</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第一条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为了维护团章和其他团内规章，严肃团的纪律，纯洁团的组织，保障团员民主权利，教育团员坚决拥护党的领导，遵守国家的法律法规，保证党的路线、方针、政策和团的决议的贯彻执行，根据《中国共产主义青年团章程》，制定本条例。</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的纪律建设必须坚持党的领导，坚持以马克思列宁主义、毛泽东思想、邓小平理论、“三个代表”重要思想、科学发展观、习近平新时代中国特色社会主义思想为指导，坚决维护习近平总书记党中央的核心、全党的核心地位，坚决维护党中央权威和集中统一领导，落实党建带团建的各项要求和全面从严治团的各项部署。</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章是治团的总规矩。团的纪律是团的各级组织和全体团员必须遵守的行为规则，是维护团在党领导下的团结统一、完成党赋予的职责使命的保证。团组织必须严格执行和维护团的纪律，团员必须自觉接受团的纪律的约束。</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团的纪律处分工作应当坚持以下原则：</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（一）坚持党的领导，全面从严治团。把坚持党的领导贯彻落实到对团的各级组织和全体团员的教育、管理、监督全过程，把纪律挺在前面，注重抓早抓小、防微杜渐。</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（二）团纪面前一律平等。对违犯团纪的团组织和团员必须严肃、公正执行纪律，团内不允许有任何不受纪律约束的团组织和团员。</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（三）实事求是。对团组织和团员违犯团纪的行为，应当以团章、其他团内规章和国家法律法规为准绳，准确认定违纪性质，区别不同情况，恰当予以处理。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（四）民主集中制。实施团纪处分，应当按照规定程序经团组织集体讨论决定，不允许任何个人或者少数人擅自决定和批准。上级团组织对违犯团纪的团组织和团员作出的处理决定，下级团组织必须执行。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（五）教育为主、宽严相济。对于违犯团纪的团员，团组织应当根据其身心发展规律和特点，本着惩前毖后、治病救人的精神，按照违纪性质和情节轻重，给予批评教育直至团纪处分，做到教育与惩戒相结合。</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4"/>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第五条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本条例适用于违犯团纪应当受到团纪责任追究的团组织和团员。</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4"/>
        <w:jc w:val="both"/>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第二章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团纪处分种类及责任区分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第六条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对团员的团纪处分种类：</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（一）警告；</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（二）严重警告；</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（三）撤销团内职务；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（四）留团察看；</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（五）开除团籍。</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保留团籍的党员在接受党纪处分的同时，进行相应团纪处分。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第七条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对于违犯团纪的团组织，上级团组织应当责令其作出检查或者进行通报批评。对于严重违犯团的纪律、本身又不能纠正的团组织，上一级团的委员会查明核实后，根据情节严重的程度，向其同级党组织建议予以改组或者解散；无同级党组织的，上一级团的委员会可直接予以改组或者解散。</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对于受到改组处理的团组织领导机构成员，除应当受到撤销团内职务以上（含撤销团内职务）处分的外，均自然免职。</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对于受到解散处理的团组织中的团员，应当逐个审查。其中，符合团员条件的，应当参加新的组织过团的生活；不符合团员条件的，应当对其进行教育、限期改正，经教育仍无转变的，予以劝退或者除名；有违犯团纪行为的，依照规定予以追究。</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第八条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违纪行为有关责任人员的区分：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（一）直接责任者，是指在其职责范围内，不履行或者不正确履行自己的职责，对造成的损失或者后果起决定性作用的团员或者团干部。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（二）主要领导责任者，是指在其职责范围内，对直接主管的工作不履行或者不正确履行职责，对造成的损失或者后果负直接领导责任的团干部。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（三）重要领导责任者，是指在其职责范围内，对应管的工作或者参与决定的工作不履行或者不正确履行职责，对造成的损失或者后果负次要领导责任的团干部。</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本条例所称领导责任者，包括主要领导责任者和重要领导责任者。</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第九条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团员受到警告处分六个月内、受到严重警告处分一年内，不得在团内提升职务。不得向党组织或者其他组织推荐担任高于其原任职务的职务。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撤销团内职务处分，是指撤销受处分团员由团内选举或者组织任命的团内职务。由党组织任命的应建议党组织进行撤销。</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对于应当受到撤销团内职务处分，但是本人没有担任团内职务的，应当给予其严重警告处分。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团员受到撤销团内职务处分，或者依照前款规定受到严重警告处分的，一年半内不得在团内担任与其原任职务相当或者高于其原任职务的职务。不得向党组织或者其他组织推荐担任与其原任职务相当或者高于其原任职务的职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第十一条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留团察看的时间为六个月或者一年。对于受到留团察看处分六个月的团员，期满后仍不符合恢复团员权利条件的，应当延长六个月留团察看期限。留团察看期限最长不得超过一年。</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团员受留团察看处分期间没有表决权、选举权和被选举权，不得作青年入团的介绍人。留团察看期满，改正了错误的，应当及时恢复其团员权利；坚持错误不改的，应当开除团籍。</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团员受到留团察看处分，其团内职务自然撤销。受到留团察看处分的团员，恢复团员权利后二年内，不得在团内担任与其原任职务相当或者高于其原任职务的职务。不得向党组织或者其他组织推荐担任与其原任职务相当或者高于其原任职务的职务。</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第十二条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团员受到开除团籍处分，原则上不能重新入团。</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第十三条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团的各级代表大会的代表受到留团察看以上（含留团察看）处分的，团组织应当终止其代表资格。</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第十四条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团员受到团纪处分，当年教育评议等次不能评定为“优秀”，并取消当年团内评选表彰资格，二年内不得推荐其作为入党积极分子人选。</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第三章</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对违反纪律行为的处分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第十五条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理想信念缺失，政治立场动摇，有下列行为之一，情节较轻的，给予警告或者严重警告处分；情节较重的，给予撤销团内职务或者留团察看处分；情节严重的，给予开除团籍处分：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（一）反对党的集中统一领导，违背、歪曲、否定党的基本理论、基本路线、基本方略的；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（二）丑化党和国家形象，或者诋毁、诬蔑党和国家领导人、英雄模范，或者歪曲党的历史、中华人民共和国历史、人民军队历史，歪曲团的历史的；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（三）有其他违反政治纪律和政治规矩言行的。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第十六条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违反党和国家民族、宗教政策，情节较轻的，给予警告或者严重警告处分；情节较重的，给予撤销团内职务或者留团察看处分；情节严重的，给予开除团籍处分。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对不明真相被裹挟参加，经批评教育后确有悔改表现的，可以免予处分或者不予处分。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第十七条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对信仰宗教的团员，应当加强思想教育，经团组织帮助仍没有转变的，应当劝其退团；劝而不退的，予以除名；参与利用宗教搞煽动活动的，给予开除团籍处分。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第十八条</w:t>
      </w:r>
      <w:r>
        <w:rPr>
          <w:rFonts w:hint="eastAsia" w:ascii="方正仿宋_GBK" w:hAnsi="方正仿宋_GBK" w:eastAsia="方正仿宋_GBK" w:cs="方正仿宋_GBK"/>
          <w:i w:val="0"/>
          <w:iCs w:val="0"/>
          <w:caps w:val="0"/>
          <w:color w:val="auto"/>
          <w:spacing w:val="0"/>
          <w:sz w:val="32"/>
          <w:szCs w:val="32"/>
          <w:highlight w:val="none"/>
          <w:shd w:val="clear" w:fill="FFFFFF"/>
        </w:rPr>
        <w:t>　对在国（境）外或者在涉外活动中，言行损害党和国家尊严、利益，情节较轻的，给予警告或者严重警告处分；情节较重的，给予撤销团内职务或者留团察看处分；情节严重的，给予开除团籍处分。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第十九条</w:t>
      </w:r>
      <w:r>
        <w:rPr>
          <w:rFonts w:hint="eastAsia" w:ascii="方正仿宋_GBK" w:hAnsi="方正仿宋_GBK" w:eastAsia="方正仿宋_GBK" w:cs="方正仿宋_GBK"/>
          <w:i w:val="0"/>
          <w:iCs w:val="0"/>
          <w:caps w:val="0"/>
          <w:color w:val="auto"/>
          <w:spacing w:val="0"/>
          <w:sz w:val="32"/>
          <w:szCs w:val="32"/>
          <w:highlight w:val="none"/>
          <w:shd w:val="clear" w:fill="FFFFFF"/>
        </w:rPr>
        <w:t>　违反民主集中制原则，拒不执行、擅自改变党组织作出的决定或者团组织作出的重要决定，情节较轻的，给予批评教育、责令检查或者通报批评；情节较重的，给予警告或者严重警告处分；情节严重的，给予撤销团内职务或者留团察看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侵犯团员的表决权、选举权、被选举权或者其他权利，情节较轻的，给予批评教育、责令检查或者通报批评；情节较重的，给予警告或者严重警告处分；情节严重的，给予撤销团内职务处分。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第二十一条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利用信息网络造谣传谣、污蔑诽谤或者实施网络暴力，造成不良影响的，给予批评教育、责令检查或者通报批评；情节较重的，给予警告或者严重警告处分；情节严重的，给予撤销团内职务、留团察看或者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第二十二条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违背社会公序良俗，违反社会公德、职业道德、家庭美德，造成不良影响的，给予批评教育、责令检查或者通报批评；情节较重的，给予警告或者严重警告处分；情节严重的，给予撤销团内职务、留团察看或者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第二十三条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漠视、脱离青年，其言行损害团组织形象，或者造成其他不良影响的，给予批评教育、责令检查或者通报批评；情节严重的，给予警告或者严重警告处分。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第二十四条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利用团员发展、团组织推荐优秀团员作为入党积极分子人选、代表委员遴选、评奖评优名额分配、工作评比评价等权力谋取私利，情节较轻的，给予批评教育、责令检查或者通报批评；情节较重的，给予警告或者严重警告处分；情节严重的，给予撤销团内职务、留团察看或者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第二十五条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在团费收缴、使用和管理过程中，存在违规收缴、侵占挪用等行为的，对直接责任者和领导责任者，情节较轻的，给予警告处分；情节较重的，给予严重警告或者撤销团内职务处分；情节严重的，给予留团察看或者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第二十六条</w:t>
      </w: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highlight w:val="none"/>
          <w:shd w:val="clear" w:fill="FFFFFF"/>
        </w:rPr>
        <w:t>采取弄虚作假或者其他手段把不符合团员条件的人发展为团员，对直接责任者和领导责任者，给予警告或者严重警告处分；情节严重的，给予撤销团内职务处分。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违反有关规定程序发展团员的，对直接责任者和领导责任者，依照前款规定处理。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第二十七条</w:t>
      </w:r>
      <w:r>
        <w:rPr>
          <w:rFonts w:hint="eastAsia" w:ascii="方正仿宋_GBK" w:hAnsi="方正仿宋_GBK" w:eastAsia="方正仿宋_GBK" w:cs="方正仿宋_GBK"/>
          <w:i w:val="0"/>
          <w:iCs w:val="0"/>
          <w:caps w:val="0"/>
          <w:color w:val="auto"/>
          <w:spacing w:val="0"/>
          <w:sz w:val="32"/>
          <w:szCs w:val="32"/>
          <w:highlight w:val="none"/>
          <w:shd w:val="clear" w:fill="FFFFFF"/>
        </w:rPr>
        <w:t>　对团属报刊、网站、新媒体平台等宣传舆论阵地，管理不善、把关不严，发表或者传播不当言论，造成不良影响的，对直接责任者和领导责任者给予批评教育、责令检查或者通报批评；情节较重的，给予警告、严重警告或者撤销团内职务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第二十八条</w:t>
      </w:r>
      <w:r>
        <w:rPr>
          <w:rFonts w:hint="eastAsia" w:ascii="方正仿宋_GBK" w:hAnsi="方正仿宋_GBK" w:eastAsia="方正仿宋_GBK" w:cs="方正仿宋_GBK"/>
          <w:i w:val="0"/>
          <w:iCs w:val="0"/>
          <w:caps w:val="0"/>
          <w:color w:val="auto"/>
          <w:spacing w:val="0"/>
          <w:sz w:val="32"/>
          <w:szCs w:val="32"/>
          <w:highlight w:val="none"/>
          <w:shd w:val="clear" w:fill="FFFFFF"/>
        </w:rPr>
        <w:t>　面临党团组织分配的重大攻坚任务，畏惧退缩、临阵脱逃，造成不良后果的，给予警告或者严重警告处分；情节严重的，给予撤销团内职务、留团察看或者开除团籍处分。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第二十九条</w:t>
      </w:r>
      <w:r>
        <w:rPr>
          <w:rFonts w:hint="eastAsia" w:ascii="方正仿宋_GBK" w:hAnsi="方正仿宋_GBK" w:eastAsia="方正仿宋_GBK" w:cs="方正仿宋_GBK"/>
          <w:i w:val="0"/>
          <w:iCs w:val="0"/>
          <w:caps w:val="0"/>
          <w:color w:val="auto"/>
          <w:spacing w:val="0"/>
          <w:sz w:val="32"/>
          <w:szCs w:val="32"/>
          <w:highlight w:val="none"/>
          <w:shd w:val="clear" w:fill="FFFFFF"/>
        </w:rPr>
        <w:t>　团组织不对团员进行教育管理，不落实“三会两制一课”等制度，不管理团籍、团员档案、组织关系，造成不良后果的，对直接责任者和领导责任者，给予批评教育、责令检查或者通报批评；情节较重的，给予警告或者严重警告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第三十条</w:t>
      </w:r>
      <w:r>
        <w:rPr>
          <w:rFonts w:hint="eastAsia" w:ascii="方正仿宋_GBK" w:hAnsi="方正仿宋_GBK" w:eastAsia="方正仿宋_GBK" w:cs="方正仿宋_GBK"/>
          <w:i w:val="0"/>
          <w:iCs w:val="0"/>
          <w:caps w:val="0"/>
          <w:color w:val="auto"/>
          <w:spacing w:val="0"/>
          <w:sz w:val="32"/>
          <w:szCs w:val="32"/>
          <w:highlight w:val="none"/>
          <w:shd w:val="clear" w:fill="FFFFFF"/>
        </w:rPr>
        <w:t>　团组织在团内统计等工作中弄虚作假，造成不良后果的，对直接责任者和领导责任者，给予批评教育、责令检查或者通报批评；情节较重的，给予警告或者严重警告处分。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第三十一条</w:t>
      </w:r>
      <w:r>
        <w:rPr>
          <w:rFonts w:hint="eastAsia" w:ascii="方正仿宋_GBK" w:hAnsi="方正仿宋_GBK" w:eastAsia="方正仿宋_GBK" w:cs="方正仿宋_GBK"/>
          <w:i w:val="0"/>
          <w:iCs w:val="0"/>
          <w:caps w:val="0"/>
          <w:color w:val="auto"/>
          <w:spacing w:val="0"/>
          <w:sz w:val="32"/>
          <w:szCs w:val="32"/>
          <w:highlight w:val="none"/>
          <w:shd w:val="clear" w:fill="FFFFFF"/>
        </w:rPr>
        <w:t>　下级团组织拒不执行或者擅自改变上级团组织决定的，对直接责任者和领导责任者，情节较轻的，给予批评教育、责令检查或者通报批评；情节较重的，给予警告或者严重警告处分；情节严重的，给予撤销团内职务或者留团察看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第三十二条</w:t>
      </w:r>
      <w:r>
        <w:rPr>
          <w:rFonts w:hint="eastAsia" w:ascii="方正仿宋_GBK" w:hAnsi="方正仿宋_GBK" w:eastAsia="方正仿宋_GBK" w:cs="方正仿宋_GBK"/>
          <w:i w:val="0"/>
          <w:iCs w:val="0"/>
          <w:caps w:val="0"/>
          <w:color w:val="auto"/>
          <w:spacing w:val="0"/>
          <w:sz w:val="32"/>
          <w:szCs w:val="32"/>
          <w:highlight w:val="none"/>
          <w:shd w:val="clear" w:fill="FFFFFF"/>
        </w:rPr>
        <w:t>　不履行全面从严治团主体责任，给团组织造成严重损害或者严重不良影响的，对直接责任者和领导责任者，给予警告或者严重警告处分；情节严重的，给予撤销团内职务或者留团察看处分。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第三十三条</w:t>
      </w:r>
      <w:r>
        <w:rPr>
          <w:rFonts w:hint="eastAsia" w:ascii="方正仿宋_GBK" w:hAnsi="方正仿宋_GBK" w:eastAsia="方正仿宋_GBK" w:cs="方正仿宋_GBK"/>
          <w:i w:val="0"/>
          <w:iCs w:val="0"/>
          <w:caps w:val="0"/>
          <w:color w:val="auto"/>
          <w:spacing w:val="0"/>
          <w:sz w:val="32"/>
          <w:szCs w:val="32"/>
          <w:highlight w:val="none"/>
          <w:shd w:val="clear" w:fill="FFFFFF"/>
        </w:rPr>
        <w:t>　有其他违反纪律规定行为的，应当视具体情节给予批评教育直至团纪处分。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第四章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对违法犯罪团员的团纪处分</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第三十四条</w:t>
      </w:r>
      <w:r>
        <w:rPr>
          <w:rFonts w:hint="eastAsia" w:ascii="方正仿宋_GBK" w:hAnsi="方正仿宋_GBK" w:eastAsia="方正仿宋_GBK" w:cs="方正仿宋_GBK"/>
          <w:i w:val="0"/>
          <w:iCs w:val="0"/>
          <w:caps w:val="0"/>
          <w:color w:val="auto"/>
          <w:spacing w:val="0"/>
          <w:sz w:val="32"/>
          <w:szCs w:val="32"/>
          <w:highlight w:val="none"/>
          <w:shd w:val="clear" w:fill="FFFFFF"/>
        </w:rPr>
        <w:t>　团员犯罪，有下列情形之一的，应当给予开除团籍处分：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（一）因故意犯罪被依法判处刑法规定的主刑（含宣告缓刑）的；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（二）被单处或者附加剥夺政治权利的；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（三）因过失犯罪，被依法判处三年以上（不含三年）有期徒刑的。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因过失犯罪被判处三年以下（含三年）有期徒刑或者被判处管制、拘役的，一般应当给予开除团籍处分。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团员有其他违法行为的，由其所在团组织加强教育管理，视具体情节给予团纪处分。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第三十五条</w:t>
      </w:r>
      <w:r>
        <w:rPr>
          <w:rFonts w:hint="eastAsia" w:ascii="方正仿宋_GBK" w:hAnsi="方正仿宋_GBK" w:eastAsia="方正仿宋_GBK" w:cs="方正仿宋_GBK"/>
          <w:i w:val="0"/>
          <w:iCs w:val="0"/>
          <w:caps w:val="0"/>
          <w:color w:val="auto"/>
          <w:spacing w:val="0"/>
          <w:sz w:val="32"/>
          <w:szCs w:val="32"/>
          <w:highlight w:val="none"/>
          <w:shd w:val="clear" w:fill="FFFFFF"/>
        </w:rPr>
        <w:t>　对犯罪团员的团纪处分，根据司法机关的生效判决、裁定、决定作出。</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第三十六条</w:t>
      </w:r>
      <w:r>
        <w:rPr>
          <w:rFonts w:hint="eastAsia" w:ascii="方正仿宋_GBK" w:hAnsi="方正仿宋_GBK" w:eastAsia="方正仿宋_GBK" w:cs="方正仿宋_GBK"/>
          <w:i w:val="0"/>
          <w:iCs w:val="0"/>
          <w:caps w:val="0"/>
          <w:color w:val="auto"/>
          <w:spacing w:val="0"/>
          <w:sz w:val="32"/>
          <w:szCs w:val="32"/>
          <w:highlight w:val="none"/>
          <w:shd w:val="clear" w:fill="FFFFFF"/>
        </w:rPr>
        <w:t>　团员被依法留置、逮捕的，应当中止其表决权、选举权和被选举权等团员权利。根据监察机关、司法机关处理结果，可以恢复其团员权利的，应当及时予以恢复。</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第五章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团纪处分运用规则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第三十七条</w:t>
      </w:r>
      <w:r>
        <w:rPr>
          <w:rFonts w:hint="eastAsia" w:ascii="方正仿宋_GBK" w:hAnsi="方正仿宋_GBK" w:eastAsia="方正仿宋_GBK" w:cs="方正仿宋_GBK"/>
          <w:i w:val="0"/>
          <w:iCs w:val="0"/>
          <w:caps w:val="0"/>
          <w:color w:val="auto"/>
          <w:spacing w:val="0"/>
          <w:sz w:val="32"/>
          <w:szCs w:val="32"/>
          <w:highlight w:val="none"/>
          <w:shd w:val="clear" w:fill="FFFFFF"/>
        </w:rPr>
        <w:t>　有下列情形之一的，可以从轻或者减轻处分：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（一）主动交代本人应当受到团纪处分的问题的；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（二）在组织调查过程中，能够配合调查工作，如实说明本人违纪违法事实的；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（三）检举其他人应当受到团纪处分或者法律追究的问题，经查证属实的；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（四）主动挽回损失、消除不良影响或者有效阻止危害结果发生的；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（五）主动上交违纪所得的；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（六）有其他立功表现的。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未满18周岁团员应当受到团纪责任追究的，减轻处分。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第三十八条</w:t>
      </w:r>
      <w:r>
        <w:rPr>
          <w:rFonts w:hint="eastAsia" w:ascii="方正仿宋_GBK" w:hAnsi="方正仿宋_GBK" w:eastAsia="方正仿宋_GBK" w:cs="方正仿宋_GBK"/>
          <w:i w:val="0"/>
          <w:iCs w:val="0"/>
          <w:caps w:val="0"/>
          <w:color w:val="auto"/>
          <w:spacing w:val="0"/>
          <w:sz w:val="32"/>
          <w:szCs w:val="32"/>
          <w:highlight w:val="none"/>
          <w:shd w:val="clear" w:fill="FFFFFF"/>
        </w:rPr>
        <w:t>　对违犯团纪情节本应适用警告处分，但初次违纪或者未满18周岁违纪的，免予团纪处分，本着教育为主的原则，给予批评教育、责令检查或者通报批评。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第三十九条</w:t>
      </w:r>
      <w:r>
        <w:rPr>
          <w:rFonts w:hint="eastAsia" w:ascii="方正仿宋_GBK" w:hAnsi="方正仿宋_GBK" w:eastAsia="方正仿宋_GBK" w:cs="方正仿宋_GBK"/>
          <w:i w:val="0"/>
          <w:iCs w:val="0"/>
          <w:caps w:val="0"/>
          <w:color w:val="auto"/>
          <w:spacing w:val="0"/>
          <w:sz w:val="32"/>
          <w:szCs w:val="32"/>
          <w:highlight w:val="none"/>
          <w:shd w:val="clear" w:fill="FFFFFF"/>
        </w:rPr>
        <w:t>　有下列情形之一的，应当从重或者加重处分：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（一）强迫、唆使他人违纪的；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（二）拒不上交或者退赔违纪所得的；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（三）违纪受处分后又因故意违纪应当受到团纪处分的；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（四）违纪受到团纪处分后，又被发现其受处分前的违纪行为应当受到团纪处分的；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（五）本条例另有规定的。</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团干部应当受到团纪责任追究的，视情节从重处分。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第四十条</w:t>
      </w:r>
      <w:r>
        <w:rPr>
          <w:rFonts w:hint="eastAsia" w:ascii="方正仿宋_GBK" w:hAnsi="方正仿宋_GBK" w:eastAsia="方正仿宋_GBK" w:cs="方正仿宋_GBK"/>
          <w:i w:val="0"/>
          <w:iCs w:val="0"/>
          <w:caps w:val="0"/>
          <w:color w:val="auto"/>
          <w:spacing w:val="0"/>
          <w:sz w:val="32"/>
          <w:szCs w:val="32"/>
          <w:highlight w:val="none"/>
          <w:shd w:val="clear" w:fill="FFFFFF"/>
        </w:rPr>
        <w:t>　从轻处分，是指在本条例规定的违纪行为应当受到的处分幅度以内，给予较轻的处分。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从重处分，是指在本条例规定的违纪行为应当受到的处分幅度以内，给予较重的处分。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减轻处分，是指在本条例规定的违纪行为应当受到的处分幅度以外，减轻一档给予处分。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加重处分，是指在本条例规定的违纪行为应当受到的处分幅度以外，加重一档给予处分。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本条例规定的只有开除团籍处分一个档次的违纪行为，不适用减轻处分的规定。</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第四十一条</w:t>
      </w:r>
      <w:r>
        <w:rPr>
          <w:rFonts w:hint="eastAsia" w:ascii="方正仿宋_GBK" w:hAnsi="方正仿宋_GBK" w:eastAsia="方正仿宋_GBK" w:cs="方正仿宋_GBK"/>
          <w:i w:val="0"/>
          <w:iCs w:val="0"/>
          <w:caps w:val="0"/>
          <w:color w:val="auto"/>
          <w:spacing w:val="0"/>
          <w:sz w:val="32"/>
          <w:szCs w:val="32"/>
          <w:highlight w:val="none"/>
          <w:shd w:val="clear" w:fill="FFFFFF"/>
        </w:rPr>
        <w:t>　一人有本条例规定的两种以上（含两种）应当受到团纪处分的违纪行为，应当合并处理，按其数种违纪行为中应当受到的最高处分加重一档给予处分；其中一种违纪行为应当受到开除团籍处分的，应当给予开除团籍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一个违纪行为同时触犯本条例两个以上（含两个）条款的，依照处分较重的条款定性处理。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highlight w:val="none"/>
        </w:rPr>
      </w:pPr>
      <w:r>
        <w:rPr>
          <w:rFonts w:hint="eastAsia" w:ascii="方正仿宋_GBK" w:hAnsi="方正仿宋_GBK" w:eastAsia="方正仿宋_GBK" w:cs="方正仿宋_GBK"/>
          <w:i w:val="0"/>
          <w:iCs w:val="0"/>
          <w:caps w:val="0"/>
          <w:color w:val="auto"/>
          <w:spacing w:val="0"/>
          <w:sz w:val="32"/>
          <w:szCs w:val="32"/>
          <w:highlight w:val="none"/>
          <w:shd w:val="clear" w:fill="FFFFFF"/>
        </w:rPr>
        <w:t>二人以上（含二人）共同故意违纪的，对为首者从重处分，本条例另有规定的除外；对其他成员，按照其在共同违纪中所起的作用和应负的责任，分别给予处分。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第四十二条</w:t>
      </w:r>
      <w:r>
        <w:rPr>
          <w:rFonts w:hint="eastAsia" w:ascii="方正仿宋_GBK" w:hAnsi="方正仿宋_GBK" w:eastAsia="方正仿宋_GBK" w:cs="方正仿宋_GBK"/>
          <w:i w:val="0"/>
          <w:iCs w:val="0"/>
          <w:caps w:val="0"/>
          <w:color w:val="auto"/>
          <w:spacing w:val="0"/>
          <w:sz w:val="32"/>
          <w:szCs w:val="32"/>
          <w:highlight w:val="none"/>
          <w:shd w:val="clear" w:fill="FFFFFF"/>
        </w:rPr>
        <w:t>　对团员的团纪处分，一般须经支部大会讨论通过，由其所在基层委员会上报至县级或者县级以上团的委员会批准；批准后，报同级党的基层委员会备案。在特殊情况下，县级和县级以上各级团的委员会有权直接给予团纪处分。其中，给予开除团籍处分的，须由县级或者县级以上团的委员会作出决定，并上报至团的省级委员会核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第四十三条</w:t>
      </w:r>
      <w:r>
        <w:rPr>
          <w:rFonts w:hint="eastAsia" w:ascii="方正仿宋_GBK" w:hAnsi="方正仿宋_GBK" w:eastAsia="方正仿宋_GBK" w:cs="方正仿宋_GBK"/>
          <w:i w:val="0"/>
          <w:iCs w:val="0"/>
          <w:caps w:val="0"/>
          <w:color w:val="auto"/>
          <w:spacing w:val="0"/>
          <w:sz w:val="32"/>
          <w:szCs w:val="32"/>
          <w:highlight w:val="none"/>
          <w:shd w:val="clear" w:fill="FFFFFF"/>
        </w:rPr>
        <w:t>　支部大会在讨论决定对团员的处分时，除特殊情况外，应当吸收本人参加，认真听取本人的意见；决定后本人不服的，可以提出申诉，有关团组织必须负责处理或者在一个月内转递，不得扣压。</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第四十四条</w:t>
      </w:r>
      <w:r>
        <w:rPr>
          <w:rFonts w:hint="eastAsia" w:ascii="方正仿宋_GBK" w:hAnsi="方正仿宋_GBK" w:eastAsia="方正仿宋_GBK" w:cs="方正仿宋_GBK"/>
          <w:i w:val="0"/>
          <w:iCs w:val="0"/>
          <w:caps w:val="0"/>
          <w:color w:val="auto"/>
          <w:spacing w:val="0"/>
          <w:sz w:val="32"/>
          <w:szCs w:val="32"/>
          <w:highlight w:val="none"/>
          <w:shd w:val="clear" w:fill="FFFFFF"/>
        </w:rPr>
        <w:t>　对于违纪行为所获得的不当利益，应当按照规定予以收回或者纠正。</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第四十五条</w:t>
      </w:r>
      <w:r>
        <w:rPr>
          <w:rFonts w:hint="eastAsia" w:ascii="方正仿宋_GBK" w:hAnsi="方正仿宋_GBK" w:eastAsia="方正仿宋_GBK" w:cs="方正仿宋_GBK"/>
          <w:i w:val="0"/>
          <w:iCs w:val="0"/>
          <w:caps w:val="0"/>
          <w:color w:val="auto"/>
          <w:spacing w:val="0"/>
          <w:sz w:val="32"/>
          <w:szCs w:val="32"/>
          <w:highlight w:val="none"/>
          <w:shd w:val="clear" w:fill="FFFFFF"/>
        </w:rPr>
        <w:t>　团纪处分决定作出后，应当在一个月内向受处分团员所在团组织中的全体团员及其本人宣布。执行团纪处分决定的团组织，应当在三个月内将处分决定的执行情况向作出或者批准处分决定的团组织报告。</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第四十六条</w:t>
      </w:r>
      <w:r>
        <w:rPr>
          <w:rFonts w:hint="eastAsia" w:ascii="方正仿宋_GBK" w:hAnsi="方正仿宋_GBK" w:eastAsia="方正仿宋_GBK" w:cs="方正仿宋_GBK"/>
          <w:i w:val="0"/>
          <w:iCs w:val="0"/>
          <w:caps w:val="0"/>
          <w:color w:val="auto"/>
          <w:spacing w:val="0"/>
          <w:sz w:val="32"/>
          <w:szCs w:val="32"/>
          <w:highlight w:val="none"/>
          <w:shd w:val="clear" w:fill="FFFFFF"/>
        </w:rPr>
        <w:t>　受到警告及以上团纪处分的，应当在其团员档案（含电子档案）中予以记录。未满18周岁团员的团纪处分记录应当妥善保管，未经团的省级或者中央委员会同意，不得向其他单位或者个人提供。</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第四十七条</w:t>
      </w:r>
      <w:r>
        <w:rPr>
          <w:rFonts w:hint="eastAsia" w:ascii="方正仿宋_GBK" w:hAnsi="方正仿宋_GBK" w:eastAsia="方正仿宋_GBK" w:cs="方正仿宋_GBK"/>
          <w:i w:val="0"/>
          <w:iCs w:val="0"/>
          <w:caps w:val="0"/>
          <w:color w:val="auto"/>
          <w:spacing w:val="0"/>
          <w:sz w:val="32"/>
          <w:szCs w:val="32"/>
          <w:highlight w:val="none"/>
          <w:shd w:val="clear" w:fill="FFFFFF"/>
        </w:rPr>
        <w:t>　对违犯团纪的受理、核实、审查、情节认定、处分建议等由县级或者县级以上团的委员会组织部门办理。</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highlight w:val="none"/>
          <w:shd w:val="clear" w:fill="FFFFFF"/>
        </w:rPr>
      </w:pP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pP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lang w:val="en-US" w:eastAsia="zh-CN"/>
        </w:rPr>
        <w:t xml:space="preserve">第六章  </w:t>
      </w:r>
      <w:r>
        <w:rPr>
          <w:rStyle w:val="24"/>
          <w:rFonts w:hint="eastAsia" w:ascii="方正黑体_GBK" w:hAnsi="方正黑体_GBK" w:eastAsia="方正黑体_GBK" w:cs="方正黑体_GBK"/>
          <w:b/>
          <w:bCs w:val="0"/>
          <w:i w:val="0"/>
          <w:iCs w:val="0"/>
          <w:caps w:val="0"/>
          <w:color w:val="auto"/>
          <w:spacing w:val="0"/>
          <w:sz w:val="32"/>
          <w:szCs w:val="32"/>
          <w:highlight w:val="none"/>
          <w:shd w:val="clear" w:fill="FFFFFF"/>
        </w:rPr>
        <w:t>附则</w:t>
      </w:r>
    </w:p>
    <w:p>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4"/>
          <w:rFonts w:hint="eastAsia" w:ascii="方正黑体_GBK" w:hAnsi="方正黑体_GBK" w:eastAsia="方正黑体_GBK" w:cs="方正黑体_GBK"/>
          <w:b w:val="0"/>
          <w:bCs/>
          <w:i w:val="0"/>
          <w:iCs w:val="0"/>
          <w:caps w:val="0"/>
          <w:color w:val="auto"/>
          <w:spacing w:val="0"/>
          <w:sz w:val="32"/>
          <w:szCs w:val="32"/>
          <w:highlight w:val="none"/>
          <w:shd w:val="clear" w:fill="FFFFFF"/>
        </w:rPr>
      </w:pP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highlight w:val="none"/>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第四十八条</w:t>
      </w:r>
      <w:r>
        <w:rPr>
          <w:rFonts w:hint="eastAsia" w:ascii="方正仿宋_GBK" w:hAnsi="方正仿宋_GBK" w:eastAsia="方正仿宋_GBK" w:cs="方正仿宋_GBK"/>
          <w:i w:val="0"/>
          <w:iCs w:val="0"/>
          <w:caps w:val="0"/>
          <w:color w:val="auto"/>
          <w:spacing w:val="0"/>
          <w:sz w:val="32"/>
          <w:szCs w:val="32"/>
          <w:highlight w:val="none"/>
          <w:shd w:val="clear" w:fill="FFFFFF"/>
        </w:rPr>
        <w:t>　中央军委政治工作部可根据本条例，制定相关规定。</w:t>
      </w:r>
    </w:p>
    <w:p>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b w:val="0"/>
          <w:bCs w:val="0"/>
          <w:i w:val="0"/>
          <w:iCs w:val="0"/>
          <w:caps w:val="0"/>
          <w:color w:val="auto"/>
          <w:spacing w:val="0"/>
          <w:kern w:val="0"/>
          <w:sz w:val="32"/>
          <w:szCs w:val="32"/>
          <w:highlight w:val="none"/>
          <w:shd w:val="clear" w:fill="FFFFFF"/>
          <w:lang w:val="en-US" w:eastAsia="zh-CN" w:bidi="ar"/>
        </w:rPr>
      </w:pPr>
      <w:r>
        <w:rPr>
          <w:rStyle w:val="24"/>
          <w:rFonts w:hint="eastAsia" w:ascii="方正楷体_GBK" w:hAnsi="方正楷体_GBK" w:eastAsia="方正楷体_GBK" w:cs="方正楷体_GBK"/>
          <w:b/>
          <w:bCs w:val="0"/>
          <w:i w:val="0"/>
          <w:iCs w:val="0"/>
          <w:caps w:val="0"/>
          <w:color w:val="auto"/>
          <w:spacing w:val="0"/>
          <w:sz w:val="32"/>
          <w:szCs w:val="32"/>
          <w:highlight w:val="none"/>
          <w:shd w:val="clear" w:fill="FFFFFF"/>
        </w:rPr>
        <w:t>第四十九条</w:t>
      </w:r>
      <w:r>
        <w:rPr>
          <w:rFonts w:hint="eastAsia" w:ascii="方正仿宋_GBK" w:hAnsi="方正仿宋_GBK" w:eastAsia="方正仿宋_GBK" w:cs="方正仿宋_GBK"/>
          <w:i w:val="0"/>
          <w:iCs w:val="0"/>
          <w:caps w:val="0"/>
          <w:color w:val="auto"/>
          <w:spacing w:val="0"/>
          <w:sz w:val="32"/>
          <w:szCs w:val="32"/>
          <w:highlight w:val="none"/>
          <w:shd w:val="clear" w:fill="FFFFFF"/>
        </w:rPr>
        <w:t>　本条例由中国共产主义青年团中央委员会负责解释，自印发之日起施行。此前发布的有关团纪处分的规定，凡与本条例不一致的，按照本条例执行。</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32"/>
          <w:szCs w:val="32"/>
          <w:highlight w:val="none"/>
        </w:rPr>
      </w:pPr>
    </w:p>
    <w:p>
      <w:pPr>
        <w:pageBreakBefore w:val="0"/>
        <w:kinsoku/>
        <w:wordWrap/>
        <w:overflowPunct/>
        <w:topLinePunct w:val="0"/>
        <w:autoSpaceDE/>
        <w:autoSpaceDN/>
        <w:bidi w:val="0"/>
        <w:spacing w:line="560" w:lineRule="exact"/>
        <w:jc w:val="center"/>
        <w:textAlignment w:val="auto"/>
        <w:outlineLvl w:val="0"/>
        <w:rPr>
          <w:rFonts w:ascii="方正小标宋_GBK" w:hAnsi="方正小标宋_GBK" w:eastAsia="方正小标宋_GBK" w:cs="方正小标宋_GBK"/>
          <w:b/>
          <w:bCs/>
          <w:color w:val="auto"/>
          <w:sz w:val="36"/>
          <w:szCs w:val="36"/>
          <w:highlight w:val="none"/>
        </w:rPr>
      </w:pPr>
      <w:bookmarkStart w:id="373" w:name="_Toc18211"/>
      <w:r>
        <w:rPr>
          <w:rFonts w:hint="eastAsia" w:ascii="方正小标宋_GBK" w:hAnsi="方正小标宋_GBK" w:eastAsia="方正小标宋_GBK" w:cs="方正小标宋_GBK"/>
          <w:b/>
          <w:bCs/>
          <w:color w:val="auto"/>
          <w:sz w:val="36"/>
          <w:szCs w:val="36"/>
          <w:highlight w:val="none"/>
        </w:rPr>
        <w:t>中共中央国务院关于进一步加强和改进大学生思想政治教育的意见</w:t>
      </w:r>
      <w:bookmarkEnd w:id="373"/>
    </w:p>
    <w:p>
      <w:pPr>
        <w:pageBreakBefore w:val="0"/>
        <w:kinsoku/>
        <w:wordWrap/>
        <w:overflowPunct/>
        <w:topLinePunct w:val="0"/>
        <w:autoSpaceDE/>
        <w:autoSpaceDN/>
        <w:bidi w:val="0"/>
        <w:spacing w:line="560" w:lineRule="exact"/>
        <w:jc w:val="center"/>
        <w:textAlignment w:val="auto"/>
        <w:rPr>
          <w:rFonts w:ascii="方正楷体_GBK" w:hAnsi="方正楷体_GBK" w:eastAsia="方正楷体_GBK" w:cs="方正楷体_GBK"/>
          <w:b/>
          <w:bCs/>
          <w:color w:val="auto"/>
          <w:sz w:val="28"/>
          <w:szCs w:val="36"/>
          <w:highlight w:val="none"/>
        </w:rPr>
      </w:pPr>
      <w:r>
        <w:rPr>
          <w:rFonts w:hint="eastAsia" w:ascii="方正楷体_GBK" w:hAnsi="方正楷体_GBK" w:eastAsia="方正楷体_GBK" w:cs="方正楷体_GBK"/>
          <w:b/>
          <w:bCs/>
          <w:color w:val="auto"/>
          <w:sz w:val="28"/>
          <w:szCs w:val="36"/>
          <w:highlight w:val="none"/>
        </w:rPr>
        <w:t>中发【2004】16号</w:t>
      </w:r>
    </w:p>
    <w:p>
      <w:pPr>
        <w:pageBreakBefore w:val="0"/>
        <w:kinsoku/>
        <w:wordWrap/>
        <w:overflowPunct/>
        <w:topLinePunct w:val="0"/>
        <w:autoSpaceDE/>
        <w:autoSpaceDN/>
        <w:bidi w:val="0"/>
        <w:spacing w:line="560" w:lineRule="exact"/>
        <w:jc w:val="center"/>
        <w:textAlignment w:val="auto"/>
        <w:rPr>
          <w:color w:val="auto"/>
          <w:highlight w:val="none"/>
        </w:rPr>
      </w:pPr>
      <w:r>
        <w:rPr>
          <w:rFonts w:hint="eastAsia" w:ascii="方正楷体_GBK" w:hAnsi="方正楷体_GBK" w:eastAsia="方正楷体_GBK" w:cs="方正楷体_GBK"/>
          <w:b/>
          <w:bCs/>
          <w:color w:val="auto"/>
          <w:sz w:val="28"/>
          <w:szCs w:val="36"/>
          <w:highlight w:val="none"/>
        </w:rPr>
        <w:t>（2004年8月26日）</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为深入贯彻党的十六大精神</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适应新形势、新任务的要求</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提高大学生的忠想政治素质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促进大学生的全面发展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现就进一步加强和改进大学生思想政治教育提出以下意见。</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一、加强和改进大学生思想政治教育是一项重大而紧迫的战略任务</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1、大学生是十分宝贵的人才资源</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是民族的希望</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是祖国的未来。目前</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我国在校大学生包括本科生、专科生和研究生约有2000万。加强和改进大学生思想政治教育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提高他们的思想政治素质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把他们培养成中国特色社会主义事业的建设者和接班人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对于全面实施科教兴国和人才强国战略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确保我国在激烈的国际竞争中始终立于不败之地</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确保实现全面建设小康社会、加快推进社会主义现代化的宏伟目标</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确保中国特色社会主义事业兴旺发达、后继有人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具有重大而深远的战略意义。</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2、改革开放特别是党的十三届四中全会以来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党中央坚持两手抓、两手都要硬的方针</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切实加强和改进对大学生思想政治教育工作的领导。各地区各部门和高等学校认真贯彻落实中央要求</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加强和改进思想政治教育工作</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在培养高素质人才</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推动高等教育改革发展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维护学校和社会稳定等方面发挥了重要作用。当代大学生思想政治状况的主流积极、健康、向上。他们热爱党</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热爱祖国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热爱社会主义</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坚决拥护党的路线方针政策</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高度认同邓小平理论和三个代表重要思想</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充分信赖以胡锦涛同志为总书记的党中央</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对坚持走中国特色社会主义道路、实现全面建设小康社会的宏伟目标充满信心。</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3、国际国内形势的深刻变化</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使大学生思想政治教育既面临有利条件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也面临严峻挑战。国际敌对势力与我争夺下一代的斗争更加尖锐复杂</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大学生面临着大量西方文化思潮和价值观念的冲击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某些腐朽没落的生活方式对大学生的影响不可低估。随着对外开放不断扩大、会主义市场经济的深入发展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我国社会经济成分、组织形式、就业方式、利益关系和分配方式日益多样化</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人们思想活动的独立性、选择性、多变性和差异性日益增强。这有利于大学生树立自强意识、创新意识、成才意识、创业意识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同时也带来一些不容忽视的负面影响。一些大学生不同程度地存在政治信仰迷茫、理想信念模糊、价值取向扭曲、诚信意识淡薄、社会责任感缺乏、艰苦奋斗精神淡化、团结协作观念较差、心理素质欠佳等问题。</w:t>
      </w:r>
    </w:p>
    <w:p>
      <w:pPr>
        <w:pageBreakBefore w:val="0"/>
        <w:widowControl/>
        <w:kinsoku/>
        <w:wordWrap/>
        <w:overflowPunct/>
        <w:topLinePunct w:val="0"/>
        <w:autoSpaceDE/>
        <w:autoSpaceDN/>
        <w:bidi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4、面对新形势、新情况</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大学生思想政治教育工作还不够适应</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存在不少薄弱环节。一些地方、部门和学校的领导对大学生思想政治教育工作重视不够</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办法不多。全社会关心支持大学生思想政治教育的合力尚未形成。学校思想政治理论课实效性不强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哲学社会科学一些学科教材建设滞后</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思想政治教育与大学生思想实际结合不紧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少数学校没有把大学生的思想政治教育摆在首位、贯穿于教育教学的全过程。学生管理工作与形势发展要求不相适应</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思想政治教育工作队伍建设亟待加强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少数教师不能做到教书育人、为人师表。加强和改进大学生思想政治教育是一项极为紧迫的重要任务。</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二、加强和改进大学生思想政治教育的指导思想和基本原则</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5、加强和改进大学生思想政治教脊的指导思想是:坚持以马克思列宁主义、毛泽东</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(1)坚持教书与育人相结合。学校教育要坚持育人为本、德育为先</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把人才培养作为根本任务</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把思想政治教育摆在首要位置。(2)坚持教育与自我教育相结合。既要充分发挥学校教师、党团组级的教育引导作用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又要充分调动大学生的积极性和主动性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引导他们自我教育、自我管理、自我服务。(3)坚持政治理论教育与社会实践相结合。既重视课堂教育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又注重引导大学生深入社会、了解社会、服务社会。(4)坚持解决思想问题与解决实际问题相结合。既讲道理又办实事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既以理服人又以情感人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增强思想政治教育的实际效果。(5)坚持教育与管理相结合。把思想政治教育融于学校管理之中</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建立长效工作机制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使自律与他律，激励与约束有机地结合起来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有效地引导大学生的思想和行为。(6)坚持继承优良传统与改进创新相结合。在继承党的思想政治工作优良传统的基础上</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积极探索新形势下大学生思想政治教育的新途径、新办法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努力体现时代性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把握规律性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富于创造性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增强实效性。</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三、加强和改进大学生思想政治教育的主要任务</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6</w:t>
      </w:r>
      <w:r>
        <w:rPr>
          <w:rFonts w:hint="eastAsia" w:ascii="方正仿宋_GBK" w:hAnsi="方正仿宋_GBK" w:eastAsia="方正仿宋_GBK" w:cs="方正仿宋_GBK"/>
          <w:color w:val="auto"/>
          <w:spacing w:val="-2"/>
          <w:kern w:val="0"/>
          <w:sz w:val="32"/>
          <w:szCs w:val="32"/>
          <w:highlight w:val="none"/>
        </w:rPr>
        <w:t>、以理想信念教育为核心</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深入进行树立正确的世界观、人生观和价值观教育。要坚持不懈地用马克思列宁主义、毛泽东思想、邓小平理论和三个代表重要思想武装大学生</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深入开展党的基本理论、基本路线、基本纲领和基本经验教育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开展中国革命、建设和改革开放的历史教育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开展基本国情和形势政策教育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开展科学发展观教育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使大学生正确认识社会发展规律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认识国家的前途命运</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认识自己的社会责任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确立在中国共产党领导下走中国特色社会主义道路、实现中华民族伟大复兴的共同理想和坚定信念。同时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要积极引导大学生不断追求更高的目标</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使他们中的先进分子树立共产主义的远大理想</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确立马克思主义的坚定信念。</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7</w:t>
      </w:r>
      <w:r>
        <w:rPr>
          <w:rFonts w:hint="eastAsia" w:ascii="方正仿宋_GBK" w:hAnsi="方正仿宋_GBK" w:eastAsia="方正仿宋_GBK" w:cs="方正仿宋_GBK"/>
          <w:color w:val="auto"/>
          <w:spacing w:val="-2"/>
          <w:kern w:val="0"/>
          <w:sz w:val="32"/>
          <w:szCs w:val="32"/>
          <w:highlight w:val="none"/>
        </w:rPr>
        <w:t>、以爱国主义教育为重点</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深入进行弘扬和培育民族精神教育。深入开展中华民族优良传统和中国革命传统教育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开展各民族平等团结教育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培养团结统一、爱好和平、勤劳勇敢、自强不息的精神</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树立民族自尊心、自信心和自豪感。要把民族精神教育与以改革创新为核心的时代精神教育结合起来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引导大学生在中国特色社会主义事业的伟大实践中、在时代和社会的发展进步中汲取营养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培养爱国情怀、改革精神和创新能力</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始终保持艰苦奋斗的作风和昂扬向上的精神状态。</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8</w:t>
      </w:r>
      <w:r>
        <w:rPr>
          <w:rFonts w:hint="eastAsia" w:ascii="方正仿宋_GBK" w:hAnsi="方正仿宋_GBK" w:eastAsia="方正仿宋_GBK" w:cs="方正仿宋_GBK"/>
          <w:color w:val="auto"/>
          <w:spacing w:val="-2"/>
          <w:kern w:val="0"/>
          <w:sz w:val="32"/>
          <w:szCs w:val="32"/>
          <w:highlight w:val="none"/>
        </w:rPr>
        <w:t>、以基本道德规范为基础</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深入进行公民道德教育。要认真贯彻《公民道德建设实施纲要》</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以为人民服务为核心、以集体主义为原则、以诚实守信为重点</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广泛开展社会公德、职业道德和家庭美德教育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引导大学生自觉遵守爱国守法、明礼诚信、团结友善、勤俭自强、敬业奉献的基本道德规范。坚持知行统一</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积极开展道德实践活动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把道德实践活动融入大学生学习生活之中。修订完善大学生行为准则</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引导大学生从身边的事情做起</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从具体的事情做起</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着力培养良好的道德品质和文明行为。</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9</w:t>
      </w:r>
      <w:r>
        <w:rPr>
          <w:rFonts w:hint="eastAsia" w:ascii="方正仿宋_GBK" w:hAnsi="方正仿宋_GBK" w:eastAsia="方正仿宋_GBK" w:cs="方正仿宋_GBK"/>
          <w:color w:val="auto"/>
          <w:spacing w:val="-2"/>
          <w:kern w:val="0"/>
          <w:sz w:val="32"/>
          <w:szCs w:val="32"/>
          <w:highlight w:val="none"/>
        </w:rPr>
        <w:t>、以大学生全面发展为目标</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深入进行素质教育。加强民主法制教育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增强遵纪守法观念。加强人文素质和科学精神教育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加强集体主义和团结合作精神教育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促进大学生思想道德素质、科学文化素质和健康素质协调发展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引导大学生勤于学习、善于创造、甘于奉献</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成为有理想、有道德、有文化、有纪律的社会主义新人。</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四、充分发挥课堂教学在大学生思想政治教育中的主导作用</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0</w:t>
      </w:r>
      <w:r>
        <w:rPr>
          <w:rFonts w:hint="eastAsia" w:ascii="方正仿宋_GBK" w:hAnsi="方正仿宋_GBK" w:eastAsia="方正仿宋_GBK" w:cs="方正仿宋_GBK"/>
          <w:color w:val="auto"/>
          <w:spacing w:val="-2"/>
          <w:kern w:val="0"/>
          <w:sz w:val="32"/>
          <w:szCs w:val="32"/>
          <w:highlight w:val="none"/>
        </w:rPr>
        <w:t>、高等学校思想政治理论课是大学生思想政治教育的主渠道。思想政治理论课是大学生的必修课，是帮助大学生树立正确世界观、人生观、价值观的重要途径，体现了社会主义大学的本质要求。要按照充分体现当代马克思主义最新成果的要求，全面加强思想政治理论 课的学科建设、课程建设、教材建设和教师队伍建设，进一步推动邓小平理论和三个代表重要思想进教材、进课堂、进大学生头脑工作。要联系改革开放和社会主义现代化建设的实际，联系大学生的思想实际</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把传授知识与思想教育结合起来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把系统教学与专题教育结合起来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把理论武装与实践育人结合起来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切实改革教学内容</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改进教学方法</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改善教学手段。要加强对思想政治理论课的宏观指导</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采取有力措施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力争在几年内使思想政治理论课教育教学情况有明显改善。</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1</w:t>
      </w:r>
      <w:r>
        <w:rPr>
          <w:rFonts w:hint="eastAsia" w:ascii="方正仿宋_GBK" w:hAnsi="方正仿宋_GBK" w:eastAsia="方正仿宋_GBK" w:cs="方正仿宋_GBK"/>
          <w:color w:val="auto"/>
          <w:spacing w:val="-2"/>
          <w:kern w:val="0"/>
          <w:sz w:val="32"/>
          <w:szCs w:val="32"/>
          <w:highlight w:val="none"/>
        </w:rPr>
        <w:t>、形势政策教育是思想政治教宵的重要内容和途径。要建立大学生形势政策报告会制度</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定期编写形势政策教育宣讲提纲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建立形势政策教育资源库;国家机关和地方党政负责人要经常为大学生作形势报告。学校要紧密结合国际国内形势变化和学生关注的热点、难点问题</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制定形势政策教育教学计划</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认真组织实施。</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lang w:eastAsia="zh-CN"/>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2</w:t>
      </w:r>
      <w:r>
        <w:rPr>
          <w:rFonts w:hint="eastAsia" w:ascii="方正仿宋_GBK" w:hAnsi="方正仿宋_GBK" w:eastAsia="方正仿宋_GBK" w:cs="方正仿宋_GBK"/>
          <w:color w:val="auto"/>
          <w:spacing w:val="-2"/>
          <w:kern w:val="0"/>
          <w:sz w:val="32"/>
          <w:szCs w:val="32"/>
          <w:highlight w:val="none"/>
        </w:rPr>
        <w:t>、高等学校哲学社会科学课程负有思想政治教育的重要职责。哲学社会科学中的绝大部分学科都具有鲜明的意识形态属性</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对于帮助大学生坚定正确的政治方向</w:t>
      </w:r>
      <w:r>
        <w:rPr>
          <w:rFonts w:hint="eastAsia" w:ascii="方正仿宋_GBK" w:hAnsi="方正仿宋_GBK" w:eastAsia="方正仿宋_GBK" w:cs="方正仿宋_GBK"/>
          <w:color w:val="auto"/>
          <w:spacing w:val="-2"/>
          <w:kern w:val="0"/>
          <w:sz w:val="32"/>
          <w:szCs w:val="32"/>
          <w:highlight w:val="none"/>
          <w:lang w:eastAsia="zh-CN"/>
        </w:rPr>
        <w:t>，</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正确认识和分析复杂的社会现象</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提高思想道德修养和精神境界具有十分重要作用。要坚持和巩固马克思主义在意识形态领域的指导地位，在哲学社会科学教学中充分体现马克思主义中国化的最新理论成果，用科学理论武装大学生</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用优秀文化培育大学生。要发扬理论联系实际的优良学风</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发挥哲学社会科学的优势</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紧密围绕大学生普遍关心的、改革开放和现代化建设中的在重大问题</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做好释疑解惑和教睡育引导工作。</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要结合实施马克思主义理论研究和建设工程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精心组织编写全面反映毛泽东思想、邓小平理论和三个代表重要思想的哲学、政治经济学、科学社会主义</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中共党史以及政治学、社会学、法学、史学、新闻学和文学等哲学社会科学重点学科的教材</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努力形成以当代中国马克思主义为指导的具有中国特色、中国风格、中国气派的哲学社会科学学科体系和教材体系。</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3</w:t>
      </w:r>
      <w:r>
        <w:rPr>
          <w:rFonts w:hint="eastAsia" w:ascii="方正仿宋_GBK" w:hAnsi="方正仿宋_GBK" w:eastAsia="方正仿宋_GBK" w:cs="方正仿宋_GBK"/>
          <w:color w:val="auto"/>
          <w:spacing w:val="-2"/>
          <w:kern w:val="0"/>
          <w:sz w:val="32"/>
          <w:szCs w:val="32"/>
          <w:highlight w:val="none"/>
        </w:rPr>
        <w:t>、高等学校各门课程都具有育人功能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所有教师都负有育人职责。广大教师要以高度负责的态度</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率先垂范、言传身教</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以良好的思想、道德、品质和人格给大学生以潜移默化的影响。要把思想政治教育融入到大学生专业学习的各个环节</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渗透到教学、科研和社会服务各个方面。要深入发掘各类课程的思想政治教育资源</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在传授专业知识过程中加强思想政治教育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使学生在学习科学文化知识过程中</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自觉加强思想道德修养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提高政治觉悟。要坚持学术研究无禁区、课堂讲授有纪律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严格教育教学纪律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切实加强教材管理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在讲台上和教材中不得散布违背宪法和党的路线方针政策的错误观点和言论。</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五、努力拓展新形势下大学生思想政治教育的有效途径</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4</w:t>
      </w:r>
      <w:r>
        <w:rPr>
          <w:rFonts w:hint="eastAsia" w:ascii="方正仿宋_GBK" w:hAnsi="方正仿宋_GBK" w:eastAsia="方正仿宋_GBK" w:cs="方正仿宋_GBK"/>
          <w:color w:val="auto"/>
          <w:spacing w:val="-2"/>
          <w:kern w:val="0"/>
          <w:sz w:val="32"/>
          <w:szCs w:val="32"/>
          <w:highlight w:val="none"/>
        </w:rPr>
        <w:t>、深入开展社会实践。社会实践是大学生思想政治教育的重要环节</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对于促进大学生了解社会、了解国惰</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增长才干、奉献社会</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锻炼毅力、培养品格</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增强社会责任感具有不可替代的作用。要建立大学生社会实践保障体系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探索实践育人的长效机制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引导大学生走出校门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到基层去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到工农群众中去。高等学校要把社会实践纳入学校教育教学总体规划和教学大纲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规定学时和学分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提供必要经费。积极探索和建立社会实践与专业学习相结合、与服务社会相结合、与勤工助学相结合、与择业就业相结合、与创新创业相结合的管理体制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增强社会实践活动的效果</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培养大学生的劳动观念和职业道德。要认真组织大学生参加军政训练。利用好寒暑假</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开展形式多样的社会实践活动。积极组织大学生参加社会调查、生产劳动、志愿服务、公益活动、科技发明和勤工助学等社会实践活动。重视社会实践基地建设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不断丰富社会实践的内容和形式，提高社会实践的质量和效果</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使大学生往社会实践活动中受教育、长才干、作贡献</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增强社会责任感。</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5</w:t>
      </w:r>
      <w:r>
        <w:rPr>
          <w:rFonts w:hint="eastAsia" w:ascii="方正仿宋_GBK" w:hAnsi="方正仿宋_GBK" w:eastAsia="方正仿宋_GBK" w:cs="方正仿宋_GBK"/>
          <w:color w:val="auto"/>
          <w:spacing w:val="-2"/>
          <w:kern w:val="0"/>
          <w:sz w:val="32"/>
          <w:szCs w:val="32"/>
          <w:highlight w:val="none"/>
        </w:rPr>
        <w:t>、大力建设校园文化。校园文偌具有重要的育人功能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要建设体现社会主义特点、时代特征和学校特色的校园文化</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形成优良的校风、教风和学风。大力加强大学生文化素质教育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开展丰富多彩、积极向上的学术、科技、体育、艺术和娱乐活动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把德育与智育、体育、美育有机结合起来</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寓教育于文化活动之中。要善于结合传统节庆日、重大事件和开学典礼、毕业典礼等</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开展特色鲜明、吸引力强的主题教育活动。重视校园人文环境和自然环境建设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完善校园文化活动设施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建设好大学生活动中心，加强校报、校内广播电视和学校出版社的建设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加强哲学社会科学研讨会、报告会、讲座的管理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绝不给错误观点和言论提供传播渠道。坚决抵制各种有害文化和腐朽生活方式对大学生的侵蚀和影响。禁止在学校传播宗教。</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6</w:t>
      </w:r>
      <w:r>
        <w:rPr>
          <w:rFonts w:hint="eastAsia" w:ascii="方正仿宋_GBK" w:hAnsi="方正仿宋_GBK" w:eastAsia="方正仿宋_GBK" w:cs="方正仿宋_GBK"/>
          <w:color w:val="auto"/>
          <w:spacing w:val="-2"/>
          <w:kern w:val="0"/>
          <w:sz w:val="32"/>
          <w:szCs w:val="32"/>
          <w:highlight w:val="none"/>
        </w:rPr>
        <w:t>、主动占领网络思想政治教育新阵地。要全面加强校园网的建设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使网络成为弘扬主旋律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开展思想政治教育的重要手段。要利用校园网为大学生学习、生活提供服务</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对大学生进行教育和引导</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不断拓展大学生思想政治教育的渠道和空间。要建设好融思想性、知识性、趣味性、服务性于一体的主题教育网站或网页，积极开展生动活泼的网络思想政治教育活动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形成网上网下思想政治教育的合力。要密切关注网上动态</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了解大学生思想状况</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加强同大学生的沟通与交流</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及时回答和解决大学生提出的问题。要运用技术、行政和法律手段</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加强校园网的管理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严防各种有害信息在网上传播。加强网络思想政治教育队伍建设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形成网络思想政治教育工作体系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牢牢把握网络思想政治教育主动权。</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7</w:t>
      </w:r>
      <w:r>
        <w:rPr>
          <w:rFonts w:hint="eastAsia" w:ascii="方正仿宋_GBK" w:hAnsi="方正仿宋_GBK" w:eastAsia="方正仿宋_GBK" w:cs="方正仿宋_GBK"/>
          <w:color w:val="auto"/>
          <w:spacing w:val="-2"/>
          <w:kern w:val="0"/>
          <w:sz w:val="32"/>
          <w:szCs w:val="32"/>
          <w:highlight w:val="none"/>
        </w:rPr>
        <w:t>、开展深入细致的思想政治工作和心理健康教育。要结合大学生实际</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广泛深入开展谈心活动</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有针对性地帮助大学生处理好学习成才、择业交友、健康生活等方面的具体问题。提高思想认识和精神境界。要重视心理健康教育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根据大学生的身心发展特点和教育规律</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注重培养大学生良好的心理品质和自尊、自爱、自律、自强的优良品格</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增强大学生克服困难、经受考验、承受挫折的能力。要制定大学生心理健康教育计划</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确定相应的教育内容、教育方法。要建立健全心理健康教育和咨询的专门机构</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配备足够数量的专兼职心理健康教育教师</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积极开展大学生心理健康教育和心理咨询辅导</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引导大学生健康成长。</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w:t>
      </w:r>
      <w:r>
        <w:rPr>
          <w:rFonts w:hint="eastAsia" w:ascii="方正仿宋_GBK" w:hAnsi="方正仿宋_GBK" w:eastAsia="方正仿宋_GBK" w:cs="方正仿宋_GBK"/>
          <w:color w:val="auto"/>
          <w:spacing w:val="-2"/>
          <w:kern w:val="0"/>
          <w:sz w:val="32"/>
          <w:szCs w:val="32"/>
          <w:highlight w:val="none"/>
          <w:lang w:val="en-US" w:eastAsia="zh-CN"/>
        </w:rPr>
        <w:t>8</w:t>
      </w:r>
      <w:r>
        <w:rPr>
          <w:rFonts w:hint="eastAsia" w:ascii="方正仿宋_GBK" w:hAnsi="方正仿宋_GBK" w:eastAsia="方正仿宋_GBK" w:cs="方正仿宋_GBK"/>
          <w:color w:val="auto"/>
          <w:spacing w:val="-2"/>
          <w:kern w:val="0"/>
          <w:sz w:val="32"/>
          <w:szCs w:val="32"/>
          <w:highlight w:val="none"/>
        </w:rPr>
        <w:t>、努力解决大学生的实际问题。思想政治教育既要教育人、引导人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又要关心人、帮助人。高等学校要从严治教</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加强管理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改善办学条件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提高教育教学质量</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为大学生成长成才创造条件。要加强对经济困难大学生的资助工作</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以政府投入为主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多方筹措资金</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不断完善资助政策和措施</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形成以国家助学贷款为主体</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包括助学奖学金、勤工助学基金、特殊困难补助和学费减免在内的助学体系，帮助经济困难大学生完成学业。要帮助大学生树立正确的就业观念</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引导毕业生到基层;到西部、到祖国最需要的地方建功立业。要进一步建立健全大学生就业指导机构和就业信息服务系统</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提供高效优质的就业创业服务。通过服务育人、管理育人</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把党和政府对大学生的关怀落到实处。</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六、充分发挥党团组织在大学生思想政治教育中的重要作用</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19</w:t>
      </w:r>
      <w:r>
        <w:rPr>
          <w:rFonts w:hint="eastAsia" w:ascii="方正仿宋_GBK" w:hAnsi="方正仿宋_GBK" w:eastAsia="方正仿宋_GBK" w:cs="方正仿宋_GBK"/>
          <w:color w:val="auto"/>
          <w:spacing w:val="-2"/>
          <w:kern w:val="0"/>
          <w:sz w:val="32"/>
          <w:szCs w:val="32"/>
          <w:highlight w:val="none"/>
        </w:rPr>
        <w:t>、发挥党的政治优势和组织优势</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做好大学生思想政治教育工作。高等学校党组织要高度重视学生党员发展工作</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坚持标准</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保证质量</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把优秀大学生吸纳到党的队伍中来。对入党积极分子要注重早期培养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加强制度建设</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严格发展程序</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进行系统的党的知识教育和实践锻炼。对大学生党员要加强党员先进性教育</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使他们严格要求自己</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提高党性修养</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充分发挥在大学生思想政治教育中的骨干带头作用和先锋模范作用。要坚持把党支部建在班上</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努力实现本科学生班级，低年级有党员、高年级有党支部的目标。创新学生党支部活动方式，丰富活动内容，增强凝聚力和战斗力，使其成为开展思想政治教育的坚强堡垒。高度重视研究生党组织建设，切实加强研究生思想政治教育。</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0</w:t>
      </w:r>
      <w:r>
        <w:rPr>
          <w:rFonts w:hint="eastAsia" w:ascii="方正仿宋_GBK" w:hAnsi="方正仿宋_GBK" w:eastAsia="方正仿宋_GBK" w:cs="方正仿宋_GBK"/>
          <w:color w:val="auto"/>
          <w:spacing w:val="-2"/>
          <w:kern w:val="0"/>
          <w:sz w:val="32"/>
          <w:szCs w:val="32"/>
          <w:highlight w:val="none"/>
        </w:rPr>
        <w:t>、发挥共青团和学生组织作用，推进大学生思想政治教育。共青团是党领导下的先进青年的群众组织，是党的助手和后备军，在大学生思想政治教育中具有重要作用。高等学校团组织要把加强大学生思想政治教育工作摆在突出位置，充分发挥在教育、团结和联系大学生方面的优势，竭诚为大学生的成长成才服务。要全面实施大学生素质拓展计划，组织开展丰富多彩的思想政治教育活动。要加强对优秀团员的培养，认真做好推荐优秀共青团员入党工作。要坚持党建带团建，把加强团的建设作为高等学校党建的重要任务。要切实加强团的组织建设，选拔优秀青年党员教师做团的工作，保证高校共青团组织机构设置和人员配备。要把团干部作为思想政治教育工作队伍的重要组成部分，做好培养、锻炼和输送工作。高等学校学生会、研究生会是党领导下的大学生群众组织，是加强和改进大学生思想政治教育的重要依靠力量，也是大学生自我教育的组织者。学生会、研究生会要自觉接受党的领导，在共青团指导下，针对大学生特点，开展生动有效的思想政治教育活动，把广大学生紧密团结在党的周围，在大学生思想政治教育中更好地发挥桥梁和纽带作用。</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1</w:t>
      </w:r>
      <w:r>
        <w:rPr>
          <w:rFonts w:hint="eastAsia" w:ascii="方正仿宋_GBK" w:hAnsi="方正仿宋_GBK" w:eastAsia="方正仿宋_GBK" w:cs="方正仿宋_GBK"/>
          <w:color w:val="auto"/>
          <w:spacing w:val="-2"/>
          <w:kern w:val="0"/>
          <w:sz w:val="32"/>
          <w:szCs w:val="32"/>
          <w:highlight w:val="none"/>
        </w:rPr>
        <w:t>、依托班级、社团等组织形式，开展大学生思想政治教育。班级是大学生的基本组织形式，是大学生自我教育、自我管理、自我服务的主要组织载体。要着力加强班级集体建设，组织开展丰富多彩的主题班会等活动，发挥团结学生、组织学生、教育学生的职能。要加强对大学生社团的领导和管理，帮助大学在社团选聘指导教师，支持和引导大学生非因自主开展活动。要高度重视大学生生活社区、学生公寓、网络虚拟群体等新型大学生组织的思想政治教育工作，选拔大学生骨干参与学生总寓、网络的教育管理，发挥大学生自身的积极性和主动性，增强教育效果。</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七、大力加强大学生思想政治教育工作队伍建设</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2</w:t>
      </w:r>
      <w:r>
        <w:rPr>
          <w:rFonts w:hint="eastAsia" w:ascii="方正仿宋_GBK" w:hAnsi="方正仿宋_GBK" w:eastAsia="方正仿宋_GBK" w:cs="方正仿宋_GBK"/>
          <w:color w:val="auto"/>
          <w:spacing w:val="-2"/>
          <w:kern w:val="0"/>
          <w:sz w:val="32"/>
          <w:szCs w:val="32"/>
          <w:highlight w:val="none"/>
        </w:rPr>
        <w:t>、思想政治教育工作队伍是加强和改进大学生思想政治教育的组织保证。大学生思想政治教育工作队伍主体是学校党政干部和共青团干部，思想政治理论课和哲学社会科学课教师，辅导员和班主任。学校党政干部和共青团干部负责学生思想诙治教育的组织、协调、实施，思想政治理论和哲学社会科学课教师根据学科和课程的内容、特点，负责对学生进行思想理论教育、思想品德、教育和人文素质教育；辅导员、班主任是大学生思想政治教育的骨干力量，辅导员按照党委的部署有针对性地开展思想政治教育活动，班主任负有在思想、学习和生活等方面指导学生的职责。要采取切实措施，培养一批坚持以马克思主义为指导，理论功底扎实，勇于开拓创新，善于联系实际，老中青相结合的哲学社会科学学科带头人和教学骨干队伍，使他们在大学生思想政治教育中发挥更大的作用。所有从事大学生思想政治教育的人员，都要坚持正确的政治方向，加强思想道德修养，增强社会责任感，成为大学生健康成长的指导者和引路人。在事关政治原则、政治立场和政治方向问题上不能与党中央保持一致的，不得从事大学生思想政治教育工作。</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广大教职员工都负有对大学生进行思想政治教育的重要责任。要制定完善有关规定和政策，明确职责任务和考核办法，形成教书育人、管理育人、服务育人的良好氛围和工作格局。教师要提高师德和业务水平，爱岗敬业，教书育人，为人师表，以良好的思想政治素质和道德风范影响和教育学生。学校管理工作要体现育人导向，把严格日常管理与引导大学生遵纪守法、养成良好行为习惯结合起来。后勤服务人员要努力搞好后勤保障，为大学生办实事办好事，使大学生在优质服务中受到感染和教育。</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3</w:t>
      </w:r>
      <w:r>
        <w:rPr>
          <w:rFonts w:hint="eastAsia" w:ascii="方正仿宋_GBK" w:hAnsi="方正仿宋_GBK" w:eastAsia="方正仿宋_GBK" w:cs="方正仿宋_GBK"/>
          <w:color w:val="auto"/>
          <w:spacing w:val="-2"/>
          <w:kern w:val="0"/>
          <w:sz w:val="32"/>
          <w:szCs w:val="32"/>
          <w:highlight w:val="none"/>
        </w:rPr>
        <w:t>、完善大学生思想政治教育工作队伍的选拔、培养和管理机制。按照政治强、业务精、纪律严、作风正的要求，坚持专兼结合的原则，研究和制定加强高校思想政治教育工作队伍建设的具体意见，吸引更多的优秀教师从事学生思想政治教育工作。要加强思想政治教育学科建设，培养思想政治教育工作专门人才。实施大学生思想政治教育队伍人才培养工程，建立思想政治教育人才培养基地。选拔推荐一批从事思想政治教育的骨干进一步深造，攻读思想政治教育相关专业的硕士、博士学位，学成后专职从事思想政治教育工作。采取有效措施，组织参加社会实践、挂职锻炼、多习考察等活动，不断提高他们的工作能力和水平。要建立完善大学生思想政治教育专职队伍的激励和保障机制。完善思想政治教育队伍的专业职务系列，从思想政治教育专职队伍的实际出发，解决好他们的教师职务聘任问题，鼓励支持他们安心本职工作，成为思想政治教育方面的专家。建立专项评优奖励制度，定期评比表彰思想政治教育工作先进集体和个，树立、宣传、推广一批先进典型。要采取有力措施，着力建设一支高水平的辅导员、班主任队伍。院(系)的每个年级都要 按适当比例配备一定数量的专职辅导员，每个班级都要配备一名兼职班主任，鼓励优秀教师兼任班主任工作。辅导员、班主任工作在犬学生思想政治教育第一线，任务繁重，责任重大，学校要从政治上、工作上、生活主关心他们，在政策和待遇方面给予适当倾斜。</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八、努力营造大学生思想政治教育工作的良好社会环境</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4</w:t>
      </w:r>
      <w:r>
        <w:rPr>
          <w:rFonts w:hint="eastAsia" w:ascii="方正仿宋_GBK" w:hAnsi="方正仿宋_GBK" w:eastAsia="方正仿宋_GBK" w:cs="方正仿宋_GBK"/>
          <w:color w:val="auto"/>
          <w:spacing w:val="-2"/>
          <w:kern w:val="0"/>
          <w:sz w:val="32"/>
          <w:szCs w:val="32"/>
          <w:highlight w:val="none"/>
        </w:rPr>
        <w:t>、全社会都要关心大学生的健康成长，支持大学生思想政治教育工作。宣传、理论、新闻、文艺、出版等方面要坚持弘扬主旋律，为大学生思想政治教育营造良好的社会舆论氛围，为大学生提供丰富的精神食粮。要坚持团结稳定鼓劲、正面宣传为主，反映高等学校思想政治教育工作的先进典型和优秀大学生的先进事迹。各类网站要牢牢把握正确导向，主动承担社会责任，积极开发教育资源，开展形式多样的网络思想政治教育活动。重点新闻网站要不断改进创新，切实增强吸引力和感染力，在大学生思想政治教育中发挥导向作用。要大力发展文化事业和文化产业，为学生提供更多更好的文化产品和文化服务。文化部门和艺术团体要进一步推进高雅文化进校园活动，丰富校园文化生活，提高学生艺术修养。充分发挥爱国主义教育基地对大学生的教育作用，各类博物馆、纪念馆、展览馆、烈士陵园等爱国主义教育基地，对大学生集体参观一律实行免票。各级政府和企事业单位要鼓励和支持面向大学生的公益性文化活动。坚持不懈地开展扫黄打非</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依法加强对各类网站的管理，净化文化市场和网络环境。</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5</w:t>
      </w:r>
      <w:r>
        <w:rPr>
          <w:rFonts w:hint="eastAsia" w:ascii="方正仿宋_GBK" w:hAnsi="方正仿宋_GBK" w:eastAsia="方正仿宋_GBK" w:cs="方正仿宋_GBK"/>
          <w:color w:val="auto"/>
          <w:spacing w:val="-2"/>
          <w:kern w:val="0"/>
          <w:sz w:val="32"/>
          <w:szCs w:val="32"/>
          <w:highlight w:val="none"/>
        </w:rPr>
        <w:t>、各级党委和政府要为高等学校创建良好的育人环境。要把优化校园周边环境作为推</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进社会主义精神文明建设的重要任务，结合城市改造和社区建设搞好规划，加强综合治理。要依法加强对学校周边的文化、娱乐、商业经营活动的管理，坚决取缔干扰学校正常教学、生活秩序的经营性娱乐活动场所，严厉打击各种刑事犯罪活动，及时处理侵害学生合法权益、身心健康的事件和影响学校、社会稳定的事端。要为大学生专业实习和社会实践创造条件</w:t>
      </w:r>
      <w:r>
        <w:rPr>
          <w:rFonts w:hint="eastAsia" w:ascii="方正仿宋_GBK" w:hAnsi="方正仿宋_GBK" w:eastAsia="方正仿宋_GBK" w:cs="方正仿宋_GBK"/>
          <w:color w:val="auto"/>
          <w:spacing w:val="-2"/>
          <w:kern w:val="0"/>
          <w:sz w:val="32"/>
          <w:szCs w:val="32"/>
          <w:highlight w:val="none"/>
          <w:lang w:eastAsia="zh-CN"/>
        </w:rPr>
        <w:t>，</w:t>
      </w:r>
      <w:r>
        <w:rPr>
          <w:rFonts w:hint="eastAsia" w:ascii="方正仿宋_GBK" w:hAnsi="方正仿宋_GBK" w:eastAsia="方正仿宋_GBK" w:cs="方正仿宋_GBK"/>
          <w:color w:val="auto"/>
          <w:spacing w:val="-2"/>
          <w:kern w:val="0"/>
          <w:sz w:val="32"/>
          <w:szCs w:val="32"/>
          <w:highlight w:val="none"/>
        </w:rPr>
        <w:t>提供便利。要把高校毕业生就业作为就业工作的重要组成部分，常抓不懈，完善毕业生就业市场机制，健全毕业生就业服务体系，落实毕业生自主创业、灵活就业的各项扶持，政策。要 动员社会各方力量，完善资助困难学生的机制，</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帮助大学生解决实际困难。共政机关、社会团体、企事业单位以及街道、社区、村镇等要主动配合做好大学生思想政治教育工作。学校要探索建立与大学生家庭联系沟通的机制。相互配合对学生进行思想政治教育。</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九、切实加强对大学生思想政治教育工作的领导</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6</w:t>
      </w:r>
      <w:r>
        <w:rPr>
          <w:rFonts w:hint="eastAsia" w:ascii="方正仿宋_GBK" w:hAnsi="方正仿宋_GBK" w:eastAsia="方正仿宋_GBK" w:cs="方正仿宋_GBK"/>
          <w:color w:val="auto"/>
          <w:spacing w:val="-2"/>
          <w:kern w:val="0"/>
          <w:sz w:val="32"/>
          <w:szCs w:val="32"/>
          <w:highlight w:val="none"/>
        </w:rPr>
        <w:t>、各级党委和政府要从战略和全局的高度充分认识加强和改进大学生思想政治教育的重大意义，把培养什么人、如何培养人这一重大课题始终摆在重要位置，切实加强，领导。要弘扬求真务实精神？及时研究解决涉及大学生健康成长和切身利益的实际问题。制定有关政策和法规，不仅要有利于经济和各项事业的发展，而也要有利于大学生的健康成长。要建立健全党委统一领导、党政群齐抓共管、有关部门各负其贵、全社会大力支持的领导体制和工作机制，形成全党全社会共同关心支持大学生思想政治教育的强大合力。教育部要对全国高等学校大学生思想政治教育工作统一规划、组织协调、宏观指导和督促检查。各地负责高校思想政治工作的部门，要切实负起责任。各有关部门要主动配合，共同做好大学生思想政治教育工作。要重视和加强民办高等学校党的建设和大学生的思想政治教育。</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7</w:t>
      </w:r>
      <w:r>
        <w:rPr>
          <w:rFonts w:hint="eastAsia" w:ascii="方正仿宋_GBK" w:hAnsi="方正仿宋_GBK" w:eastAsia="方正仿宋_GBK" w:cs="方正仿宋_GBK"/>
          <w:color w:val="auto"/>
          <w:spacing w:val="-2"/>
          <w:kern w:val="0"/>
          <w:sz w:val="32"/>
          <w:szCs w:val="32"/>
          <w:highlight w:val="none"/>
        </w:rPr>
        <w:t>、高等学校要充分发挥大学生思想政治教育主阵地、主课堂、主渠道作用。要把大学生思想政治教育摆在学校各项工作的首位。贯穿于教育教学的全过程。要建立和完善党委统一领导、党政齐抓共管、专兼职队伍相结合、全校紧密配合、学生自我教育的领导体制和工作机制。高等学校党委要统一领导大学生思想政治教育工作，经常分析大学生思想状况和思想政治教育工作状况，制订思想政治教育的总体规划。对大学生思想政治教育作出全面部署和安排。校长要对大学生德智体美全面发展负责，把思想政治教育与教学、科研、社会服务工作结合起来，同时部署，同时检查，同时评估。学校各部门要明确各自责任，密切协作，切实完成相应任务。学校基层党团组织要认真履行学生思想政治教育的职责，把加强和改进大学生思想政治教育的各项任务真正落到实处。</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w:t>
      </w:r>
      <w:r>
        <w:rPr>
          <w:rFonts w:hint="eastAsia" w:ascii="方正仿宋_GBK" w:hAnsi="方正仿宋_GBK" w:eastAsia="方正仿宋_GBK" w:cs="方正仿宋_GBK"/>
          <w:color w:val="auto"/>
          <w:spacing w:val="-2"/>
          <w:kern w:val="0"/>
          <w:sz w:val="32"/>
          <w:szCs w:val="32"/>
          <w:highlight w:val="none"/>
          <w:lang w:val="en-US" w:eastAsia="zh-CN"/>
        </w:rPr>
        <w:t>8</w:t>
      </w:r>
      <w:r>
        <w:rPr>
          <w:rFonts w:hint="eastAsia" w:ascii="方正仿宋_GBK" w:hAnsi="方正仿宋_GBK" w:eastAsia="方正仿宋_GBK" w:cs="方正仿宋_GBK"/>
          <w:color w:val="auto"/>
          <w:spacing w:val="-2"/>
          <w:kern w:val="0"/>
          <w:sz w:val="32"/>
          <w:szCs w:val="32"/>
          <w:highlight w:val="none"/>
        </w:rPr>
        <w:t>、不断完善大学生思想政治教育的保障机制。要建立健全与法律法规相协调、与高等教育全面发展相衔接、与大学生成长成材需要相适应的思想政治教育和管理的制度体系。要加大大学生思想政治教育工作的经费投入，教育行政部门和学校要合理确定思想政治教育工作方面的经费投入科目，列入预算，确保各项工作顺利开展。学校要为开展大学生思想政治教育工件提供必要的场所与设备，不断改善条件，优化手段。要把大学生思想政治教育工作作为对高等学校办学质量和水平评估考核的重要指标，纳入高等学校党的建设和教育教学评估体系。</w:t>
      </w:r>
    </w:p>
    <w:p>
      <w:pPr>
        <w:pageBreakBefore w:val="0"/>
        <w:widowControl/>
        <w:kinsoku/>
        <w:wordWrap/>
        <w:overflowPunct/>
        <w:topLinePunct w:val="0"/>
        <w:autoSpaceDE/>
        <w:autoSpaceDN/>
        <w:bidi w:val="0"/>
        <w:spacing w:line="560" w:lineRule="exact"/>
        <w:ind w:firstLine="562"/>
        <w:jc w:val="left"/>
        <w:textAlignment w:val="auto"/>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lang w:val="en-US" w:eastAsia="zh-CN"/>
        </w:rPr>
        <w:t>29</w:t>
      </w:r>
      <w:r>
        <w:rPr>
          <w:rFonts w:hint="eastAsia" w:ascii="方正仿宋_GBK" w:hAnsi="方正仿宋_GBK" w:eastAsia="方正仿宋_GBK" w:cs="方正仿宋_GBK"/>
          <w:color w:val="auto"/>
          <w:spacing w:val="-2"/>
          <w:kern w:val="0"/>
          <w:sz w:val="32"/>
          <w:szCs w:val="32"/>
          <w:highlight w:val="none"/>
        </w:rPr>
        <w:t>、加强大学生思想政治教育科学研究工作。各级宣传和教育行政部门要组织专家学者积极开展科学研究，为加强和改进大学生思想政治教育提供理论支持和决策依据。各地哲学社会科学规划工作领导部门要把大学生思想政治教育重大问题研究列入规划。各级高等学校思想政治教育研究会等学术研究机构和团体要加强自身建，发挥在大学生思想政治教育科学研究、决策咨询、工作指导等方面的重要作用。</w:t>
      </w:r>
    </w:p>
    <w:p>
      <w:pPr>
        <w:spacing w:line="560" w:lineRule="exact"/>
        <w:jc w:val="center"/>
        <w:outlineLvl w:val="0"/>
        <w:rPr>
          <w:rFonts w:hint="eastAsia" w:ascii="方正小标宋_GBK" w:hAnsi="方正小标宋_GBK" w:eastAsia="方正小标宋_GBK" w:cs="方正小标宋_GBK"/>
          <w:b/>
          <w:bCs/>
          <w:color w:val="auto"/>
          <w:sz w:val="32"/>
          <w:szCs w:val="32"/>
          <w:highlight w:val="none"/>
        </w:rPr>
      </w:pPr>
    </w:p>
    <w:p>
      <w:pPr>
        <w:spacing w:line="560" w:lineRule="exact"/>
        <w:jc w:val="center"/>
        <w:outlineLvl w:val="0"/>
        <w:rPr>
          <w:rFonts w:hint="eastAsia" w:ascii="方正小标宋_GBK" w:hAnsi="方正小标宋_GBK" w:eastAsia="方正小标宋_GBK" w:cs="方正小标宋_GBK"/>
          <w:b/>
          <w:bCs/>
          <w:color w:val="auto"/>
          <w:sz w:val="36"/>
          <w:szCs w:val="36"/>
          <w:highlight w:val="none"/>
        </w:rPr>
      </w:pPr>
      <w:bookmarkStart w:id="374" w:name="_Toc18966"/>
      <w:r>
        <w:rPr>
          <w:rFonts w:hint="eastAsia" w:ascii="方正小标宋_GBK" w:hAnsi="方正小标宋_GBK" w:eastAsia="方正小标宋_GBK" w:cs="方正小标宋_GBK"/>
          <w:b/>
          <w:bCs/>
          <w:color w:val="auto"/>
          <w:sz w:val="36"/>
          <w:szCs w:val="36"/>
          <w:highlight w:val="none"/>
        </w:rPr>
        <w:t>高等学校辅导员职业能力标准（暂行）</w:t>
      </w:r>
      <w:bookmarkEnd w:id="374"/>
    </w:p>
    <w:p>
      <w:pPr>
        <w:spacing w:line="560" w:lineRule="exact"/>
        <w:jc w:val="center"/>
        <w:outlineLvl w:val="0"/>
        <w:rPr>
          <w:rFonts w:hint="eastAsia" w:ascii="方正小标宋_GBK" w:hAnsi="方正小标宋_GBK" w:eastAsia="方正小标宋_GBK" w:cs="方正小标宋_GBK"/>
          <w:b/>
          <w:bCs/>
          <w:color w:val="auto"/>
          <w:sz w:val="36"/>
          <w:szCs w:val="36"/>
          <w:highlight w:val="none"/>
        </w:rPr>
      </w:pP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为进一步加强高校辅导员队伍建设，推动高校辅导员队伍专业化、职业化发展，提升大学生思想政治教育工作质量，特制定本标准。</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高校辅导员是履行高等学校学生工作职责的专业人员，要经过系统的培养与培训，具有良好的职业道德，掌握系统的专业知识和专业技能。本标准是国家对合格高校辅导员专业素质的基本要求，是高校辅导员开展学生工作的基本规范，是引领高校辅导员专业化职业化发展的基本准则，是高校辅导员培养、准入、培训、考核等工作的基本依据。</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制定和实施本标准，一是为了进一步增强辅导员职业的社会认同，建立辅导员职业相对独立的知识和理论体系，确立辅导员职业概念，提升辅导员职业地位和职业公信力，逐步增强广大师生和全社会对辅导员工作的职业认同；二是为了进一步强化辅导员队伍建设的政策导向，为各级部门推进辅导员队伍建设提供基本依据，推动各级部门进一步制定完善辅导员队伍准入、考核、培养、发展、退出机制；三是为了进一步充实丰富辅导员工作的专业内涵，引导辅导员系统学习职业相关理论知识、法律法规、政策制度等，为辅导员主动提升专业素养和职业能力指出路径和方向；四是为了进一步规范辅导员的工作范畴，逐步明晰辅导员的岗位职责和工作边界，增强辅导员的职业自信心和职业归属感。</w:t>
      </w:r>
    </w:p>
    <w:p>
      <w:pPr>
        <w:spacing w:line="560" w:lineRule="exact"/>
        <w:rPr>
          <w:rFonts w:ascii="方正仿宋_GB2312" w:hAnsi="方正仿宋_GB2312" w:eastAsia="方正仿宋_GB2312" w:cs="方正仿宋_GB2312"/>
          <w:bCs/>
          <w:color w:val="auto"/>
          <w:kern w:val="0"/>
          <w:sz w:val="32"/>
          <w:szCs w:val="32"/>
          <w:highlight w:val="none"/>
        </w:rPr>
      </w:pPr>
    </w:p>
    <w:p>
      <w:pPr>
        <w:spacing w:line="560" w:lineRule="exact"/>
        <w:ind w:firstLine="640" w:firstLineChars="200"/>
        <w:rPr>
          <w:rFonts w:ascii="方正黑体_GBK" w:hAnsi="方正黑体_GBK" w:eastAsia="方正黑体_GBK" w:cs="方正黑体_GBK"/>
          <w:color w:val="auto"/>
          <w:kern w:val="0"/>
          <w:sz w:val="32"/>
          <w:szCs w:val="30"/>
          <w:highlight w:val="none"/>
        </w:rPr>
      </w:pPr>
      <w:r>
        <w:rPr>
          <w:rFonts w:hint="eastAsia" w:ascii="方正黑体_GBK" w:hAnsi="方正黑体_GBK" w:eastAsia="方正黑体_GBK" w:cs="方正黑体_GBK"/>
          <w:bCs/>
          <w:color w:val="auto"/>
          <w:kern w:val="0"/>
          <w:sz w:val="32"/>
          <w:szCs w:val="30"/>
          <w:highlight w:val="none"/>
        </w:rPr>
        <w:t>1. 职业概况</w:t>
      </w:r>
    </w:p>
    <w:p>
      <w:pPr>
        <w:widowControl/>
        <w:spacing w:line="560" w:lineRule="exact"/>
        <w:ind w:firstLine="643" w:firstLineChars="200"/>
        <w:jc w:val="left"/>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1.1 职业名称</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高等学校辅导员</w:t>
      </w: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1.2 职业定义</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辅导员是高等学校教师队伍和管理队伍的重要组成部分，具有教师和干部的双重身份。辅导员是开展大学生思想政治教育的骨干力量，是高校学生日常思想政治教育和管理工作的组织者、实施者和指导者。辅导员应当努力成为学生的人生导师和健康成长的知心朋友。</w:t>
      </w:r>
    </w:p>
    <w:p>
      <w:pPr>
        <w:widowControl/>
        <w:spacing w:line="560" w:lineRule="exact"/>
        <w:ind w:firstLine="643" w:firstLineChars="200"/>
        <w:jc w:val="left"/>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1.3 职业等级</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本职业共分为三个等级，分别为：初级、中级、高级。</w:t>
      </w:r>
    </w:p>
    <w:p>
      <w:pPr>
        <w:widowControl/>
        <w:spacing w:line="560" w:lineRule="exact"/>
        <w:ind w:firstLine="643" w:firstLineChars="200"/>
        <w:jc w:val="left"/>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1.4职业能力特征</w:t>
      </w:r>
    </w:p>
    <w:p>
      <w:pPr>
        <w:widowControl/>
        <w:spacing w:line="560" w:lineRule="exact"/>
        <w:ind w:firstLine="562"/>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政治强、业务精、纪律严、作风正。具备思想政治教育工作相关学科的宽口径知识储备。具备较强的组织管理能力和语言、文字表达能力，及教育引导能力、调查研究能力等。</w:t>
      </w:r>
    </w:p>
    <w:p>
      <w:pPr>
        <w:widowControl/>
        <w:spacing w:line="560" w:lineRule="exact"/>
        <w:ind w:firstLine="643" w:firstLineChars="200"/>
        <w:jc w:val="left"/>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1.5基本文化程度</w:t>
      </w:r>
    </w:p>
    <w:p>
      <w:pPr>
        <w:widowControl/>
        <w:spacing w:line="560" w:lineRule="exact"/>
        <w:ind w:firstLine="632" w:firstLineChars="200"/>
        <w:jc w:val="left"/>
        <w:rPr>
          <w:rFonts w:ascii="Times New Roman" w:hAnsi="Times New Roman" w:eastAsia="仿宋_GB2312" w:cs="宋体"/>
          <w:color w:val="auto"/>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大学本科以上学历</w:t>
      </w:r>
    </w:p>
    <w:p>
      <w:pPr>
        <w:widowControl/>
        <w:spacing w:line="560" w:lineRule="exact"/>
        <w:ind w:firstLine="643" w:firstLineChars="200"/>
        <w:jc w:val="left"/>
        <w:rPr>
          <w:rFonts w:ascii="方正仿宋_GB2312" w:hAnsi="方正仿宋_GB2312" w:eastAsia="方正仿宋_GB2312" w:cs="方正仿宋_GB2312"/>
          <w:b/>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1.6 政治面貌要求</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中国共产党党员</w:t>
      </w:r>
    </w:p>
    <w:p>
      <w:pPr>
        <w:widowControl/>
        <w:spacing w:line="560" w:lineRule="exact"/>
        <w:ind w:firstLine="643" w:firstLineChars="200"/>
        <w:jc w:val="left"/>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1.7 培训要求</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rPr>
      </w:pPr>
      <w:r>
        <w:rPr>
          <w:rFonts w:hint="eastAsia" w:ascii="方正仿宋_GBK" w:hAnsi="方正仿宋_GBK" w:eastAsia="方正仿宋_GBK" w:cs="方正仿宋_GBK"/>
          <w:b/>
          <w:bCs w:val="0"/>
          <w:color w:val="auto"/>
          <w:kern w:val="0"/>
          <w:sz w:val="32"/>
          <w:szCs w:val="32"/>
          <w:highlight w:val="none"/>
        </w:rPr>
        <w:t>1.7.1 培训期限</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根据学校的专业培养目标和教学培训计划，定期参加思想政治教育培训。基本培训期限：入职培训不少于40标准学时(10天)；中级不少于48标准学时(16学时/年，3年12天)；高级不少于128标准学时(16学时/年，8年32天)。</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rPr>
      </w:pPr>
      <w:r>
        <w:rPr>
          <w:rFonts w:hint="eastAsia" w:ascii="方正仿宋_GBK" w:hAnsi="方正仿宋_GBK" w:eastAsia="方正仿宋_GBK" w:cs="方正仿宋_GBK"/>
          <w:b/>
          <w:bCs w:val="0"/>
          <w:color w:val="auto"/>
          <w:kern w:val="0"/>
          <w:sz w:val="32"/>
          <w:szCs w:val="32"/>
          <w:highlight w:val="none"/>
        </w:rPr>
        <w:t>1.7.2 培训师资</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培训高校辅导员的教师应具有相关专业副高级以上专业技术职务或副处级以上职级，并具有较高的思想政治教育及相关专业学术水平、理论修养和丰富的实践经验。</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lang w:eastAsia="zh-CN"/>
        </w:rPr>
      </w:pPr>
      <w:r>
        <w:rPr>
          <w:rFonts w:hint="eastAsia" w:ascii="方正仿宋_GBK" w:hAnsi="方正仿宋_GBK" w:eastAsia="方正仿宋_GBK" w:cs="方正仿宋_GBK"/>
          <w:b/>
          <w:bCs w:val="0"/>
          <w:color w:val="auto"/>
          <w:kern w:val="0"/>
          <w:sz w:val="32"/>
          <w:szCs w:val="32"/>
          <w:highlight w:val="none"/>
        </w:rPr>
        <w:t>1.7.3 培训场地设备</w:t>
      </w:r>
    </w:p>
    <w:p>
      <w:pPr>
        <w:widowControl/>
        <w:spacing w:line="560" w:lineRule="exact"/>
        <w:ind w:left="640" w:leftChars="305"/>
        <w:jc w:val="left"/>
        <w:rPr>
          <w:rFonts w:ascii="Times New Roman" w:hAnsi="Times New Roman" w:eastAsia="仿宋_GB2312" w:cs="宋体"/>
          <w:color w:val="auto"/>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满足教学需要的标准多媒体教室、报告厅和实践场所。</w:t>
      </w:r>
    </w:p>
    <w:p>
      <w:pPr>
        <w:spacing w:line="560" w:lineRule="exact"/>
        <w:ind w:firstLine="640" w:firstLineChars="200"/>
        <w:rPr>
          <w:rFonts w:hint="eastAsia" w:ascii="方正黑体_GBK" w:hAnsi="方正黑体_GBK" w:eastAsia="方正黑体_GBK" w:cs="方正黑体_GBK"/>
          <w:bCs/>
          <w:color w:val="auto"/>
          <w:kern w:val="0"/>
          <w:sz w:val="32"/>
          <w:szCs w:val="30"/>
          <w:highlight w:val="none"/>
        </w:rPr>
      </w:pPr>
      <w:r>
        <w:rPr>
          <w:rFonts w:hint="eastAsia" w:ascii="方正黑体_GBK" w:hAnsi="方正黑体_GBK" w:eastAsia="方正黑体_GBK" w:cs="方正黑体_GBK"/>
          <w:bCs/>
          <w:color w:val="auto"/>
          <w:kern w:val="0"/>
          <w:sz w:val="32"/>
          <w:szCs w:val="30"/>
          <w:highlight w:val="none"/>
        </w:rPr>
        <w:t>2. 基本要求</w:t>
      </w: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2.1 职业守则</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爱国守法。热爱祖国，热爱人民，拥护中国共产党的领导，拥护中国特色社会主义制度。遵守宪法和法律法规，贯彻党的教育方针，依法履行教育职责，维护校园和谐稳定。不得有损害党和国家利益以及不利于学生健康成长的言行。</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敬业爱生。热爱党的教育事业，树立崇高职业理想，以献身教育事业、引领学生思想和服务学生成长为己任。真心关爱学生，严格要求学生，公正对待学生。不得损害学生和学校的合法权益。在职责范围内，不得拒绝学生的合理要求。</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(3)育人为本。把握思想政治教育规律和大学生成长规律，引导学生树立正确的世界观、人生观和价值观。增强学生社会责任感、创新精神和实践能力。尊重学生独立人格和个人隐私，保护学生自尊心、自信心和进取心，促进学生全面发展，努力培养社会主义合格建设者和可靠接班人。</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(4)终身学习。坚持终身学习，勇于开拓创新，主动学习思想政治教育理论、方法及相关学科知识，积极开展理论研究和实践探索，参与社会实践和挂职锻炼，不断拓展工作视野，努力提高职业素养和职业能力。</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(5)为人师表。学为人师，行为世范。模范遵守社会公德，引领社会风尚，以高尚品行和人格魅力教育感染学生。不得有损害职业声誉的行为。</w:t>
      </w: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2.2 职业知识</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rPr>
      </w:pPr>
      <w:r>
        <w:rPr>
          <w:rFonts w:hint="eastAsia" w:ascii="方正仿宋_GBK" w:hAnsi="方正仿宋_GBK" w:eastAsia="方正仿宋_GBK" w:cs="方正仿宋_GBK"/>
          <w:b/>
          <w:bCs w:val="0"/>
          <w:color w:val="auto"/>
          <w:kern w:val="0"/>
          <w:sz w:val="32"/>
          <w:szCs w:val="32"/>
          <w:highlight w:val="none"/>
        </w:rPr>
        <w:t>2.2.1 基础知识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具备宽广的知识储备，了解马克思主义理论、哲学、政治学、教育学、社会学、心理学、管理学、伦理学、法学等学科的基本原理和基础知识。</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rPr>
      </w:pPr>
      <w:r>
        <w:rPr>
          <w:rFonts w:hint="eastAsia" w:ascii="方正仿宋_GBK" w:hAnsi="方正仿宋_GBK" w:eastAsia="方正仿宋_GBK" w:cs="方正仿宋_GBK"/>
          <w:b/>
          <w:bCs w:val="0"/>
          <w:color w:val="auto"/>
          <w:kern w:val="0"/>
          <w:sz w:val="32"/>
          <w:szCs w:val="32"/>
          <w:highlight w:val="none"/>
        </w:rPr>
        <w:t>2.2.2 专业知识</w:t>
      </w:r>
    </w:p>
    <w:p>
      <w:pPr>
        <w:widowControl/>
        <w:spacing w:line="560" w:lineRule="exact"/>
        <w:ind w:left="420" w:leftChars="200" w:firstLine="190" w:firstLineChars="59"/>
        <w:jc w:val="left"/>
        <w:rPr>
          <w:rFonts w:hint="eastAsia" w:ascii="方正仿宋_GBK" w:hAnsi="方正仿宋_GBK" w:eastAsia="方正仿宋_GBK" w:cs="方正仿宋_GBK"/>
          <w:b/>
          <w:color w:val="auto"/>
          <w:kern w:val="0"/>
          <w:sz w:val="32"/>
          <w:szCs w:val="32"/>
          <w:highlight w:val="none"/>
        </w:rPr>
      </w:pPr>
      <w:r>
        <w:rPr>
          <w:rFonts w:hint="eastAsia" w:ascii="方正仿宋_GBK" w:hAnsi="方正仿宋_GBK" w:eastAsia="方正仿宋_GBK" w:cs="方正仿宋_GBK"/>
          <w:b/>
          <w:color w:val="auto"/>
          <w:kern w:val="0"/>
          <w:sz w:val="32"/>
          <w:szCs w:val="32"/>
          <w:highlight w:val="none"/>
        </w:rPr>
        <w:t>思想政治教育专业基本理论、基本知识、基本方法</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(1)思想政治道德观教育</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(2)思想政治教育学原理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(3)思想政治教育史</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(4)思想政治教育方法论</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(5)思想政治教育心理学和心理健康教育相关知识与技能</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(6)比较思想政治教育</w:t>
      </w:r>
    </w:p>
    <w:p>
      <w:pPr>
        <w:widowControl/>
        <w:spacing w:line="560" w:lineRule="exact"/>
        <w:ind w:left="420" w:leftChars="200" w:firstLine="190" w:firstLineChars="59"/>
        <w:jc w:val="left"/>
        <w:rPr>
          <w:rFonts w:hint="eastAsia" w:ascii="方正仿宋_GBK" w:hAnsi="方正仿宋_GBK" w:eastAsia="方正仿宋_GBK" w:cs="方正仿宋_GBK"/>
          <w:b/>
          <w:color w:val="auto"/>
          <w:kern w:val="0"/>
          <w:sz w:val="32"/>
          <w:szCs w:val="32"/>
          <w:highlight w:val="none"/>
        </w:rPr>
      </w:pPr>
      <w:r>
        <w:rPr>
          <w:rFonts w:hint="eastAsia" w:ascii="方正仿宋_GBK" w:hAnsi="方正仿宋_GBK" w:eastAsia="方正仿宋_GBK" w:cs="方正仿宋_GBK"/>
          <w:b/>
          <w:color w:val="auto"/>
          <w:kern w:val="0"/>
          <w:sz w:val="32"/>
          <w:szCs w:val="32"/>
          <w:highlight w:val="none"/>
        </w:rPr>
        <w:t>马克思主义中国化相关理论及知识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(7)毛泽东思想相关理论</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(8)中国特色社会主义理论体系</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(9)社会主义核心价值体系</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(10)</w:t>
      </w:r>
      <w:r>
        <w:rPr>
          <w:rFonts w:hint="eastAsia" w:ascii="方正仿宋_GBK" w:hAnsi="方正仿宋_GBK" w:eastAsia="方正仿宋_GBK" w:cs="方正仿宋_GBK"/>
          <w:color w:val="auto"/>
          <w:spacing w:val="-2"/>
          <w:kern w:val="0"/>
          <w:sz w:val="32"/>
          <w:szCs w:val="32"/>
          <w:highlight w:val="none"/>
        </w:rPr>
        <w:fldChar w:fldCharType="begin"/>
      </w:r>
      <w:r>
        <w:rPr>
          <w:rFonts w:hint="eastAsia" w:ascii="方正仿宋_GBK" w:hAnsi="方正仿宋_GBK" w:eastAsia="方正仿宋_GBK" w:cs="方正仿宋_GBK"/>
          <w:color w:val="auto"/>
          <w:spacing w:val="-2"/>
          <w:kern w:val="0"/>
          <w:sz w:val="32"/>
          <w:szCs w:val="32"/>
          <w:highlight w:val="none"/>
        </w:rPr>
        <w:instrText xml:space="preserve"> HYPERLINK "http://baike.baidu.com/view/1890663.htm" \t "_blank" </w:instrText>
      </w:r>
      <w:r>
        <w:rPr>
          <w:rFonts w:hint="eastAsia" w:ascii="方正仿宋_GBK" w:hAnsi="方正仿宋_GBK" w:eastAsia="方正仿宋_GBK" w:cs="方正仿宋_GBK"/>
          <w:color w:val="auto"/>
          <w:spacing w:val="-2"/>
          <w:kern w:val="0"/>
          <w:sz w:val="32"/>
          <w:szCs w:val="32"/>
          <w:highlight w:val="none"/>
        </w:rPr>
        <w:fldChar w:fldCharType="separate"/>
      </w:r>
      <w:r>
        <w:rPr>
          <w:rFonts w:hint="eastAsia" w:ascii="方正仿宋_GBK" w:hAnsi="方正仿宋_GBK" w:eastAsia="方正仿宋_GBK" w:cs="方正仿宋_GBK"/>
          <w:color w:val="auto"/>
          <w:spacing w:val="-2"/>
          <w:kern w:val="0"/>
          <w:sz w:val="32"/>
          <w:szCs w:val="32"/>
          <w:highlight w:val="none"/>
        </w:rPr>
        <w:t>中华人民共和国史</w:t>
      </w:r>
      <w:r>
        <w:rPr>
          <w:rFonts w:hint="eastAsia" w:ascii="方正仿宋_GBK" w:hAnsi="方正仿宋_GBK" w:eastAsia="方正仿宋_GBK" w:cs="方正仿宋_GBK"/>
          <w:color w:val="auto"/>
          <w:spacing w:val="-2"/>
          <w:kern w:val="0"/>
          <w:sz w:val="32"/>
          <w:szCs w:val="32"/>
          <w:highlight w:val="none"/>
        </w:rPr>
        <w:fldChar w:fldCharType="end"/>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(11)中国共产党党史</w:t>
      </w:r>
    </w:p>
    <w:p>
      <w:pPr>
        <w:widowControl/>
        <w:spacing w:line="560" w:lineRule="exact"/>
        <w:ind w:left="420" w:leftChars="200" w:firstLine="190" w:firstLineChars="59"/>
        <w:jc w:val="left"/>
        <w:rPr>
          <w:rFonts w:hint="eastAsia" w:ascii="方正仿宋_GBK" w:hAnsi="方正仿宋_GBK" w:eastAsia="方正仿宋_GBK" w:cs="方正仿宋_GBK"/>
          <w:b/>
          <w:color w:val="auto"/>
          <w:kern w:val="0"/>
          <w:sz w:val="32"/>
          <w:szCs w:val="32"/>
          <w:highlight w:val="none"/>
        </w:rPr>
      </w:pPr>
      <w:r>
        <w:rPr>
          <w:rFonts w:hint="eastAsia" w:ascii="方正仿宋_GBK" w:hAnsi="方正仿宋_GBK" w:eastAsia="方正仿宋_GBK" w:cs="方正仿宋_GBK"/>
          <w:b/>
          <w:color w:val="auto"/>
          <w:kern w:val="0"/>
          <w:sz w:val="32"/>
          <w:szCs w:val="32"/>
          <w:highlight w:val="none"/>
        </w:rPr>
        <w:t>大学生思想政治教育工作实务相关知识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(12)党的创新理论教育相关知识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(13)大学生党团、班级建设的相关知识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(14)职业生涯规划与就业指导相关知识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(15)困难资助、奖罚管理等学生日常事务管理内容、知识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(16)校园文化建设、社会实践等学生日常思想政治教育的知识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(17)网络思想政治教育相关知识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(18)危机事件、突发事件应对与管控的相关知识</w:t>
      </w:r>
    </w:p>
    <w:p>
      <w:pPr>
        <w:spacing w:line="560" w:lineRule="exact"/>
        <w:ind w:firstLine="643" w:firstLineChars="200"/>
        <w:rPr>
          <w:rFonts w:hint="eastAsia" w:ascii="方正仿宋_GBK" w:hAnsi="方正仿宋_GBK" w:eastAsia="方正仿宋_GBK" w:cs="方正仿宋_GBK"/>
          <w:b/>
          <w:bCs w:val="0"/>
          <w:color w:val="auto"/>
          <w:kern w:val="0"/>
          <w:sz w:val="32"/>
          <w:szCs w:val="32"/>
          <w:highlight w:val="none"/>
        </w:rPr>
      </w:pPr>
      <w:r>
        <w:rPr>
          <w:rFonts w:hint="eastAsia" w:ascii="方正仿宋_GBK" w:hAnsi="方正仿宋_GBK" w:eastAsia="方正仿宋_GBK" w:cs="方正仿宋_GBK"/>
          <w:b/>
          <w:bCs w:val="0"/>
          <w:color w:val="auto"/>
          <w:kern w:val="0"/>
          <w:sz w:val="32"/>
          <w:szCs w:val="32"/>
          <w:highlight w:val="none"/>
        </w:rPr>
        <w:t>2.2.3法律法规知识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中华人民共和国教育法》《中华人民共和国高等教育法》《中华人民共和国教师法》《中华人民共和国学位条例》《中华人民共和国学位条例暂行实施办法》《中华人民共和国精神卫生法》《中共中央国务院关于进一步加强和改进大学生思想政治教育的意见》《普通高等学校辅导员队伍建设规定》《普通高等学校学生管理规定》《国家教育考试违规处理办法》《学生伤害事故处理办法》等与大学生思想政治教育相关的法律法规条文规定。</w:t>
      </w:r>
    </w:p>
    <w:p>
      <w:pPr>
        <w:spacing w:line="560" w:lineRule="exact"/>
        <w:ind w:firstLine="640" w:firstLineChars="200"/>
        <w:rPr>
          <w:rFonts w:hint="eastAsia" w:ascii="方正黑体_GBK" w:hAnsi="方正黑体_GBK" w:eastAsia="方正黑体_GBK" w:cs="方正黑体_GBK"/>
          <w:bCs/>
          <w:color w:val="auto"/>
          <w:kern w:val="0"/>
          <w:sz w:val="32"/>
          <w:szCs w:val="30"/>
          <w:highlight w:val="none"/>
        </w:rPr>
      </w:pPr>
      <w:r>
        <w:rPr>
          <w:rFonts w:hint="eastAsia" w:ascii="方正黑体_GBK" w:hAnsi="方正黑体_GBK" w:eastAsia="方正黑体_GBK" w:cs="方正黑体_GBK"/>
          <w:bCs/>
          <w:color w:val="auto"/>
          <w:kern w:val="0"/>
          <w:sz w:val="32"/>
          <w:szCs w:val="30"/>
          <w:highlight w:val="none"/>
        </w:rPr>
        <w:t>3. 职业能力标准</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本标准对初级、中级、高级辅导员要求依次递进，高级别包括低级别的要求。</w:t>
      </w: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3.1 初级</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初级辅导员一般工作年限为1-3年，经过规定入职培训并取得相应证书。</w:t>
      </w:r>
    </w:p>
    <w:tbl>
      <w:tblPr>
        <w:tblStyle w:val="2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10"/>
        <w:gridCol w:w="2552"/>
        <w:gridCol w:w="2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职业功能</w:t>
            </w:r>
          </w:p>
        </w:tc>
        <w:tc>
          <w:tcPr>
            <w:tcW w:w="2410"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工作内容</w:t>
            </w:r>
          </w:p>
        </w:tc>
        <w:tc>
          <w:tcPr>
            <w:tcW w:w="2552"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能力要求</w:t>
            </w:r>
          </w:p>
        </w:tc>
        <w:tc>
          <w:tcPr>
            <w:tcW w:w="2318"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2"/>
                <w:highlight w:val="none"/>
              </w:rPr>
              <w:t>相关理论和知识要求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思想政治教育</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熟悉学生家庭情况、个人特长等基本信息，掌握学生思想特点、动态及思想政治状况</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深入开展中国特色社会主义、中国梦宣传教育和</w:t>
            </w:r>
            <w:r>
              <w:rPr>
                <w:rFonts w:ascii="Times New Roman" w:eastAsia="仿宋_GB2312" w:cs="宋体"/>
                <w:color w:val="auto"/>
                <w:kern w:val="0"/>
                <w:sz w:val="24"/>
                <w:highlight w:val="none"/>
              </w:rPr>
              <w:t>社会主义核心价值观教育</w:t>
            </w:r>
            <w:r>
              <w:rPr>
                <w:rFonts w:hint="eastAsia" w:ascii="Times New Roman" w:eastAsia="仿宋_GB2312" w:cs="宋体"/>
                <w:color w:val="auto"/>
                <w:kern w:val="0"/>
                <w:sz w:val="24"/>
                <w:highlight w:val="none"/>
              </w:rPr>
              <w:t>，帮助学生树立正确的世界观、人生观、价值观，确立在中国共产党领导下走中国特色社会主义道路、实现中华民族伟大复兴的共同理想和坚定信念</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eastAsia="仿宋_GB2312"/>
                <w:color w:val="auto"/>
                <w:sz w:val="24"/>
                <w:highlight w:val="none"/>
              </w:rPr>
              <w:t>有针对性地帮助大学生处理好学习成才、择业交友、健康生活等方面的具体问题</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能通过日常观察、谈心谈话、问卷调查等方式，收集学生基本信息，了解学生思想动态；能针对学生关心的热点、焦点问题，及时进行教育和引导</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eastAsia="仿宋_GB2312" w:cs="宋体"/>
                <w:color w:val="auto"/>
                <w:kern w:val="0"/>
                <w:sz w:val="24"/>
                <w:highlight w:val="none"/>
              </w:rPr>
            </w:pPr>
            <w:r>
              <w:rPr>
                <w:rFonts w:hint="eastAsia" w:ascii="Times New Roman" w:eastAsia="仿宋_GB2312" w:cs="宋体"/>
                <w:color w:val="auto"/>
                <w:kern w:val="0"/>
                <w:sz w:val="24"/>
                <w:highlight w:val="none"/>
              </w:rPr>
              <w:t>能掌握主题教育、个别谈心、党团活动、社会实践活动等思想政治教育的基本方法</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能针对学生关注的思想理论热点问题做基本解释</w:t>
            </w:r>
          </w:p>
          <w:p>
            <w:pPr>
              <w:spacing w:line="400" w:lineRule="exact"/>
              <w:jc w:val="left"/>
              <w:rPr>
                <w:rFonts w:ascii="Times New Roman" w:hAnsi="Times New Roman" w:cs="宋体"/>
                <w:color w:val="auto"/>
                <w:kern w:val="0"/>
                <w:sz w:val="24"/>
                <w:highlight w:val="none"/>
              </w:rPr>
            </w:pPr>
          </w:p>
          <w:p>
            <w:pPr>
              <w:spacing w:line="400" w:lineRule="exact"/>
              <w:jc w:val="left"/>
              <w:rPr>
                <w:rFonts w:ascii="Times New Roman" w:hAnsi="Times New Roman" w:cs="宋体"/>
                <w:color w:val="auto"/>
                <w:kern w:val="0"/>
                <w:sz w:val="24"/>
                <w:highlight w:val="none"/>
              </w:rPr>
            </w:pPr>
          </w:p>
          <w:p>
            <w:pPr>
              <w:spacing w:line="400" w:lineRule="exact"/>
              <w:jc w:val="left"/>
              <w:rPr>
                <w:rFonts w:ascii="Times New Roman" w:hAnsi="Times New Roman"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能结合大学生实际，广泛深入开展谈心活动，引导学生养成良好的心理品质和自尊、自爱、自律、自强的优良品格</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思想政治教育的基本理论和方法</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思想政治教育的基本理论和方法</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中国特色社会主义理论体系和社会主义核心价值体系基础知识</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心理学基础知识</w:t>
            </w:r>
          </w:p>
          <w:p>
            <w:pPr>
              <w:spacing w:line="400" w:lineRule="exact"/>
              <w:jc w:val="left"/>
              <w:rPr>
                <w:rFonts w:ascii="Times New Roman" w:hAnsi="Times New Roman" w:eastAsia="仿宋_GB2312"/>
                <w:color w:val="auto"/>
                <w:sz w:val="24"/>
                <w:highlight w:val="none"/>
              </w:rPr>
            </w:pPr>
            <w:r>
              <w:rPr>
                <w:rFonts w:hint="eastAsia" w:ascii="Times New Roman" w:eastAsia="仿宋_GB2312"/>
                <w:color w:val="auto"/>
                <w:sz w:val="24"/>
                <w:highlight w:val="none"/>
              </w:rPr>
              <w:t>伦理学基础知识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olor w:val="auto"/>
                <w:sz w:val="24"/>
                <w:highlight w:val="none"/>
              </w:rPr>
              <w:t>社会学基础知识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党团和班级建设</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eastAsia="仿宋_GB2312" w:cs="宋体"/>
                <w:color w:val="auto"/>
                <w:kern w:val="0"/>
                <w:sz w:val="24"/>
                <w:highlight w:val="none"/>
              </w:rPr>
              <w:t>做好学生骨干的遴选、培养、激励工作</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eastAsia="仿宋_GB2312" w:cs="宋体"/>
                <w:color w:val="auto"/>
                <w:kern w:val="0"/>
                <w:sz w:val="24"/>
                <w:highlight w:val="none"/>
              </w:rPr>
              <w:t>做好学生入党积极分子培养教育工作</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olor w:val="auto"/>
                <w:sz w:val="22"/>
                <w:highlight w:val="none"/>
              </w:rPr>
            </w:pPr>
            <w:r>
              <w:rPr>
                <w:rFonts w:ascii="Times New Roman" w:hAnsi="Times New Roman" w:eastAsia="仿宋_GB2312"/>
                <w:color w:val="auto"/>
                <w:sz w:val="22"/>
                <w:highlight w:val="none"/>
              </w:rPr>
              <w:t>(</w:t>
            </w:r>
            <w:r>
              <w:rPr>
                <w:rFonts w:hint="eastAsia" w:ascii="Times New Roman" w:eastAsia="仿宋_GB2312"/>
                <w:color w:val="auto"/>
                <w:sz w:val="22"/>
                <w:highlight w:val="none"/>
              </w:rPr>
              <w:t>三</w:t>
            </w:r>
            <w:r>
              <w:rPr>
                <w:rFonts w:ascii="Times New Roman" w:hAnsi="Times New Roman" w:eastAsia="仿宋_GB2312"/>
                <w:color w:val="auto"/>
                <w:sz w:val="22"/>
                <w:highlight w:val="none"/>
              </w:rPr>
              <w:t>)</w:t>
            </w:r>
            <w:r>
              <w:rPr>
                <w:rFonts w:hint="eastAsia" w:ascii="Times New Roman" w:eastAsia="仿宋_GB2312"/>
                <w:color w:val="auto"/>
                <w:sz w:val="22"/>
                <w:highlight w:val="none"/>
              </w:rPr>
              <w:t>做好学生党员发展和教育管理服务工作</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四</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指导学生党支部和班团组织建设</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能考察学生思想政治素质、道德品质、工作能力、发展潜力等基本素质，能激励学生积极主动参与班团事务</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olor w:val="auto"/>
                <w:sz w:val="24"/>
                <w:highlight w:val="none"/>
              </w:rPr>
              <w:t>能教育引导学生坚定理想信念，增强党性修养，</w:t>
            </w:r>
            <w:r>
              <w:rPr>
                <w:rFonts w:hint="eastAsia" w:ascii="Times New Roman" w:eastAsia="仿宋_GB2312" w:cs="宋体"/>
                <w:color w:val="auto"/>
                <w:kern w:val="0"/>
                <w:sz w:val="24"/>
                <w:highlight w:val="none"/>
              </w:rPr>
              <w:t>端正入党动机；能组织学生学习党的理论知识</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eastAsia="仿宋_GB2312"/>
                <w:color w:val="auto"/>
                <w:sz w:val="24"/>
                <w:highlight w:val="none"/>
              </w:rPr>
              <w:t>能从思想政治、能力素质、道德品行、现实表现等方面综合考察学生的先进性和纯洁性；熟悉党员发展的环节和程序；能利用各种教育载体激发党员的学习积极性和主动性</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eastAsia="仿宋_GB2312" w:cs="宋体"/>
                <w:color w:val="auto"/>
                <w:kern w:val="0"/>
                <w:sz w:val="24"/>
                <w:highlight w:val="none"/>
              </w:rPr>
            </w:pPr>
            <w:r>
              <w:rPr>
                <w:rFonts w:hint="eastAsia" w:ascii="Times New Roman" w:eastAsia="仿宋_GB2312" w:cs="宋体"/>
                <w:color w:val="auto"/>
                <w:kern w:val="0"/>
                <w:sz w:val="24"/>
                <w:highlight w:val="none"/>
              </w:rPr>
              <w:t>能选好配强党支部和班团组织负责人；能积极推动组织生活等工作创新</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能发挥学生党员的先锋模范作用和党支部的战斗堡垒作用</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人力资源管理相关理论和方法</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2"/>
                <w:highlight w:val="none"/>
              </w:rPr>
            </w:pPr>
            <w:r>
              <w:rPr>
                <w:rFonts w:hint="eastAsia" w:ascii="Times New Roman" w:eastAsia="仿宋_GB2312" w:cs="宋体"/>
                <w:color w:val="auto"/>
                <w:kern w:val="0"/>
                <w:sz w:val="22"/>
                <w:highlight w:val="none"/>
              </w:rPr>
              <w:t>党建基本理论和知识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2"/>
                <w:highlight w:val="none"/>
              </w:rPr>
              <w:t>《中国共产党章程》</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olor w:val="auto"/>
                <w:sz w:val="24"/>
                <w:highlight w:val="none"/>
              </w:rPr>
              <w:t>《中国共产党发展党员工作细则》</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《关于进一步加强高校学生党员发展和教育管理服务的若干意见》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学业指导</w:t>
            </w:r>
          </w:p>
        </w:tc>
        <w:tc>
          <w:tcPr>
            <w:tcW w:w="2410" w:type="dxa"/>
            <w:noWrap w:val="0"/>
            <w:vAlign w:val="top"/>
          </w:tcPr>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了解学生所学专业的基本情况，组织开展专业教育</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培养学生学习兴趣，指导学生养成良好学习习惯，规范学生学习方式行为</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组织开展学风建设</w:t>
            </w:r>
            <w:r>
              <w:rPr>
                <w:rFonts w:hint="eastAsia" w:ascii="Times New Roman" w:hAnsi="Times New Roman" w:eastAsia="仿宋_GB2312" w:cs="宋体"/>
                <w:color w:val="auto"/>
                <w:kern w:val="0"/>
                <w:sz w:val="24"/>
                <w:highlight w:val="none"/>
              </w:rPr>
              <w:t xml:space="preserve"> </w:t>
            </w:r>
            <w:r>
              <w:rPr>
                <w:rFonts w:hint="eastAsia" w:ascii="Times New Roman" w:eastAsia="仿宋_GB2312" w:cs="宋体"/>
                <w:color w:val="auto"/>
                <w:kern w:val="0"/>
                <w:sz w:val="24"/>
                <w:highlight w:val="none"/>
              </w:rPr>
              <w:t>，营造浓厚学习氛围</w:t>
            </w:r>
          </w:p>
        </w:tc>
        <w:tc>
          <w:tcPr>
            <w:tcW w:w="2552"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能初步掌握学生所学专业的培养计划、专业前景等；能增强学生的专业认同和学习热情</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能及时发现并纠正学生学习中的不良倾向</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教育学的基本理论和基础知识</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关于学生学位授予的相关规定</w:t>
            </w:r>
          </w:p>
          <w:p>
            <w:pPr>
              <w:spacing w:line="400" w:lineRule="exact"/>
              <w:rPr>
                <w:rFonts w:ascii="Times New Roman" w:hAnsi="Times New Roman" w:eastAsia="仿宋_GB2312" w:cs="宋体"/>
                <w:color w:val="auto"/>
                <w:kern w:val="0"/>
                <w:sz w:val="22"/>
                <w:highlight w:val="none"/>
              </w:rPr>
            </w:pPr>
            <w:r>
              <w:rPr>
                <w:rFonts w:hint="eastAsia" w:ascii="Times New Roman" w:eastAsia="仿宋_GB2312" w:cs="宋体"/>
                <w:color w:val="auto"/>
                <w:kern w:val="0"/>
                <w:sz w:val="24"/>
                <w:highlight w:val="none"/>
              </w:rPr>
              <w:t>关于学生考试的相关规定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日常事务管理</w:t>
            </w:r>
          </w:p>
        </w:tc>
        <w:tc>
          <w:tcPr>
            <w:tcW w:w="2410" w:type="dxa"/>
            <w:noWrap w:val="0"/>
            <w:vAlign w:val="top"/>
          </w:tcPr>
          <w:p>
            <w:pPr>
              <w:pStyle w:val="35"/>
              <w:spacing w:line="400" w:lineRule="exact"/>
              <w:ind w:left="34" w:firstLine="0" w:firstLineChars="0"/>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开展新生入学教育</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pStyle w:val="35"/>
              <w:spacing w:line="400" w:lineRule="exact"/>
              <w:ind w:left="34" w:firstLine="0" w:firstLineChars="0"/>
              <w:rPr>
                <w:rFonts w:ascii="Times New Roman" w:hAnsi="Times New Roman" w:eastAsia="仿宋_GB2312" w:cs="宋体"/>
                <w:color w:val="auto"/>
                <w:kern w:val="0"/>
                <w:sz w:val="24"/>
                <w:highlight w:val="none"/>
              </w:rPr>
            </w:pPr>
          </w:p>
          <w:p>
            <w:pPr>
              <w:pStyle w:val="35"/>
              <w:spacing w:line="400" w:lineRule="exact"/>
              <w:ind w:left="34" w:firstLine="0" w:firstLineChars="0"/>
              <w:rPr>
                <w:rFonts w:ascii="Times New Roman" w:hAnsi="Times New Roman" w:eastAsia="仿宋_GB2312" w:cs="宋体"/>
                <w:color w:val="auto"/>
                <w:kern w:val="0"/>
                <w:sz w:val="24"/>
                <w:highlight w:val="none"/>
              </w:rPr>
            </w:pPr>
          </w:p>
          <w:p>
            <w:pPr>
              <w:pStyle w:val="35"/>
              <w:spacing w:line="400" w:lineRule="exact"/>
              <w:ind w:left="34" w:firstLine="0" w:firstLineChars="0"/>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做好毕业生离校教育、管理和服务工作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pStyle w:val="35"/>
              <w:spacing w:line="400" w:lineRule="exact"/>
              <w:ind w:left="34" w:firstLine="0" w:firstLineChars="0"/>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组织好学生军训工作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四</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有效开展助、贷、勤、减、补工作，落实好家庭经济困难学生的资助工作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五</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做好学生奖励评优和奖学金评审工作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六</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为学生的日常事务提供基本咨询，进行生活指导</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七</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指导学生开展宿舍文化建设，促进学生和谐相处，互帮互助</w:t>
            </w:r>
          </w:p>
        </w:tc>
        <w:tc>
          <w:tcPr>
            <w:tcW w:w="2552"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能通过主题班会、参观实践、讲座报告、交流讨论等形式开展入学教育，帮助新生熟悉、接纳并适应大学生活</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能通过主题演讲、主题征文、座谈会、毕业纪念册、毕业衫等形式做好毕业生的爱校荣校教育；能为毕业生办理好毕业派遣、户档转出、党组织关系转接等工作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能通过宣讲和谈心等形式做好学生军训动员工作，指导学生积极参与军训</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能组织评审各类助学金，指导学生办理助学贷款，组织学生开展勤工俭学活动，为学生办理学费减免和临时困难补助工作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能组织学生开展素质综合测评，公开公平的做好奖励评优和奖学金评审工作</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能根据学校相关政策规定及社会、生活常识为学生解答一些日常问题；能指导学生依法维护自身权益</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eastAsia="仿宋_GB2312" w:cs="宋体"/>
                <w:color w:val="auto"/>
                <w:kern w:val="0"/>
                <w:sz w:val="24"/>
                <w:highlight w:val="none"/>
              </w:rPr>
            </w:pPr>
            <w:r>
              <w:rPr>
                <w:rFonts w:hint="eastAsia" w:ascii="Times New Roman" w:eastAsia="仿宋_GB2312" w:cs="宋体"/>
                <w:color w:val="auto"/>
                <w:kern w:val="0"/>
                <w:sz w:val="24"/>
                <w:highlight w:val="none"/>
              </w:rPr>
              <w:t>能通过召开宿舍长会议、组织宿舍文化符号比赛等形式活跃宿舍文化</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能通过团体辅导、个别谈心等形式化解宿舍学生之间的矛盾</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《普通高等学校学生管理规定》</w:t>
            </w: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军事训练与国防教育的基础知识</w:t>
            </w: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2"/>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国家和学校对家庭经济困难学生的资助政策</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《普通本科高校、高等职业学校国家奖学金管理暂行办法》</w:t>
            </w:r>
          </w:p>
          <w:p>
            <w:pPr>
              <w:spacing w:line="400" w:lineRule="exact"/>
              <w:rPr>
                <w:rFonts w:ascii="Times New Roman" w:eastAsia="仿宋_GB2312" w:cs="宋体"/>
                <w:color w:val="auto"/>
                <w:kern w:val="0"/>
                <w:sz w:val="24"/>
                <w:highlight w:val="none"/>
              </w:rPr>
            </w:pPr>
            <w:r>
              <w:rPr>
                <w:rFonts w:hint="eastAsia" w:ascii="Times New Roman" w:eastAsia="仿宋_GB2312" w:cs="宋体"/>
                <w:color w:val="auto"/>
                <w:kern w:val="0"/>
                <w:sz w:val="24"/>
                <w:highlight w:val="none"/>
              </w:rPr>
              <w:t>《研究生国家奖学金管理暂行办法》</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学校相关政策规定</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社会学基础知识</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经济学基础知识</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法学基础知识</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美学基础知识</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教育学基础知识</w:t>
            </w:r>
          </w:p>
          <w:p>
            <w:pPr>
              <w:spacing w:line="400" w:lineRule="exact"/>
              <w:rPr>
                <w:rFonts w:ascii="Times New Roman" w:hAnsi="Times New Roman" w:eastAsia="仿宋_GB2312" w:cs="宋体"/>
                <w:color w:val="auto"/>
                <w:kern w:val="0"/>
                <w:sz w:val="22"/>
                <w:highlight w:val="none"/>
              </w:rPr>
            </w:pPr>
            <w:r>
              <w:rPr>
                <w:rFonts w:hint="eastAsia" w:ascii="Times New Roman" w:eastAsia="仿宋_GB2312" w:cs="宋体"/>
                <w:color w:val="auto"/>
                <w:kern w:val="0"/>
                <w:sz w:val="24"/>
                <w:highlight w:val="none"/>
              </w:rPr>
              <w:t>心理咨询知识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心理健康教育与</w:t>
            </w:r>
          </w:p>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咨询</w:t>
            </w:r>
          </w:p>
        </w:tc>
        <w:tc>
          <w:tcPr>
            <w:tcW w:w="2410" w:type="dxa"/>
            <w:noWrap w:val="0"/>
            <w:vAlign w:val="top"/>
          </w:tcPr>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一</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协助学校心理健康教育机构开展心理筛查</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二</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对学生进行初步心理问题排查和疏导</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组织开展心理健康教育宣传活动</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协助心理健康教育机构完成心理筛查的组织实施、能了解大学生的心理特点，熟悉大学生常见的发展性心理问题，掌握倾听、共情、尊重等沟通技能，能够与大学生建立积极有效的师生关系，帮助学生调适一般的心理困扰</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能组织开展形式多样的心理健康教育宣传活动，如举办讲座、设计宣传展板等；能组织学生参加陶冶情操、磨炼意志的课外文体活动，提高学生心理健康水平</w:t>
            </w:r>
          </w:p>
        </w:tc>
        <w:tc>
          <w:tcPr>
            <w:tcW w:w="2318" w:type="dxa"/>
            <w:noWrap w:val="0"/>
            <w:vAlign w:val="top"/>
          </w:tcPr>
          <w:p>
            <w:pPr>
              <w:spacing w:line="400" w:lineRule="exact"/>
              <w:jc w:val="left"/>
              <w:rPr>
                <w:rFonts w:ascii="Times New Roman" w:hAnsi="Times New Roman" w:eastAsia="仿宋_GB2312" w:cs="宋体"/>
                <w:color w:val="auto"/>
                <w:kern w:val="0"/>
                <w:sz w:val="22"/>
                <w:highlight w:val="none"/>
              </w:rPr>
            </w:pPr>
            <w:r>
              <w:rPr>
                <w:rFonts w:hint="eastAsia" w:ascii="Times New Roman" w:eastAsia="仿宋_GB2312" w:cs="宋体"/>
                <w:color w:val="auto"/>
                <w:kern w:val="0"/>
                <w:sz w:val="22"/>
                <w:highlight w:val="none"/>
              </w:rPr>
              <w:t>心理咨询的方法、技巧</w:t>
            </w:r>
          </w:p>
          <w:p>
            <w:pPr>
              <w:spacing w:line="400" w:lineRule="exact"/>
              <w:rPr>
                <w:rFonts w:ascii="Times New Roman" w:hAnsi="Times New Roman" w:eastAsia="仿宋_GB2312" w:cs="宋体"/>
                <w:color w:val="auto"/>
                <w:kern w:val="0"/>
                <w:sz w:val="22"/>
                <w:highlight w:val="none"/>
              </w:rPr>
            </w:pPr>
            <w:r>
              <w:rPr>
                <w:rFonts w:hint="eastAsia" w:ascii="Times New Roman" w:eastAsia="仿宋_GB2312" w:cs="宋体"/>
                <w:color w:val="auto"/>
                <w:kern w:val="0"/>
                <w:sz w:val="22"/>
                <w:highlight w:val="none"/>
              </w:rPr>
              <w:t>心理异常的判断标准、原则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网络思想政治教育</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构建网络思想政治教育重要阵地，有效传播先进文化、弘扬主旋律</w:t>
            </w:r>
          </w:p>
          <w:p>
            <w:pPr>
              <w:spacing w:line="400" w:lineRule="exact"/>
              <w:jc w:val="left"/>
              <w:rPr>
                <w:rFonts w:asci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拓展工作途径，加强与学生的网上互动交流，运用网络平台为学生提供学习、生活、就业心理咨询等服务</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及时了解网络舆情信息，密切关注学生的网络动态，敏锐把握一些苗头性、倾向性、群体性问题</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能及时把握学生对信息技术的应用趋势；能熟悉网络语言特点和规律；能熟练使用博客、微博及微信等新媒体技术</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能及时研判网络舆情</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《关于进一步加强高等学校校园网络管理工作的意见》</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《关于进一步加强高等学校网络建设和管理工作的意见》</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网络技术基础知识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传播学基础知识</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危机事件应对</w:t>
            </w:r>
          </w:p>
        </w:tc>
        <w:tc>
          <w:tcPr>
            <w:tcW w:w="2410" w:type="dxa"/>
            <w:noWrap w:val="0"/>
            <w:vAlign w:val="top"/>
          </w:tcPr>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对危机事件作初步处理，努力稳定并控制局面</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了解事件相关信息并及时逐级上报</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三</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组织基本安全教育并建立基层应急队伍</w:t>
            </w:r>
          </w:p>
        </w:tc>
        <w:tc>
          <w:tcPr>
            <w:tcW w:w="2552" w:type="dxa"/>
            <w:noWrap w:val="0"/>
            <w:vAlign w:val="top"/>
          </w:tcPr>
          <w:p>
            <w:pPr>
              <w:pStyle w:val="35"/>
              <w:spacing w:line="400" w:lineRule="exact"/>
              <w:ind w:firstLine="0" w:firstLineChars="0"/>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szCs w:val="24"/>
                <w:highlight w:val="none"/>
              </w:rPr>
              <w:t>能第一时间赶赴现场；能尽快</w:t>
            </w:r>
            <w:r>
              <w:rPr>
                <w:rFonts w:hint="eastAsia" w:ascii="Times New Roman" w:eastAsia="仿宋_GB2312" w:cs="宋体"/>
                <w:color w:val="auto"/>
                <w:kern w:val="0"/>
                <w:sz w:val="24"/>
                <w:highlight w:val="none"/>
              </w:rPr>
              <w:t>确认相关人员基本情况；能执行危机事件处理预案，及时稳定相关人员情绪</w:t>
            </w:r>
          </w:p>
          <w:p>
            <w:pPr>
              <w:pStyle w:val="35"/>
              <w:spacing w:line="400" w:lineRule="exact"/>
              <w:ind w:firstLine="0" w:firstLineChars="0"/>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能通过学生骨干、密切接触人员等渠道快速了解事件相关信息；能对事件性质做出初步判断；能将相关情况及时向上级领导汇报</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掌握基本安全教育方法，能组织开展学生安全教育活动；能培训指导各级学生骨干具备初步应急常识</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《学生伤害事故处理办法》相关规定</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危机事件、突发事件应对与管控的相关知识</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危机事件应对预案相关内容</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公共危机管理基础知识</w:t>
            </w:r>
          </w:p>
          <w:p>
            <w:pPr>
              <w:spacing w:line="400" w:lineRule="exac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社会学基础知识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职业规划与就业</w:t>
            </w:r>
          </w:p>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指导</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olor w:val="auto"/>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为学生提供高效优质的就业指导和信息服务</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帮助学生树立正确的就业观念，引导毕业生到基层、到西部、到祖国最需要的地方建功立业</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能及时全面发布就业信息；能开展通用求职技巧指导、就业政策及流程解读等基本就业指导服务工作</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具备基本的职业生涯规划能力，能开展就业观、择业观教育</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国家毕业生就业相关政策</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现代化技术发布信息的方法</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职业类型</w:t>
            </w:r>
            <w:r>
              <w:rPr>
                <w:rFonts w:hint="eastAsia" w:ascii="Times New Roman" w:eastAsia="仿宋_GB2312"/>
                <w:color w:val="auto"/>
                <w:sz w:val="24"/>
                <w:highlight w:val="none"/>
              </w:rPr>
              <w:t>基础</w:t>
            </w:r>
            <w:r>
              <w:rPr>
                <w:rFonts w:hint="eastAsia" w:ascii="Times New Roman" w:eastAsia="仿宋_GB2312" w:cs="宋体"/>
                <w:color w:val="auto"/>
                <w:kern w:val="0"/>
                <w:sz w:val="24"/>
                <w:highlight w:val="none"/>
              </w:rPr>
              <w:t>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olor w:val="auto"/>
                <w:sz w:val="24"/>
                <w:highlight w:val="none"/>
              </w:rPr>
              <w:t>职业咨询基础</w:t>
            </w:r>
            <w:r>
              <w:rPr>
                <w:rFonts w:hint="eastAsia" w:ascii="Times New Roman" w:eastAsia="仿宋_GB2312" w:cs="宋体"/>
                <w:color w:val="auto"/>
                <w:kern w:val="0"/>
                <w:sz w:val="24"/>
                <w:highlight w:val="none"/>
              </w:rPr>
              <w:t>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eastAsia="仿宋_GB2312"/>
                <w:color w:val="auto"/>
                <w:sz w:val="24"/>
                <w:highlight w:val="none"/>
              </w:rPr>
              <w:t>理论和实践研究</w:t>
            </w:r>
          </w:p>
        </w:tc>
        <w:tc>
          <w:tcPr>
            <w:tcW w:w="2410" w:type="dxa"/>
            <w:noWrap w:val="0"/>
            <w:vAlign w:val="center"/>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攻读并获得思想政治教育、教育学、管理学等相关专业学位；参加校内相关学科领域学术交流活动</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eastAsia="仿宋_GB2312" w:cs="宋体"/>
                <w:color w:val="auto"/>
                <w:kern w:val="0"/>
                <w:sz w:val="24"/>
                <w:highlight w:val="none"/>
              </w:rPr>
              <w:t>参与校内外思想政治教育课题或项目研究</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能掌握思想政治教育的基本理论观点；能融入学术团队，运用理论分析、调查研究等方法，归纳分析相关问题</w:t>
            </w:r>
          </w:p>
        </w:tc>
        <w:tc>
          <w:tcPr>
            <w:tcW w:w="2318" w:type="dxa"/>
            <w:noWrap w:val="0"/>
            <w:vAlign w:val="top"/>
          </w:tcPr>
          <w:p>
            <w:pPr>
              <w:spacing w:line="400" w:lineRule="exact"/>
              <w:rPr>
                <w:rFonts w:ascii="Times New Roman" w:hAnsi="Times New Roman" w:eastAsia="仿宋_GB2312"/>
                <w:color w:val="auto"/>
                <w:sz w:val="24"/>
                <w:highlight w:val="none"/>
              </w:rPr>
            </w:pPr>
            <w:r>
              <w:rPr>
                <w:rFonts w:hint="eastAsia" w:ascii="Times New Roman" w:eastAsia="仿宋_GB2312"/>
                <w:color w:val="auto"/>
                <w:sz w:val="24"/>
                <w:highlight w:val="none"/>
              </w:rPr>
              <w:t>科学研究基本方法</w:t>
            </w:r>
          </w:p>
        </w:tc>
      </w:tr>
    </w:tbl>
    <w:p>
      <w:pPr>
        <w:rPr>
          <w:rFonts w:ascii="Times New Roman" w:hAnsi="Times New Roman"/>
          <w:vanish/>
          <w:color w:val="auto"/>
          <w:highlight w:val="none"/>
        </w:rPr>
      </w:pPr>
    </w:p>
    <w:p>
      <w:pPr>
        <w:rPr>
          <w:rFonts w:ascii="Times New Roman" w:hAnsi="Times New Roman"/>
          <w:vanish/>
          <w:color w:val="auto"/>
          <w:highlight w:val="none"/>
        </w:rPr>
      </w:pP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3.2 中级</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中级辅导员一般工作年限为4-8年，具备一定工作经验，培养了较强研究能力，积累了一定理论和实践成果。中级辅导员职业标准除涵盖初级辅导员的职业标准内容要求外，在各项职业功能上有更高要求。</w:t>
      </w:r>
    </w:p>
    <w:tbl>
      <w:tblPr>
        <w:tblStyle w:val="2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10"/>
        <w:gridCol w:w="2552"/>
        <w:gridCol w:w="2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职业功能</w:t>
            </w:r>
          </w:p>
        </w:tc>
        <w:tc>
          <w:tcPr>
            <w:tcW w:w="2410"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工作内容</w:t>
            </w:r>
          </w:p>
        </w:tc>
        <w:tc>
          <w:tcPr>
            <w:tcW w:w="2552"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4"/>
                <w:highlight w:val="none"/>
              </w:rPr>
              <w:t>能力要求</w:t>
            </w:r>
          </w:p>
        </w:tc>
        <w:tc>
          <w:tcPr>
            <w:tcW w:w="2318"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eastAsia="仿宋_GB2312" w:cs="宋体"/>
                <w:b/>
                <w:color w:val="auto"/>
                <w:kern w:val="0"/>
                <w:sz w:val="22"/>
                <w:highlight w:val="none"/>
              </w:rPr>
              <w:t>相关理论和知识要求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eastAsia="仿宋_GB2312" w:cs="宋体"/>
                <w:color w:val="auto"/>
                <w:kern w:val="0"/>
                <w:sz w:val="24"/>
                <w:highlight w:val="none"/>
              </w:rPr>
              <w:t>思想政治教育</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eastAsia="仿宋_GB2312"/>
                <w:color w:val="auto"/>
                <w:sz w:val="24"/>
                <w:highlight w:val="none"/>
              </w:rPr>
              <w:t>组织、协调班主任、思想政治理论课教师和组织员等共同做好经常性的思想政治教育工作</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eastAsia="仿宋_GB2312"/>
                <w:color w:val="auto"/>
                <w:sz w:val="24"/>
                <w:highlight w:val="none"/>
              </w:rPr>
              <w:t>参与思想道德修养、形势与政策教育等课程教学</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为学生在理想、信念等方面遇到的深层次思想问题提供有针对性的教育咨询</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能与班主任、思想政治理论课教师和组织员等工作骨干做好沟通交流，充分发挥所有从事大学生思想政治教育人员的育人作用</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能深入了解国情、民情、社情；能根据教学的需要和学生的特点，采取灵活多样的教学方式开展形势与政策教育</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s="宋体"/>
                <w:color w:val="auto"/>
                <w:kern w:val="0"/>
                <w:sz w:val="24"/>
                <w:highlight w:val="none"/>
              </w:rPr>
              <w:t>能就学生深层次的思想问题进行沟通、挖掘、分析与辅导</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心理学</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政治学基础知识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课堂教学基本方法与理论</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伦理学相关知识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社会学相关知识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党团和班级建设</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开展党员教育管理服务工作</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指导学生党支部和班团组织开展主题党、团日等活动</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color w:val="auto"/>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参与学生业余党校、团校建设，讲授党课、团课</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具备丰富的党建团建工作经验与扎实的理论功底；能指导党支部书记开展党员教育培训，拓展教育途径；能指导党支部书记开展组织生活和组织关系管理；能指导党支部书记关爱帮助学生党员，保障党员民主权利</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能抓住重大节庆日、重要活动、重要节点，指导党团组织开展主题活动</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能指导学生组织开展丰富多彩的校园文化、艺术、体育等活动</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能组织开展学院级党校、团校的相关工作；能讲授具有一定理论水平、深受学生欢迎的党课、团课</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中华人民共和国史</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中国共产党史</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党的建设理论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大型活动组织管理和大型活动组织的方法与原则</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课堂教学方法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学业指导</w:t>
            </w:r>
          </w:p>
        </w:tc>
        <w:tc>
          <w:tcPr>
            <w:tcW w:w="2410" w:type="dxa"/>
            <w:noWrap w:val="0"/>
            <w:vAlign w:val="top"/>
          </w:tcPr>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帮助学习困难学生适应大学学习生活，激发学习兴趣，掌握科学的学习方法</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研究分析学生学习状态和学习成绩变化，并针对性的开展分类指导</w:t>
            </w: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指导学生开展课外科技学术实践活动</w:t>
            </w: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四</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指导学生考研、出国留学等学习事务</w:t>
            </w:r>
          </w:p>
        </w:tc>
        <w:tc>
          <w:tcPr>
            <w:tcW w:w="2552" w:type="dxa"/>
            <w:noWrap w:val="0"/>
            <w:vAlign w:val="top"/>
          </w:tcPr>
          <w:p>
            <w:pPr>
              <w:spacing w:line="400" w:lineRule="exact"/>
              <w:rPr>
                <w:rFonts w:ascii="Times New Roman" w:hAnsi="Times New Roman" w:eastAsia="仿宋_GB2312" w:cs="宋体"/>
                <w:color w:val="auto"/>
                <w:kern w:val="0"/>
                <w:sz w:val="22"/>
                <w:szCs w:val="24"/>
                <w:highlight w:val="none"/>
              </w:rPr>
            </w:pPr>
            <w:r>
              <w:rPr>
                <w:rFonts w:hint="eastAsia" w:ascii="Times New Roman" w:hAnsi="Times New Roman" w:eastAsia="仿宋_GB2312" w:cs="宋体"/>
                <w:color w:val="auto"/>
                <w:kern w:val="0"/>
                <w:sz w:val="22"/>
                <w:szCs w:val="24"/>
                <w:highlight w:val="none"/>
              </w:rPr>
              <w:t>能通过侧面了解、谈心谈话、组织相关人员集体讨论等方式分析学生遇到的困难和应对措施，指导学生有效调整学习习惯和学习方法</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能通过召开宣讲会、谈心谈话等方式鼓励学生主动参与课外学术实践活动</w:t>
            </w:r>
          </w:p>
        </w:tc>
        <w:tc>
          <w:tcPr>
            <w:tcW w:w="2318" w:type="dxa"/>
            <w:noWrap w:val="0"/>
            <w:vAlign w:val="top"/>
          </w:tcPr>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教育学相关知识</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心理学相关知识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日常事务管理</w:t>
            </w:r>
          </w:p>
        </w:tc>
        <w:tc>
          <w:tcPr>
            <w:tcW w:w="2410" w:type="dxa"/>
            <w:noWrap w:val="0"/>
            <w:vAlign w:val="top"/>
          </w:tcPr>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违法违纪学生的教育处理</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能熟练把握学生情感、人际交往、财经、法律等方面事务科学咨询指导的政策、方法和技巧</w:t>
            </w:r>
          </w:p>
        </w:tc>
        <w:tc>
          <w:tcPr>
            <w:tcW w:w="2552"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能准确把握国家有关法律法规和学校规章制度，对学生违法违纪行为进行严肃处理；能采用案例分析、宣传警示等形式对学生进行日常法律意识教育</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能运用法律知识、社会学知识和心理学知识指导学生对日常遇到的各种复杂问题进行全面深入的分析，探究解决问题的办法</w:t>
            </w:r>
          </w:p>
        </w:tc>
        <w:tc>
          <w:tcPr>
            <w:tcW w:w="2318" w:type="dxa"/>
            <w:noWrap w:val="0"/>
            <w:vAlign w:val="top"/>
          </w:tcPr>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《中华人民共和国刑法》</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《中华人民共和国治安管理处罚法》</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《国家教育考试违规处理办法》</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学校相关规章制度</w:t>
            </w:r>
          </w:p>
          <w:p>
            <w:pPr>
              <w:spacing w:line="400" w:lineRule="exact"/>
              <w:rPr>
                <w:rFonts w:ascii="Times New Roman" w:hAnsi="Times New Roman" w:eastAsia="仿宋_GB2312" w:cs="宋体"/>
                <w:color w:val="auto"/>
                <w:kern w:val="0"/>
                <w:sz w:val="24"/>
                <w:szCs w:val="24"/>
                <w:highlight w:val="none"/>
              </w:rPr>
            </w:pP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经济学相关知识</w:t>
            </w:r>
          </w:p>
          <w:p>
            <w:pPr>
              <w:spacing w:line="400" w:lineRule="exact"/>
              <w:rPr>
                <w:rFonts w:ascii="Times New Roman" w:hAnsi="Times New Roman" w:eastAsia="仿宋_GB2312" w:cs="宋体"/>
                <w:color w:val="auto"/>
                <w:kern w:val="0"/>
                <w:sz w:val="24"/>
                <w:szCs w:val="24"/>
                <w:highlight w:val="none"/>
              </w:rPr>
            </w:pPr>
            <w:r>
              <w:rPr>
                <w:rFonts w:hint="eastAsia" w:ascii="Times New Roman" w:hAnsi="Times New Roman" w:eastAsia="仿宋_GB2312" w:cs="宋体"/>
                <w:color w:val="auto"/>
                <w:kern w:val="0"/>
                <w:sz w:val="24"/>
                <w:szCs w:val="24"/>
                <w:highlight w:val="none"/>
              </w:rPr>
              <w:t>法学相关知识</w:t>
            </w:r>
          </w:p>
          <w:p>
            <w:pPr>
              <w:spacing w:line="400" w:lineRule="exact"/>
              <w:rPr>
                <w:rFonts w:ascii="Times New Roman" w:hAnsi="Times New Roman" w:eastAsia="仿宋_GB2312" w:cs="宋体"/>
                <w:color w:val="auto"/>
                <w:kern w:val="0"/>
                <w:sz w:val="22"/>
                <w:highlight w:val="none"/>
              </w:rPr>
            </w:pPr>
            <w:r>
              <w:rPr>
                <w:rFonts w:hint="eastAsia" w:ascii="Times New Roman" w:hAnsi="Times New Roman" w:eastAsia="仿宋_GB2312" w:cs="宋体"/>
                <w:color w:val="auto"/>
                <w:kern w:val="0"/>
                <w:sz w:val="24"/>
                <w:szCs w:val="24"/>
                <w:highlight w:val="none"/>
              </w:rPr>
              <w:t>社会学相关知识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心理健康教育与</w:t>
            </w:r>
          </w:p>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咨询</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心理问题严重程度的识别与严重个案的转介</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心理测验的实施</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有效开展学生心理疏导工作</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四</w:t>
            </w:r>
            <w:r>
              <w:rPr>
                <w:rFonts w:ascii="Times New Roman" w:hAnsi="Times New Roman" w:eastAsia="仿宋_GB2312" w:cs="宋体"/>
                <w:color w:val="auto"/>
                <w:kern w:val="0"/>
                <w:sz w:val="24"/>
                <w:highlight w:val="none"/>
              </w:rPr>
              <w:t>)</w:t>
            </w:r>
            <w:r>
              <w:rPr>
                <w:rFonts w:hint="eastAsia" w:ascii="Times New Roman" w:hAnsi="Times New Roman" w:eastAsia="仿宋_GB2312"/>
                <w:color w:val="auto"/>
                <w:sz w:val="24"/>
                <w:highlight w:val="none"/>
              </w:rPr>
              <w:t>初步开展心理危机的识别与干预</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五</w:t>
            </w:r>
            <w:r>
              <w:rPr>
                <w:rFonts w:ascii="Times New Roman" w:hAnsi="Times New Roman" w:eastAsia="仿宋_GB2312" w:cs="宋体"/>
                <w:color w:val="auto"/>
                <w:kern w:val="0"/>
                <w:sz w:val="24"/>
                <w:highlight w:val="none"/>
              </w:rPr>
              <w:t>)</w:t>
            </w:r>
            <w:r>
              <w:rPr>
                <w:rFonts w:hint="eastAsia" w:ascii="Times New Roman" w:hAnsi="Times New Roman" w:eastAsia="仿宋_GB2312"/>
                <w:color w:val="auto"/>
                <w:sz w:val="24"/>
                <w:highlight w:val="none"/>
              </w:rPr>
              <w:t>相对系统地组织开展心理健康教育活动</w:t>
            </w:r>
          </w:p>
        </w:tc>
        <w:tc>
          <w:tcPr>
            <w:tcW w:w="2552"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具备三级心理咨询师资质或具有心理健康教育相关专业硕士学位</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能对一般心理问题、心理障碍和精神疾病进行初步识别，了解转介到心理咨询中心或精神卫生医院的适用条件和相关程序</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能根据工作需要，正确实施各种心理测验量表、问卷，并能在专业人士指导下对结果进行正确解读和反馈</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能与求助学生建立良好的信任关系，有效开展心理疏导工作，帮助学生调节情绪</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能识别大学生心理危机的症状并进行初步评估，能协助专家开展相关的危机干预工作</w:t>
            </w:r>
          </w:p>
          <w:p>
            <w:pPr>
              <w:spacing w:line="400" w:lineRule="exact"/>
              <w:jc w:val="left"/>
              <w:rPr>
                <w:rFonts w:ascii="Times New Roman" w:hAnsi="Times New Roman" w:eastAsia="仿宋_GB2312"/>
                <w:color w:val="auto"/>
                <w:sz w:val="24"/>
                <w:highlight w:val="none"/>
              </w:rPr>
            </w:pP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能通过培养心理委员、宿舍长、班干部等方法，培养学生自我管理、自我救助和朋辈互助的能力；能有效设计相对系统的院系心理健康教育整体方案，并能指导学生社团开展形式多样的心理健康教育活动</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心理问题、神经症、</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精神病识别知识</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各类测验的功能与使用范围，施测手段</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2"/>
                <w:highlight w:val="none"/>
              </w:rPr>
            </w:pPr>
            <w:r>
              <w:rPr>
                <w:rFonts w:hint="eastAsia" w:ascii="Times New Roman" w:hAnsi="Times New Roman" w:eastAsia="仿宋_GB2312"/>
                <w:color w:val="auto"/>
                <w:sz w:val="22"/>
                <w:highlight w:val="none"/>
              </w:rPr>
              <w:t>教育心理学基础知识</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网络思想政治教育</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综合利用传统、网络媒体，统筹协调网上、网下工作</w:t>
            </w: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引导学生在网上自我教育、自我管理和自我服务，教育学生在网上自我约束、自我保护</w:t>
            </w: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三</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围绕学生关注的重点、热点和难点问题，进行有效舆论引导；丰富网上宣传内容，把握网络舆论的话语权和主导权</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能准备把握网络传播规律，有效配置整合网络资源</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能对学生的网络行为进行教育引导</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能通过博客、微博、校园交互社区、网络群组等网络平台主动发布相关内容，吸引学生浏览、点击和评论，引导网络舆情</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社会学的基础知识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文化学的基础知识</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教育学的基础知识</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网络舆情引导方法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危机事件应对</w:t>
            </w:r>
          </w:p>
        </w:tc>
        <w:tc>
          <w:tcPr>
            <w:tcW w:w="2410" w:type="dxa"/>
            <w:noWrap w:val="0"/>
            <w:vAlign w:val="top"/>
          </w:tcPr>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指导初级辅导员对危机事件作初步处理，稳定并控制局面</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szCs w:val="24"/>
                <w:highlight w:val="none"/>
              </w:rPr>
              <w:t>)</w:t>
            </w:r>
            <w:r>
              <w:rPr>
                <w:rFonts w:hint="eastAsia" w:ascii="Times New Roman" w:hAnsi="Times New Roman" w:eastAsia="仿宋_GB2312" w:cs="宋体"/>
                <w:color w:val="auto"/>
                <w:kern w:val="0"/>
                <w:sz w:val="24"/>
                <w:szCs w:val="24"/>
                <w:highlight w:val="none"/>
              </w:rPr>
              <w:t>对事件相关信息做好全面汇总和准确分析并及时与有关部门沟通</w:t>
            </w: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pStyle w:val="35"/>
              <w:spacing w:line="400" w:lineRule="exact"/>
              <w:ind w:firstLine="0" w:firstLineChars="0"/>
              <w:jc w:val="left"/>
              <w:rPr>
                <w:rFonts w:ascii="Times New Roman" w:hAnsi="Times New Roman" w:eastAsia="仿宋_GB2312" w:cs="宋体"/>
                <w:color w:val="auto"/>
                <w:kern w:val="0"/>
                <w:sz w:val="24"/>
                <w:szCs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对事件发展及其影响进行持续关注与跟踪</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四</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组织安全教育课程学习</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能做好第一时间现场统筹指挥工作；能把握重点人员和关键节点，有效控制事态的发展</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能协调事件涉及相关部门迅速反应，筛选有效信息；能通过沟通和分析把握事件脉络并提出初步处理方案</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能密切联系相关人员，跟踪事件的处理效果；通过网络、个别谈话等渠道掌握事件产生的影响；能进行事后集体和个体的心理疏导</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能讲授校园安全教育公共选修课</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《学生伤害事故处理办法》相关规定</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危机事件、突发事件应对与管控的相关知识</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公共危机管理相关知识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心理学相关知识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教育教学方法相关知识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职业规划与就业</w:t>
            </w:r>
          </w:p>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指导</w:t>
            </w:r>
          </w:p>
        </w:tc>
        <w:tc>
          <w:tcPr>
            <w:tcW w:w="2410" w:type="dxa"/>
            <w:noWrap w:val="0"/>
            <w:vAlign w:val="top"/>
          </w:tcPr>
          <w:p>
            <w:pPr>
              <w:pStyle w:val="35"/>
              <w:spacing w:line="400" w:lineRule="exact"/>
              <w:ind w:firstLine="0" w:firstLineChars="0"/>
              <w:jc w:val="left"/>
              <w:rPr>
                <w:rFonts w:ascii="Times New Roman" w:hAnsi="Times New Roman" w:eastAsia="仿宋_GB2312"/>
                <w:color w:val="auto"/>
                <w:sz w:val="24"/>
                <w:szCs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hAnsi="Times New Roman" w:eastAsia="仿宋_GB2312"/>
                <w:color w:val="auto"/>
                <w:sz w:val="24"/>
                <w:szCs w:val="24"/>
                <w:highlight w:val="none"/>
              </w:rPr>
              <w:t>帮助学生正确分析自己的职业倾向</w:t>
            </w:r>
          </w:p>
          <w:p>
            <w:pPr>
              <w:pStyle w:val="35"/>
              <w:spacing w:line="400" w:lineRule="exact"/>
              <w:ind w:firstLineChars="0"/>
              <w:jc w:val="left"/>
              <w:rPr>
                <w:rFonts w:ascii="Times New Roman" w:hAnsi="Times New Roman" w:eastAsia="仿宋_GB2312"/>
                <w:color w:val="auto"/>
                <w:sz w:val="24"/>
                <w:szCs w:val="24"/>
                <w:highlight w:val="none"/>
              </w:rPr>
            </w:pPr>
          </w:p>
          <w:p>
            <w:pPr>
              <w:pStyle w:val="35"/>
              <w:spacing w:line="400" w:lineRule="exact"/>
              <w:ind w:firstLineChars="0"/>
              <w:jc w:val="left"/>
              <w:rPr>
                <w:rFonts w:ascii="Times New Roman" w:hAnsi="Times New Roman" w:eastAsia="仿宋_GB2312"/>
                <w:color w:val="auto"/>
                <w:sz w:val="24"/>
                <w:szCs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开展职业生涯规划活动，帮助学生</w:t>
            </w:r>
            <w:r>
              <w:rPr>
                <w:rFonts w:hint="eastAsia" w:ascii="Times New Roman" w:hAnsi="Times New Roman" w:eastAsia="仿宋_GB2312"/>
                <w:color w:val="auto"/>
                <w:sz w:val="24"/>
                <w:highlight w:val="none"/>
              </w:rPr>
              <w:t>树立正确的职业观、择业观、创业观、成才观，尽快适应社会、融入社会</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能开展职业能力倾向测试并对结果进行分析、评估</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能帮助学生认识自身的性格特点和能力，明确职业发展目标，澄清职业取向；能为毕业生提供个性化咨询指导</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职业生涯规划</w:t>
            </w:r>
            <w:r>
              <w:rPr>
                <w:rFonts w:hint="eastAsia" w:ascii="Times New Roman" w:hAnsi="Times New Roman" w:eastAsia="仿宋_GB2312"/>
                <w:color w:val="auto"/>
                <w:sz w:val="24"/>
                <w:highlight w:val="none"/>
              </w:rPr>
              <w:t>基本理论</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s="宋体"/>
                <w:color w:val="auto"/>
                <w:kern w:val="0"/>
                <w:sz w:val="24"/>
                <w:highlight w:val="none"/>
              </w:rPr>
              <w:t>人力资源管理基本理论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理论和实践研究</w:t>
            </w:r>
          </w:p>
        </w:tc>
        <w:tc>
          <w:tcPr>
            <w:tcW w:w="2410" w:type="dxa"/>
            <w:noWrap w:val="0"/>
            <w:vAlign w:val="center"/>
          </w:tcPr>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一</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攻读获得思想政治教育、教育学、管理学等相关专业博士学位；参加国内学术交流活动</w:t>
            </w:r>
          </w:p>
          <w:p>
            <w:pPr>
              <w:spacing w:line="400" w:lineRule="exact"/>
              <w:jc w:val="left"/>
              <w:rPr>
                <w:rFonts w:ascii="Times New Roman" w:hAnsi="Times New Roman" w:eastAsia="仿宋_GB2312" w:cs="宋体"/>
                <w:color w:val="auto"/>
                <w:kern w:val="0"/>
                <w:sz w:val="24"/>
                <w:highlight w:val="none"/>
              </w:rPr>
            </w:pPr>
          </w:p>
          <w:p>
            <w:pPr>
              <w:spacing w:line="400" w:lineRule="exact"/>
              <w:jc w:val="left"/>
              <w:rPr>
                <w:rFonts w:ascii="Times New Roman" w:hAnsi="Times New Roman" w:eastAsia="仿宋_GB2312" w:cs="宋体"/>
                <w:color w:val="auto"/>
                <w:kern w:val="0"/>
                <w:sz w:val="24"/>
                <w:highlight w:val="none"/>
              </w:rPr>
            </w:pP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二</w:t>
            </w:r>
            <w:r>
              <w:rPr>
                <w:rFonts w:ascii="Times New Roman" w:hAnsi="Times New Roman" w:eastAsia="仿宋_GB2312" w:cs="宋体"/>
                <w:color w:val="auto"/>
                <w:kern w:val="0"/>
                <w:sz w:val="24"/>
                <w:highlight w:val="none"/>
              </w:rPr>
              <w:t>)</w:t>
            </w:r>
            <w:r>
              <w:rPr>
                <w:rFonts w:hint="eastAsia" w:ascii="Times New Roman" w:hAnsi="Times New Roman" w:eastAsia="仿宋_GB2312" w:cs="宋体"/>
                <w:color w:val="auto"/>
                <w:kern w:val="0"/>
                <w:sz w:val="24"/>
                <w:highlight w:val="none"/>
              </w:rPr>
              <w:t>主持或参与校级及以上思想政治教育课题或项目研究，形成具有针对性和实效性的研究成果</w:t>
            </w:r>
          </w:p>
        </w:tc>
        <w:tc>
          <w:tcPr>
            <w:tcW w:w="2552"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s="宋体"/>
                <w:color w:val="auto"/>
                <w:kern w:val="0"/>
                <w:sz w:val="24"/>
                <w:highlight w:val="none"/>
              </w:rPr>
              <w:t>能开展深入的科学研究；能领导管理科研项目团队；以第一作者身份在相关领域期刊发表3篇学术论文</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教育研究方法</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社会学研究方法</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s="宋体"/>
                <w:color w:val="auto"/>
                <w:kern w:val="0"/>
                <w:sz w:val="24"/>
                <w:highlight w:val="none"/>
              </w:rPr>
              <w:t>管理学相关知识</w:t>
            </w:r>
          </w:p>
        </w:tc>
      </w:tr>
    </w:tbl>
    <w:p>
      <w:pPr>
        <w:rPr>
          <w:rFonts w:ascii="Times New Roman" w:hAnsi="Times New Roman"/>
          <w:vanish/>
          <w:color w:val="auto"/>
          <w:highlight w:val="none"/>
        </w:rPr>
      </w:pPr>
    </w:p>
    <w:p>
      <w:pPr>
        <w:rPr>
          <w:rFonts w:ascii="Times New Roman" w:hAnsi="Times New Roman"/>
          <w:vanish/>
          <w:color w:val="auto"/>
          <w:highlight w:val="none"/>
        </w:rPr>
      </w:pPr>
    </w:p>
    <w:p>
      <w:pPr>
        <w:spacing w:line="560" w:lineRule="exact"/>
        <w:ind w:firstLine="643" w:firstLineChars="200"/>
        <w:rPr>
          <w:rFonts w:hint="eastAsia" w:ascii="方正楷体_GBK" w:hAnsi="方正楷体_GBK" w:eastAsia="方正楷体_GBK" w:cs="方正楷体_GBK"/>
          <w:b/>
          <w:bCs w:val="0"/>
          <w:color w:val="auto"/>
          <w:kern w:val="0"/>
          <w:sz w:val="32"/>
          <w:szCs w:val="32"/>
          <w:highlight w:val="none"/>
        </w:rPr>
      </w:pPr>
      <w:r>
        <w:rPr>
          <w:rFonts w:hint="eastAsia" w:ascii="方正楷体_GBK" w:hAnsi="方正楷体_GBK" w:eastAsia="方正楷体_GBK" w:cs="方正楷体_GBK"/>
          <w:b/>
          <w:bCs w:val="0"/>
          <w:color w:val="auto"/>
          <w:kern w:val="0"/>
          <w:sz w:val="32"/>
          <w:szCs w:val="32"/>
          <w:highlight w:val="none"/>
        </w:rPr>
        <w:t>3.3 高级</w:t>
      </w:r>
    </w:p>
    <w:p>
      <w:pPr>
        <w:widowControl/>
        <w:spacing w:line="560" w:lineRule="exact"/>
        <w:ind w:firstLine="632" w:firstLineChars="200"/>
        <w:jc w:val="left"/>
        <w:rPr>
          <w:rFonts w:hint="eastAsia" w:ascii="方正仿宋_GBK" w:hAnsi="方正仿宋_GBK" w:eastAsia="方正仿宋_GBK" w:cs="方正仿宋_GBK"/>
          <w:color w:val="auto"/>
          <w:spacing w:val="-2"/>
          <w:kern w:val="0"/>
          <w:sz w:val="32"/>
          <w:szCs w:val="32"/>
          <w:highlight w:val="none"/>
        </w:rPr>
      </w:pPr>
      <w:r>
        <w:rPr>
          <w:rFonts w:hint="eastAsia" w:ascii="方正仿宋_GBK" w:hAnsi="方正仿宋_GBK" w:eastAsia="方正仿宋_GBK" w:cs="方正仿宋_GBK"/>
          <w:color w:val="auto"/>
          <w:spacing w:val="-2"/>
          <w:kern w:val="0"/>
          <w:sz w:val="32"/>
          <w:szCs w:val="32"/>
          <w:highlight w:val="none"/>
        </w:rPr>
        <w:t>高级辅导员一般工作8年以上，具有丰富的实践经验，较高的理论水平和学术修养，高级辅导员职业标准除涵盖中级辅导员的职业标准内容要求外，在思想政治教育工作某一领域有深入的研究并具备有影响力的成果，成为该领域的专家。</w:t>
      </w:r>
    </w:p>
    <w:tbl>
      <w:tblPr>
        <w:tblStyle w:val="2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2410"/>
        <w:gridCol w:w="2552"/>
        <w:gridCol w:w="2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b/>
                <w:color w:val="auto"/>
                <w:sz w:val="24"/>
                <w:highlight w:val="none"/>
              </w:rPr>
            </w:pPr>
            <w:r>
              <w:rPr>
                <w:rFonts w:hint="eastAsia" w:ascii="Times New Roman" w:hAnsi="Times New Roman" w:eastAsia="仿宋_GB2312"/>
                <w:b/>
                <w:color w:val="auto"/>
                <w:sz w:val="24"/>
                <w:highlight w:val="none"/>
              </w:rPr>
              <w:t>职业功能</w:t>
            </w:r>
          </w:p>
        </w:tc>
        <w:tc>
          <w:tcPr>
            <w:tcW w:w="2410" w:type="dxa"/>
            <w:noWrap w:val="0"/>
            <w:vAlign w:val="top"/>
          </w:tcPr>
          <w:p>
            <w:pPr>
              <w:spacing w:line="400" w:lineRule="exact"/>
              <w:jc w:val="center"/>
              <w:rPr>
                <w:rFonts w:ascii="Times New Roman" w:hAnsi="Times New Roman" w:eastAsia="仿宋_GB2312"/>
                <w:b/>
                <w:color w:val="auto"/>
                <w:sz w:val="24"/>
                <w:highlight w:val="none"/>
              </w:rPr>
            </w:pPr>
            <w:r>
              <w:rPr>
                <w:rFonts w:hint="eastAsia" w:ascii="Times New Roman" w:hAnsi="Times New Roman" w:eastAsia="仿宋_GB2312"/>
                <w:b/>
                <w:color w:val="auto"/>
                <w:sz w:val="24"/>
                <w:highlight w:val="none"/>
              </w:rPr>
              <w:t>工作内容</w:t>
            </w:r>
          </w:p>
        </w:tc>
        <w:tc>
          <w:tcPr>
            <w:tcW w:w="2552"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hAnsi="Times New Roman" w:eastAsia="仿宋_GB2312" w:cs="宋体"/>
                <w:b/>
                <w:color w:val="auto"/>
                <w:kern w:val="0"/>
                <w:sz w:val="24"/>
                <w:highlight w:val="none"/>
              </w:rPr>
              <w:t>能力要求</w:t>
            </w:r>
          </w:p>
        </w:tc>
        <w:tc>
          <w:tcPr>
            <w:tcW w:w="2318" w:type="dxa"/>
            <w:noWrap w:val="0"/>
            <w:vAlign w:val="top"/>
          </w:tcPr>
          <w:p>
            <w:pPr>
              <w:spacing w:line="400" w:lineRule="exact"/>
              <w:jc w:val="center"/>
              <w:rPr>
                <w:rFonts w:ascii="Times New Roman" w:hAnsi="Times New Roman" w:eastAsia="仿宋_GB2312" w:cs="宋体"/>
                <w:b/>
                <w:color w:val="auto"/>
                <w:kern w:val="0"/>
                <w:sz w:val="24"/>
                <w:highlight w:val="none"/>
              </w:rPr>
            </w:pPr>
            <w:r>
              <w:rPr>
                <w:rFonts w:hint="eastAsia" w:ascii="Times New Roman" w:hAnsi="Times New Roman" w:eastAsia="仿宋_GB2312" w:cs="宋体"/>
                <w:b/>
                <w:color w:val="auto"/>
                <w:kern w:val="0"/>
                <w:sz w:val="22"/>
                <w:highlight w:val="none"/>
              </w:rPr>
              <w:t>相关理论和知识要求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思想政治教育</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主动思考研究，掌握思想政治教育的重点和一般规律，提高学生思想政治教育针对性和实效性</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开展工作调查研究，调整工作思路和方法</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研究把握思想政治教育规律性、前沿性问题，成为思想政治教育专家</w:t>
            </w:r>
            <w:r>
              <w:rPr>
                <w:rFonts w:ascii="Times New Roman" w:hAnsi="Times New Roman" w:eastAsia="仿宋_GB2312"/>
                <w:color w:val="auto"/>
                <w:sz w:val="24"/>
                <w:highlight w:val="none"/>
              </w:rPr>
              <w:t>*</w:t>
            </w:r>
            <w:r>
              <w:rPr>
                <w:rStyle w:val="26"/>
                <w:rFonts w:ascii="Times New Roman" w:hAnsi="Times New Roman" w:eastAsia="仿宋_GB2312"/>
                <w:color w:val="auto"/>
                <w:sz w:val="24"/>
                <w:highlight w:val="none"/>
              </w:rPr>
              <w:footnoteReference w:id="0"/>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能根据党的教育方针和高等教育发展要求，结合学生的阶段特征，按照学校育人工作的总体要求，有计划、有目的地系统实施学生思想政治教育</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能开展思想政治教育工作理论与方法的调查和研究，分析工作对象和条件的变化，及时调整工作思路和方法</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对马克思主义理论和思想政治教育有深入的研究，具有相关专业的学位或具有长期的丰富工作经验</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能运用现代科学技术，并借鉴其他交叉学科的优势，实施思想政治教育工作</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在具有影响力的学术期刊以第一作者身份发表5篇以上思想政治教育学术论文</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能够熟练利用理论指导辅导员工作的开展</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能讲授思想政治教育公共选修课</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思想政治教育学理论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思想政治教育方法论</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开展科学调查研究的方法</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马克思主义理论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中国特色社会主义理论体系内涵及宣传教育的方法</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社会主义核心价值体系内涵及宣传教育方法</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思想政治道德观相关理论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思想政治教育学史</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比较思想政治教育</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现代科学技术在思想政治教育中的应用方法</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党团建设</w:t>
            </w:r>
          </w:p>
        </w:tc>
        <w:tc>
          <w:tcPr>
            <w:tcW w:w="2410"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深入研究高校党建的规律性前沿性问题，成为党建专家</w:t>
            </w:r>
            <w:r>
              <w:rPr>
                <w:rFonts w:ascii="Times New Roman" w:hAnsi="Times New Roman" w:eastAsia="仿宋_GB2312"/>
                <w:color w:val="auto"/>
                <w:sz w:val="24"/>
                <w:highlight w:val="none"/>
              </w:rPr>
              <w:t>*</w:t>
            </w:r>
          </w:p>
        </w:tc>
        <w:tc>
          <w:tcPr>
            <w:tcW w:w="2552" w:type="dxa"/>
            <w:noWrap w:val="0"/>
            <w:vAlign w:val="center"/>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对马克思主义理论、中华人民共和国史、中国共产党史、中国特色社会主义理论、党建创新理论有深入的研究</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在具有影响力的学术期刊以第一作者身份发表</w:t>
            </w:r>
            <w:r>
              <w:rPr>
                <w:rFonts w:ascii="Times New Roman" w:hAnsi="Times New Roman" w:eastAsia="仿宋_GB2312"/>
                <w:color w:val="auto"/>
                <w:sz w:val="24"/>
                <w:highlight w:val="none"/>
              </w:rPr>
              <w:t>5</w:t>
            </w:r>
            <w:r>
              <w:rPr>
                <w:rFonts w:hint="eastAsia" w:ascii="Times New Roman" w:hAnsi="Times New Roman" w:eastAsia="仿宋_GB2312"/>
                <w:color w:val="auto"/>
                <w:sz w:val="24"/>
                <w:highlight w:val="none"/>
              </w:rPr>
              <w:t>篇以上党建工作学术论文</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能够熟练利用理论指导初级、中级辅导员开展党建工作</w:t>
            </w:r>
          </w:p>
        </w:tc>
        <w:tc>
          <w:tcPr>
            <w:tcW w:w="2318"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马克思主义理论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中华人民共和国史</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中国共产党史</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中国特色社会主义理论体系内涵及宣传教育的方法</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社会主义核心价值体系内涵及宣传教育方法</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党建学相关理论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政治学相关理论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学业指导</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组织学生参与专业课教师的实验或研究项目，培养学生学术爱好和研究能力</w:t>
            </w: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深入研究学生学习能力、创新能力形成规律，培养学生创新思维和创造性人格</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研究完善学生综合评价体系，研究健全创新人才培养机制</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能深入了解学生所在专业知识，为学生提供有针对性的专业学习建议</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能应用心理学、教育学相关原理和知识指导学生学习研究</w:t>
            </w:r>
          </w:p>
          <w:p>
            <w:pPr>
              <w:spacing w:line="400" w:lineRule="exact"/>
              <w:rPr>
                <w:rFonts w:ascii="Times New Roman" w:hAnsi="Times New Roman" w:eastAsia="仿宋_GB2312"/>
                <w:color w:val="auto"/>
                <w:sz w:val="24"/>
                <w:highlight w:val="none"/>
              </w:rPr>
            </w:pPr>
          </w:p>
          <w:p>
            <w:pPr>
              <w:spacing w:line="400" w:lineRule="exact"/>
              <w:rPr>
                <w:rFonts w:ascii="Times New Roman" w:hAnsi="Times New Roman" w:eastAsia="仿宋_GB2312"/>
                <w:color w:val="auto"/>
                <w:sz w:val="24"/>
                <w:highlight w:val="none"/>
              </w:rPr>
            </w:pP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能因材施教，培养研究型、创新型人才</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能够指导和组织初级、中级辅导员开展学业指导工作</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心理学相关知识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教育学相关知识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学生所在专业相关知识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日常事务管理</w:t>
            </w:r>
          </w:p>
        </w:tc>
        <w:tc>
          <w:tcPr>
            <w:tcW w:w="2410"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积极创新学生事务管理的理念和方法，总结凝练工作经验，深入研究把握学生事务管理的规律，成为学生事务管理专家</w:t>
            </w:r>
            <w:r>
              <w:rPr>
                <w:rFonts w:ascii="Times New Roman" w:hAnsi="Times New Roman" w:eastAsia="仿宋_GB2312" w:cs="宋体"/>
                <w:color w:val="auto"/>
                <w:kern w:val="0"/>
                <w:sz w:val="24"/>
                <w:highlight w:val="none"/>
              </w:rPr>
              <w:t>*</w:t>
            </w:r>
          </w:p>
        </w:tc>
        <w:tc>
          <w:tcPr>
            <w:tcW w:w="2552"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具有长期丰富的事务管理工作经验</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能合理运用教育学、管理学、法学相关知识，对学生事务管理工作进行服务育人体系化设计</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能够熟练利用理论指导辅导员开展学生事务管理工作</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在具有影响力的学术期刊以第一作者身份发表</w:t>
            </w:r>
            <w:r>
              <w:rPr>
                <w:rFonts w:ascii="Times New Roman" w:hAnsi="Times New Roman" w:eastAsia="仿宋_GB2312" w:cs="宋体"/>
                <w:color w:val="auto"/>
                <w:kern w:val="0"/>
                <w:sz w:val="24"/>
                <w:highlight w:val="none"/>
              </w:rPr>
              <w:t>5</w:t>
            </w:r>
            <w:r>
              <w:rPr>
                <w:rFonts w:hint="eastAsia" w:ascii="Times New Roman" w:hAnsi="Times New Roman" w:eastAsia="仿宋_GB2312" w:cs="宋体"/>
                <w:color w:val="auto"/>
                <w:kern w:val="0"/>
                <w:sz w:val="24"/>
                <w:highlight w:val="none"/>
              </w:rPr>
              <w:t>篇以上学生事务管理学术论文</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教育学相关知识</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管理学相关知识</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法学相关知识</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学生事务管理相关规定和程序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心理健康教育与咨询</w:t>
            </w:r>
          </w:p>
        </w:tc>
        <w:tc>
          <w:tcPr>
            <w:tcW w:w="2410"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总结凝练实践工作经验，深入研究把握心理健康教育的规律，成为心理健康教育专家</w:t>
            </w:r>
            <w:r>
              <w:rPr>
                <w:rFonts w:ascii="Times New Roman" w:hAnsi="Times New Roman" w:eastAsia="仿宋_GB2312"/>
                <w:color w:val="auto"/>
                <w:sz w:val="24"/>
                <w:highlight w:val="none"/>
              </w:rPr>
              <w:t>*</w:t>
            </w:r>
          </w:p>
        </w:tc>
        <w:tc>
          <w:tcPr>
            <w:tcW w:w="2552" w:type="dxa"/>
            <w:noWrap w:val="0"/>
            <w:vAlign w:val="center"/>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具备二级心理咨询师资质</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能进行危机评估、实施干预、妥善预后及跟踪回访</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能够为学生提供心理咨询服务</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在具有影响力的学术期刊以第一作者身份发表5篇以上心理健康教育相关领域学术论文</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能够熟练利用理论和实际经验指导辅导员开展心理健康教育工作</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能够为高校辅导员提供有效的心理健康教育培训</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能讲授心理健康教育公共选修课</w:t>
            </w:r>
          </w:p>
        </w:tc>
        <w:tc>
          <w:tcPr>
            <w:tcW w:w="2318"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心理学相关理论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应用心理学相关理论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思想政治教育心理学相关理论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网络思想政治教育</w:t>
            </w:r>
          </w:p>
        </w:tc>
        <w:tc>
          <w:tcPr>
            <w:tcW w:w="2410"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熟练应用现代信息技术，结合丰富的网络思想政治教育工作经验，深入研究把握网络传播的规律、研判网上学生思想动态，成为网络思想政治教育专家*</w:t>
            </w:r>
          </w:p>
        </w:tc>
        <w:tc>
          <w:tcPr>
            <w:tcW w:w="2552"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能结合工作经验、运用科学的研究方法对网络思想政治教育开展深入的研究</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能在具有影响力的学术期刊以第一作者身份发表5篇以上网络思想政治教育学术论文</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能够熟练运用理论指导辅导员开展网络思想政治教育工作</w:t>
            </w:r>
          </w:p>
        </w:tc>
        <w:tc>
          <w:tcPr>
            <w:tcW w:w="2318" w:type="dxa"/>
            <w:noWrap w:val="0"/>
            <w:vAlign w:val="top"/>
          </w:tcPr>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马克思主义理论</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中国特色社会主义理论体系内涵及宣传教育的方法</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社会主义核心价值体系内涵及宣传教育方法</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网络思想政治教育原理与方法</w:t>
            </w:r>
          </w:p>
          <w:p>
            <w:pPr>
              <w:spacing w:line="400" w:lineRule="exact"/>
              <w:jc w:val="lef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现代科学技术在思想政治教育中的应用方法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危机事件应对</w:t>
            </w:r>
          </w:p>
        </w:tc>
        <w:tc>
          <w:tcPr>
            <w:tcW w:w="2410" w:type="dxa"/>
            <w:noWrap w:val="0"/>
            <w:vAlign w:val="top"/>
          </w:tcPr>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一</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对危机事件进行分类分级，并做出预判</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二</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协调相关部门妥善处理危机事件，稳定工作局面</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三</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总结经验，对工作进行改进，完善预警和应对机制</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四</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总结凝练实践工作经验，深入研究把握危机事件应对的规律，成为校园公共危机管理专家</w:t>
            </w:r>
            <w:r>
              <w:rPr>
                <w:rFonts w:ascii="Times New Roman" w:hAnsi="Times New Roman" w:eastAsia="仿宋_GB2312"/>
                <w:color w:val="auto"/>
                <w:sz w:val="24"/>
                <w:highlight w:val="none"/>
              </w:rPr>
              <w:t>*</w:t>
            </w:r>
          </w:p>
        </w:tc>
        <w:tc>
          <w:tcPr>
            <w:tcW w:w="2552"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能根据掌握的信息对危机事件进行分类分级；能准确分析事态起因，牢牢把握发展趋势</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能摸清事态的症结，协调校内外相关部门制定对策并迅速妥善处理，恢复正常</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能掌握整个事件的过程，深层次研究事件原因，改进工作，提出对策</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在具有影响力的学术期刊以第一作者身份发表</w:t>
            </w:r>
            <w:r>
              <w:rPr>
                <w:rFonts w:ascii="Times New Roman" w:hAnsi="Times New Roman" w:eastAsia="仿宋_GB2312"/>
                <w:color w:val="auto"/>
                <w:sz w:val="24"/>
                <w:highlight w:val="none"/>
              </w:rPr>
              <w:t>5</w:t>
            </w:r>
            <w:r>
              <w:rPr>
                <w:rFonts w:hint="eastAsia" w:ascii="Times New Roman" w:hAnsi="Times New Roman" w:eastAsia="仿宋_GB2312"/>
                <w:color w:val="auto"/>
                <w:sz w:val="24"/>
                <w:highlight w:val="none"/>
              </w:rPr>
              <w:t>篇以上公共危机处理相关领域学术论文；能熟练利用相关理论指导辅导员进行公共危机处理</w:t>
            </w:r>
          </w:p>
        </w:tc>
        <w:tc>
          <w:tcPr>
            <w:tcW w:w="2318" w:type="dxa"/>
            <w:noWrap w:val="0"/>
            <w:vAlign w:val="top"/>
          </w:tcPr>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危机事件应对与管控的相关知识</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公共危机管理相关理论</w:t>
            </w:r>
          </w:p>
          <w:p>
            <w:pPr>
              <w:spacing w:line="400" w:lineRule="exact"/>
              <w:jc w:val="left"/>
              <w:rPr>
                <w:rFonts w:ascii="Times New Roman" w:hAnsi="Times New Roman" w:eastAsia="仿宋_GB2312"/>
                <w:color w:val="auto"/>
                <w:sz w:val="24"/>
                <w:highlight w:val="none"/>
              </w:rPr>
            </w:pP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管理学相关理论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社会学相关理论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心理学相关理论</w:t>
            </w:r>
          </w:p>
          <w:p>
            <w:pPr>
              <w:spacing w:line="400" w:lineRule="exact"/>
              <w:jc w:val="lef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伦理学相关理论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职业规划与就业指导</w:t>
            </w:r>
          </w:p>
        </w:tc>
        <w:tc>
          <w:tcPr>
            <w:tcW w:w="2410" w:type="dxa"/>
            <w:noWrap w:val="0"/>
            <w:vAlign w:val="top"/>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总结凝练实际工作经验，深入研究把握职业生涯规划与就业指导工作的规律，能为学生开展基本的创业指导，成为职业规划与就业指导专家</w:t>
            </w:r>
            <w:r>
              <w:rPr>
                <w:rFonts w:ascii="Times New Roman" w:hAnsi="Times New Roman" w:eastAsia="仿宋_GB2312"/>
                <w:color w:val="auto"/>
                <w:sz w:val="24"/>
                <w:highlight w:val="none"/>
              </w:rPr>
              <w:t>*</w:t>
            </w:r>
          </w:p>
        </w:tc>
        <w:tc>
          <w:tcPr>
            <w:tcW w:w="2552" w:type="dxa"/>
            <w:noWrap w:val="0"/>
            <w:vAlign w:val="center"/>
          </w:tcPr>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具备职业指导师资质</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能为大学生开展团体职业咨询</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能撰写职业指导典型案例，开展职业指导应用性研究，并将研究结果应用到实际工作中</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能进行较为客观全面的创业环境、政策、行业前景分析</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w:t>
            </w:r>
            <w:r>
              <w:rPr>
                <w:rFonts w:ascii="Times New Roman" w:hAnsi="Times New Roman" w:eastAsia="仿宋_GB2312"/>
                <w:color w:val="auto"/>
                <w:sz w:val="24"/>
                <w:highlight w:val="none"/>
              </w:rPr>
              <w:t>建立健全</w:t>
            </w:r>
            <w:r>
              <w:rPr>
                <w:rFonts w:hint="eastAsia" w:ascii="Times New Roman" w:hAnsi="Times New Roman" w:eastAsia="仿宋_GB2312"/>
                <w:color w:val="auto"/>
                <w:sz w:val="24"/>
                <w:highlight w:val="none"/>
              </w:rPr>
              <w:t>大学生</w:t>
            </w:r>
            <w:r>
              <w:rPr>
                <w:rFonts w:ascii="Times New Roman" w:hAnsi="Times New Roman" w:eastAsia="仿宋_GB2312"/>
                <w:color w:val="auto"/>
                <w:sz w:val="24"/>
                <w:highlight w:val="none"/>
              </w:rPr>
              <w:t>就业指导机构和就业信息服务系统，提供</w:t>
            </w:r>
            <w:r>
              <w:rPr>
                <w:rFonts w:hint="eastAsia" w:ascii="Times New Roman" w:hAnsi="Times New Roman" w:eastAsia="仿宋_GB2312"/>
                <w:color w:val="auto"/>
                <w:sz w:val="24"/>
                <w:highlight w:val="none"/>
              </w:rPr>
              <w:t>更</w:t>
            </w:r>
            <w:r>
              <w:rPr>
                <w:rFonts w:ascii="Times New Roman" w:hAnsi="Times New Roman" w:eastAsia="仿宋_GB2312"/>
                <w:color w:val="auto"/>
                <w:sz w:val="24"/>
                <w:highlight w:val="none"/>
              </w:rPr>
              <w:t>高效优质的就业创业服务</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在具有影响力的学术期刊以第一作者身份发表5篇以上职业规划与就业指导相关领域学术论文</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能够熟练利用理论指导辅导员开展职业规划与就业指导工作</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能讲授职业规划与就业指导公共选修课</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职业生涯规划</w:t>
            </w:r>
            <w:r>
              <w:rPr>
                <w:rFonts w:hint="eastAsia" w:ascii="Times New Roman" w:hAnsi="Times New Roman" w:eastAsia="仿宋_GB2312"/>
                <w:color w:val="auto"/>
                <w:sz w:val="24"/>
                <w:highlight w:val="none"/>
              </w:rPr>
              <w:t>相关理论</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人力资源管理相关理论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职业咨询相关理论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职业素质测评相关理论</w:t>
            </w: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国家鼓励创业基本政策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pPr>
              <w:spacing w:line="400" w:lineRule="exact"/>
              <w:jc w:val="center"/>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理论与实践研究</w:t>
            </w:r>
          </w:p>
        </w:tc>
        <w:tc>
          <w:tcPr>
            <w:tcW w:w="2410"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（一）参加国际交流、考察和进修深造</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olor w:val="auto"/>
                <w:sz w:val="24"/>
                <w:highlight w:val="none"/>
              </w:rPr>
            </w:pPr>
            <w:r>
              <w:rPr>
                <w:rFonts w:hint="eastAsia" w:ascii="Times New Roman" w:hAnsi="Times New Roman" w:eastAsia="仿宋_GB2312" w:cs="宋体"/>
                <w:color w:val="auto"/>
                <w:kern w:val="0"/>
                <w:sz w:val="24"/>
                <w:highlight w:val="none"/>
              </w:rPr>
              <w:t>（二）主持省部级以上思想政治教育课题或项目研究；形成具有影响力和推广价值的研究成果</w:t>
            </w:r>
          </w:p>
        </w:tc>
        <w:tc>
          <w:tcPr>
            <w:tcW w:w="2552" w:type="dxa"/>
            <w:noWrap w:val="0"/>
            <w:vAlign w:val="center"/>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能深入把握国内外学生事务工作前沿进展</w:t>
            </w:r>
          </w:p>
          <w:p>
            <w:pPr>
              <w:spacing w:line="400" w:lineRule="exact"/>
              <w:rPr>
                <w:rFonts w:ascii="Times New Roman" w:hAnsi="Times New Roman" w:eastAsia="仿宋_GB2312" w:cs="宋体"/>
                <w:color w:val="auto"/>
                <w:kern w:val="0"/>
                <w:sz w:val="24"/>
                <w:highlight w:val="none"/>
              </w:rPr>
            </w:pP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以第一作者身份在相关领域核心期刊发表10篇以上学术论文；能推动研究成果的转化应用；对中级辅导员的研究进行指导</w:t>
            </w:r>
          </w:p>
        </w:tc>
        <w:tc>
          <w:tcPr>
            <w:tcW w:w="2318" w:type="dxa"/>
            <w:noWrap w:val="0"/>
            <w:vAlign w:val="top"/>
          </w:tcPr>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教育研究方法</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社会学研究方法</w:t>
            </w:r>
          </w:p>
          <w:p>
            <w:pPr>
              <w:spacing w:line="400" w:lineRule="exact"/>
              <w:rPr>
                <w:rFonts w:ascii="Times New Roman" w:hAnsi="Times New Roman" w:eastAsia="仿宋_GB2312" w:cs="宋体"/>
                <w:color w:val="auto"/>
                <w:kern w:val="0"/>
                <w:sz w:val="24"/>
                <w:highlight w:val="none"/>
              </w:rPr>
            </w:pPr>
            <w:r>
              <w:rPr>
                <w:rFonts w:hint="eastAsia" w:ascii="Times New Roman" w:hAnsi="Times New Roman" w:eastAsia="仿宋_GB2312" w:cs="宋体"/>
                <w:color w:val="auto"/>
                <w:kern w:val="0"/>
                <w:sz w:val="24"/>
                <w:highlight w:val="none"/>
              </w:rPr>
              <w:t>管理学相关知识</w:t>
            </w:r>
          </w:p>
        </w:tc>
      </w:tr>
    </w:tbl>
    <w:p>
      <w:pPr>
        <w:pStyle w:val="2"/>
        <w:spacing w:before="156"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156" w:line="560" w:lineRule="exact"/>
        <w:ind w:firstLine="0" w:firstLineChars="0"/>
        <w:rPr>
          <w:rFonts w:ascii="方正小标宋_GBK" w:hAnsi="方正小标宋_GBK" w:eastAsia="方正小标宋_GBK" w:cs="方正小标宋_GBK"/>
          <w:color w:val="auto"/>
          <w:szCs w:val="36"/>
          <w:highlight w:val="none"/>
        </w:rPr>
      </w:pPr>
      <w:bookmarkStart w:id="375" w:name="_Toc30377"/>
      <w:r>
        <w:rPr>
          <w:rFonts w:hint="eastAsia" w:ascii="方正小标宋_GBK" w:hAnsi="方正小标宋_GBK" w:eastAsia="方正小标宋_GBK" w:cs="方正小标宋_GBK"/>
          <w:color w:val="auto"/>
          <w:szCs w:val="36"/>
          <w:highlight w:val="none"/>
        </w:rPr>
        <w:t>普通高等学校辅导员队伍建设规定</w:t>
      </w:r>
      <w:bookmarkEnd w:id="375"/>
    </w:p>
    <w:p>
      <w:pPr>
        <w:pStyle w:val="2"/>
        <w:spacing w:before="156" w:line="560" w:lineRule="exact"/>
        <w:ind w:firstLine="0" w:firstLineChars="0"/>
        <w:rPr>
          <w:rFonts w:ascii="方正楷体_GBK" w:hAnsi="方正楷体_GBK" w:eastAsia="方正楷体_GBK" w:cs="方正楷体_GBK"/>
          <w:color w:val="auto"/>
          <w:sz w:val="32"/>
          <w:szCs w:val="32"/>
          <w:highlight w:val="none"/>
        </w:rPr>
      </w:pPr>
      <w:bookmarkStart w:id="376" w:name="_Toc26965"/>
      <w:bookmarkStart w:id="377" w:name="_Toc13679"/>
      <w:bookmarkStart w:id="378" w:name="_Toc31786"/>
      <w:bookmarkStart w:id="379" w:name="_Toc5682"/>
      <w:bookmarkStart w:id="380" w:name="_Toc10086"/>
      <w:r>
        <w:rPr>
          <w:rFonts w:hint="eastAsia" w:ascii="方正楷体_GBK" w:hAnsi="方正楷体_GBK" w:eastAsia="方正楷体_GBK" w:cs="方正楷体_GBK"/>
          <w:color w:val="auto"/>
          <w:sz w:val="32"/>
          <w:szCs w:val="32"/>
          <w:highlight w:val="none"/>
          <w:shd w:val="clear" w:color="auto" w:fill="FFFFFF"/>
        </w:rPr>
        <w:t>（中华人民共和国教育部令第43号）</w:t>
      </w:r>
      <w:bookmarkEnd w:id="376"/>
      <w:bookmarkEnd w:id="377"/>
      <w:bookmarkEnd w:id="378"/>
      <w:bookmarkEnd w:id="379"/>
      <w:bookmarkEnd w:id="380"/>
    </w:p>
    <w:p>
      <w:pPr>
        <w:pStyle w:val="21"/>
        <w:widowControl/>
        <w:shd w:val="clear" w:color="auto" w:fill="FFFFFF"/>
        <w:spacing w:beforeAutospacing="0" w:afterAutospacing="0" w:line="560" w:lineRule="exact"/>
        <w:ind w:firstLine="640"/>
        <w:jc w:val="both"/>
        <w:rPr>
          <w:rFonts w:ascii="方正仿宋_GB2312" w:hAnsi="方正仿宋_GB2312" w:eastAsia="方正仿宋_GB2312" w:cs="方正仿宋_GB2312"/>
          <w:color w:val="auto"/>
          <w:sz w:val="32"/>
          <w:szCs w:val="32"/>
          <w:highlight w:val="none"/>
          <w:shd w:val="clear" w:color="auto" w:fill="FFFFFF"/>
        </w:rPr>
      </w:pPr>
    </w:p>
    <w:p>
      <w:pPr>
        <w:pStyle w:val="21"/>
        <w:widowControl/>
        <w:shd w:val="clear" w:color="auto" w:fill="FFFFFF"/>
        <w:spacing w:beforeAutospacing="0" w:afterAutospacing="0" w:line="560" w:lineRule="exact"/>
        <w:ind w:firstLine="632"/>
        <w:rPr>
          <w:rFonts w:hint="eastAsia" w:ascii="方正仿宋_GBK" w:hAnsi="方正仿宋_GBK" w:eastAsia="方正仿宋_GBK" w:cs="方正仿宋_GBK"/>
          <w:color w:val="auto"/>
          <w:spacing w:val="-2"/>
          <w:sz w:val="32"/>
          <w:szCs w:val="32"/>
          <w:highlight w:val="none"/>
        </w:rPr>
      </w:pPr>
      <w:r>
        <w:rPr>
          <w:rFonts w:hint="eastAsia" w:ascii="方正仿宋_GBK" w:hAnsi="方正仿宋_GBK" w:eastAsia="方正仿宋_GBK" w:cs="方正仿宋_GBK"/>
          <w:color w:val="auto"/>
          <w:spacing w:val="-2"/>
          <w:sz w:val="32"/>
          <w:szCs w:val="32"/>
          <w:highlight w:val="none"/>
        </w:rPr>
        <w:t>《普通高等学校辅导员队伍建设规定》已于2017年8月31日经教育部2017年第32次部长办公会议修订通过。现将修订后的 《普通高等学校辅导员队伍建设规定》公布，自2017年10月1 日起施行。</w:t>
      </w:r>
    </w:p>
    <w:p>
      <w:pPr>
        <w:pStyle w:val="21"/>
        <w:widowControl/>
        <w:shd w:val="clear" w:color="auto" w:fill="FFFFFF"/>
        <w:spacing w:beforeAutospacing="0" w:afterAutospacing="0" w:line="560" w:lineRule="exact"/>
        <w:ind w:firstLine="632"/>
        <w:jc w:val="right"/>
        <w:rPr>
          <w:rFonts w:hint="eastAsia" w:ascii="方正仿宋_GBK" w:hAnsi="方正仿宋_GBK" w:eastAsia="方正仿宋_GBK" w:cs="方正仿宋_GBK"/>
          <w:color w:val="auto"/>
          <w:spacing w:val="-2"/>
          <w:sz w:val="32"/>
          <w:szCs w:val="32"/>
          <w:highlight w:val="none"/>
        </w:rPr>
      </w:pPr>
      <w:r>
        <w:rPr>
          <w:rFonts w:hint="eastAsia" w:ascii="方正仿宋_GBK" w:hAnsi="方正仿宋_GBK" w:eastAsia="方正仿宋_GBK" w:cs="方正仿宋_GBK"/>
          <w:color w:val="auto"/>
          <w:spacing w:val="-2"/>
          <w:sz w:val="32"/>
          <w:szCs w:val="32"/>
          <w:highlight w:val="none"/>
        </w:rPr>
        <w:t>　　教育部部长 陈宝生</w:t>
      </w:r>
    </w:p>
    <w:p>
      <w:pPr>
        <w:pStyle w:val="21"/>
        <w:widowControl/>
        <w:shd w:val="clear" w:color="auto" w:fill="FFFFFF"/>
        <w:spacing w:beforeAutospacing="0" w:afterAutospacing="0" w:line="560" w:lineRule="exact"/>
        <w:ind w:firstLine="632"/>
        <w:jc w:val="right"/>
        <w:rPr>
          <w:rFonts w:hint="eastAsia" w:ascii="方正仿宋_GBK" w:hAnsi="方正仿宋_GBK" w:eastAsia="方正仿宋_GBK" w:cs="方正仿宋_GBK"/>
          <w:color w:val="auto"/>
          <w:spacing w:val="-2"/>
          <w:sz w:val="32"/>
          <w:szCs w:val="32"/>
          <w:highlight w:val="none"/>
        </w:rPr>
      </w:pPr>
      <w:r>
        <w:rPr>
          <w:rFonts w:hint="eastAsia" w:ascii="方正仿宋_GBK" w:hAnsi="方正仿宋_GBK" w:eastAsia="方正仿宋_GBK" w:cs="方正仿宋_GBK"/>
          <w:color w:val="auto"/>
          <w:spacing w:val="-2"/>
          <w:sz w:val="32"/>
          <w:szCs w:val="32"/>
          <w:highlight w:val="none"/>
        </w:rPr>
        <w:t>　　2017年9月21日</w:t>
      </w:r>
    </w:p>
    <w:p>
      <w:pPr>
        <w:spacing w:line="560" w:lineRule="exact"/>
        <w:rPr>
          <w:rFonts w:ascii="方正黑体_GBK" w:hAnsi="方正黑体_GBK" w:eastAsia="方正黑体_GBK" w:cs="方正黑体_GBK"/>
          <w:bCs/>
          <w:color w:val="auto"/>
          <w:sz w:val="32"/>
          <w:szCs w:val="32"/>
          <w:highlight w:val="none"/>
        </w:rPr>
      </w:pPr>
    </w:p>
    <w:p>
      <w:pPr>
        <w:pStyle w:val="2"/>
        <w:spacing w:before="156" w:line="560" w:lineRule="exact"/>
        <w:ind w:firstLine="0" w:firstLineChars="0"/>
        <w:rPr>
          <w:rFonts w:ascii="方正黑体_GBK" w:hAnsi="方正黑体_GBK" w:cs="方正黑体_GBK"/>
          <w:color w:val="auto"/>
          <w:sz w:val="32"/>
          <w:szCs w:val="32"/>
          <w:highlight w:val="none"/>
        </w:rPr>
      </w:pPr>
      <w:bookmarkStart w:id="381" w:name="_Toc17080"/>
      <w:bookmarkStart w:id="382" w:name="_Toc23320"/>
      <w:bookmarkStart w:id="383" w:name="_Toc7700"/>
      <w:bookmarkStart w:id="384" w:name="_Toc31465"/>
      <w:bookmarkStart w:id="385" w:name="_Toc15398663"/>
      <w:bookmarkStart w:id="386" w:name="_Toc9305"/>
      <w:bookmarkStart w:id="387" w:name="_Toc15251"/>
      <w:r>
        <w:rPr>
          <w:rFonts w:hint="eastAsia" w:ascii="方正黑体_GBK" w:hAnsi="方正黑体_GBK" w:cs="方正黑体_GBK"/>
          <w:color w:val="auto"/>
          <w:sz w:val="32"/>
          <w:szCs w:val="32"/>
          <w:highlight w:val="none"/>
        </w:rPr>
        <w:t>第一章 总则</w:t>
      </w:r>
      <w:bookmarkEnd w:id="381"/>
      <w:bookmarkEnd w:id="382"/>
      <w:bookmarkEnd w:id="383"/>
      <w:bookmarkEnd w:id="384"/>
      <w:bookmarkEnd w:id="385"/>
      <w:bookmarkEnd w:id="386"/>
      <w:bookmarkEnd w:id="387"/>
    </w:p>
    <w:p>
      <w:pPr>
        <w:spacing w:line="560" w:lineRule="exact"/>
        <w:rPr>
          <w:color w:val="auto"/>
          <w:sz w:val="32"/>
          <w:szCs w:val="32"/>
          <w:highlight w:val="none"/>
        </w:rPr>
      </w:pPr>
    </w:p>
    <w:p>
      <w:pPr>
        <w:pStyle w:val="21"/>
        <w:widowControl/>
        <w:shd w:val="clear" w:color="auto" w:fill="FFFFFF"/>
        <w:spacing w:beforeAutospacing="0" w:afterAutospacing="0" w:line="560" w:lineRule="exact"/>
        <w:ind w:firstLine="632"/>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第一条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为深入贯彻落实全国高校思想政治工作会议精神和《中共中央</w:t>
      </w:r>
      <w:r>
        <w:rPr>
          <w:rFonts w:hint="eastAsia" w:ascii="方正仿宋_GBK" w:hAnsi="方正仿宋_GBK" w:eastAsia="方正仿宋_GBK" w:cs="方正仿宋_GBK"/>
          <w:color w:val="auto"/>
          <w:spacing w:val="-2"/>
          <w:sz w:val="32"/>
          <w:szCs w:val="32"/>
          <w:highlight w:val="none"/>
        </w:rPr>
        <w:t>国务院</w:t>
      </w:r>
      <w:r>
        <w:rPr>
          <w:rFonts w:hint="eastAsia" w:ascii="方正仿宋_GBK" w:eastAsia="方正仿宋_GBK"/>
          <w:bCs/>
          <w:color w:val="auto"/>
          <w:sz w:val="32"/>
          <w:szCs w:val="32"/>
          <w:highlight w:val="none"/>
        </w:rPr>
        <w:t>关于加强和改进新形势下高校思想政治工作的意见》，切实加强高等学校辅导员队伍专业化职业化建设，依据《高等教育法》等有关法律法规，制定本规定。</w:t>
      </w: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第二条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辅导员是开展大学生思想政治教育的骨干力量，是高等学校学生日常思想政治教育和管理工作的组织者、实施者、指导者。辅导员应当努力成为学生成长成才的人生导师和健康生活的知心朋友。</w:t>
      </w: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第三条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高等学校要坚持把立德树人作为中心环节，把辅导员队伍建设作为教师队伍和管理队伍建设的重要内容，整体规划、统筹安排，不断提高队伍的专业水平和职业能力，保证辅导员工作有条件、干事有平台、待遇有保障、发展有空间。</w:t>
      </w:r>
    </w:p>
    <w:p>
      <w:pPr>
        <w:pStyle w:val="3"/>
        <w:spacing w:line="560" w:lineRule="exact"/>
        <w:rPr>
          <w:rFonts w:ascii="黑体" w:hAnsi="黑体" w:cs="黑体"/>
          <w:b/>
          <w:bCs w:val="0"/>
          <w:color w:val="auto"/>
          <w:highlight w:val="none"/>
        </w:rPr>
      </w:pPr>
      <w:bookmarkStart w:id="388" w:name="_Toc15398664"/>
    </w:p>
    <w:p>
      <w:pPr>
        <w:pStyle w:val="3"/>
        <w:spacing w:line="560" w:lineRule="exact"/>
        <w:rPr>
          <w:rFonts w:ascii="方正黑体_GBK" w:hAnsi="方正黑体_GBK" w:eastAsia="方正黑体_GBK" w:cs="方正黑体_GBK"/>
          <w:b/>
          <w:bCs w:val="0"/>
          <w:color w:val="auto"/>
          <w:highlight w:val="none"/>
        </w:rPr>
      </w:pPr>
      <w:bookmarkStart w:id="389" w:name="_Toc31882"/>
      <w:r>
        <w:rPr>
          <w:rFonts w:hint="eastAsia" w:ascii="方正黑体_GBK" w:hAnsi="方正黑体_GBK" w:eastAsia="方正黑体_GBK" w:cs="方正黑体_GBK"/>
          <w:b/>
          <w:bCs w:val="0"/>
          <w:color w:val="auto"/>
          <w:highlight w:val="none"/>
        </w:rPr>
        <w:t>第二章 要求与职责</w:t>
      </w:r>
      <w:bookmarkEnd w:id="388"/>
      <w:bookmarkEnd w:id="389"/>
    </w:p>
    <w:p>
      <w:pPr>
        <w:spacing w:line="560" w:lineRule="exact"/>
        <w:rPr>
          <w:color w:val="auto"/>
          <w:highlight w:val="none"/>
        </w:rPr>
      </w:pP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第四条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eastAsia="方正仿宋_GBK"/>
          <w:bCs/>
          <w:color w:val="auto"/>
          <w:sz w:val="32"/>
          <w:szCs w:val="32"/>
          <w:highlight w:val="none"/>
        </w:rPr>
        <w:t>辅导员工作的要求是：恪守爱国守法、敬业爱生、育人为本、终身学习、为人师表的职业守则；围绕学生、关照学生、服务学生，把握学生成长规律，不断提高学生思想水平、政治觉悟、道德品质、文化素养；引导学生正确认识世界和中国发展大势、正确认识中国特色和国际比较、正确认识时代责任和历史使命、正确认识远大抱负和脚踏实地，成为又红又专、德才兼备、全面发展的中国特色社会主义合格建设者和可靠接班人。</w:t>
      </w: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第五条</w:t>
      </w:r>
      <w:r>
        <w:rPr>
          <w:rFonts w:hint="eastAsia" w:ascii="方正仿宋_GBK" w:eastAsia="方正仿宋_GBK"/>
          <w:bCs/>
          <w:color w:val="auto"/>
          <w:sz w:val="32"/>
          <w:szCs w:val="32"/>
          <w:highlight w:val="none"/>
        </w:rPr>
        <w:t xml:space="preserve">  辅导员的主要工作职责是：</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一）思想理论教育和价值引领。引导学生深入学习习近平总书记系列重要讲话精神和治国理政新理念新思想新战略，深入开展中国特色社会主义、中国梦宣传教育和社会主义核心价值观教育，帮助学生不断坚定中国特色社会主义道路自信、理论自信、制度自信、文化自信，牢固树立正确的世界观、人生观、价值观。掌握学生思想行为特点及思想政治状况，有针对性地帮助学生处理好思想认识、价值取向、学习生活、择业交友等方面的具体问题。</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（二）党团和班级建设。开展学生骨干的遴选、培养、激励工作，开展学生入党积极分子培养教育工作，开展学生党员发展和教育管理服务工作，指导学生党支部和班团组织建设。</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（三）学风建设。熟悉了解学生所学专业的基本情况，激发学生学习兴趣，引导学生养成良好的学习习惯，掌握正确的学习方法。指导学生开展课外科技学术实践活动，营造浓厚学习氛围。</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四）学生日常事务管理。开展入学教育、毕业生教育及相关管理和服务工作。组织开展学生军事训练。组织评选各类奖学金、助学金。指导学生办理助学贷款。组织学生开展勤工俭学活动，做好学生困难帮扶。为学生提供生活指导，促进学生和谐相处、互帮互助。</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（五）心理健康教育与咨询工作。协助学校心理健康教育机构开展心理健康教育，对学生心理问题进行初步排查和疏导，组织开展心理健康知识普及宣传活动，培育学生理性平和、乐观向上的健康心态。</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六）网络思想政治教育。运用新媒体新技术，推动思想政治工作传统优势与信息技术高度融合。构建网络思想政治教育重要阵地，积极传播先进文化。加强学生网络素养教育，积极培养校园好网民，引导学生创作网络文化作品，弘扬主旋律，传播正能量。创新工作路径，加强与学生的网上互动交流，运用网络新媒体对学生开展思想引领、学习指导、生活辅导、心理咨询等。</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七）校园危机事件应对。组织开展基本安全教育。参与学校、院（系）危机事件工作预案制定和执行。对校园危机事件进行初步处理，稳定局面控制事态发展，及时掌握危机事件信息并按程序上报。参与危机事件后期应对及总结研究分析。</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（八）职业规划与就业创业指导。为学生提供科学的职业生涯规划和就业指导以及相关服务，帮助学生树立正确的就业观念，引导学生到基层、到西部、到祖国最需要的地方建功立业。</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（九）理论和实践研究。努力学习思想政治教育的基本理论和相关学科知识，参加相关学科领域学术交流活动，参与校内外思想政治教育课题或项目研究。</w:t>
      </w:r>
    </w:p>
    <w:p>
      <w:pPr>
        <w:pStyle w:val="3"/>
        <w:spacing w:line="560" w:lineRule="exact"/>
        <w:rPr>
          <w:rFonts w:ascii="方正黑体_GBK" w:hAnsi="方正黑体_GBK" w:eastAsia="方正黑体_GBK" w:cs="方正黑体_GBK"/>
          <w:color w:val="auto"/>
          <w:highlight w:val="none"/>
        </w:rPr>
      </w:pPr>
      <w:bookmarkStart w:id="390" w:name="_Toc15398665"/>
    </w:p>
    <w:p>
      <w:pPr>
        <w:pStyle w:val="3"/>
        <w:spacing w:line="560" w:lineRule="exact"/>
        <w:rPr>
          <w:rFonts w:ascii="方正黑体_GBK" w:hAnsi="方正黑体_GBK" w:eastAsia="方正黑体_GBK" w:cs="方正黑体_GBK"/>
          <w:b/>
          <w:bCs w:val="0"/>
          <w:color w:val="auto"/>
          <w:highlight w:val="none"/>
        </w:rPr>
      </w:pPr>
      <w:bookmarkStart w:id="391" w:name="_Toc943"/>
      <w:r>
        <w:rPr>
          <w:rFonts w:hint="eastAsia" w:ascii="方正黑体_GBK" w:hAnsi="方正黑体_GBK" w:eastAsia="方正黑体_GBK" w:cs="方正黑体_GBK"/>
          <w:b/>
          <w:bCs w:val="0"/>
          <w:color w:val="auto"/>
          <w:highlight w:val="none"/>
        </w:rPr>
        <w:t>第三章 配备与选聘</w:t>
      </w:r>
      <w:bookmarkEnd w:id="390"/>
      <w:bookmarkEnd w:id="391"/>
    </w:p>
    <w:p>
      <w:pPr>
        <w:spacing w:line="560" w:lineRule="exact"/>
        <w:rPr>
          <w:color w:val="auto"/>
          <w:highlight w:val="none"/>
        </w:rPr>
      </w:pP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第六条</w:t>
      </w:r>
      <w:r>
        <w:rPr>
          <w:rFonts w:hint="eastAsia" w:ascii="方正仿宋_GBK" w:eastAsia="方正仿宋_GBK"/>
          <w:bCs/>
          <w:color w:val="auto"/>
          <w:sz w:val="32"/>
          <w:szCs w:val="32"/>
          <w:highlight w:val="none"/>
        </w:rPr>
        <w:t xml:space="preserve">  高等学校应当按总体上师生比不低于1:200的比例设置专职辅导员岗位，按照专兼结合、以专为主的原则，足额配备到位。</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专职辅导员是指在院（系）专职从事大学生日常思想政治教育工作的人员，包括院（系）党委（党总支）副书记、学工组长、团委（团总支）书记等专职工作人员，具有教师和管理人员双重身份。高等学校应参照专任教师聘任的待遇和保障，与专职辅导员建立人事聘用关系。</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高等学校可以从优秀专任教师、管理人员、研究生中选聘一定数量兼职辅导员。兼职辅导员工作量按专职辅导员工作量的三分之一核定。</w:t>
      </w:r>
    </w:p>
    <w:p>
      <w:pPr>
        <w:spacing w:line="560" w:lineRule="exact"/>
        <w:ind w:firstLine="643" w:firstLineChars="200"/>
        <w:rPr>
          <w:rFonts w:ascii="方正仿宋_GBK" w:eastAsia="方正仿宋_GBK"/>
          <w:bCs/>
          <w:color w:val="auto"/>
          <w:sz w:val="32"/>
          <w:szCs w:val="32"/>
          <w:highlight w:val="none"/>
        </w:rPr>
      </w:pPr>
      <w:r>
        <w:rPr>
          <w:rFonts w:hint="eastAsia" w:ascii="方正楷体_GBK" w:hAnsi="方正楷体_GBK" w:eastAsia="方正楷体_GBK" w:cs="方正楷体_GBK"/>
          <w:b/>
          <w:color w:val="auto"/>
          <w:sz w:val="32"/>
          <w:szCs w:val="32"/>
          <w:highlight w:val="none"/>
        </w:rPr>
        <w:t>第七条</w:t>
      </w:r>
      <w:r>
        <w:rPr>
          <w:rFonts w:hint="eastAsia" w:ascii="方正仿宋_GBK" w:eastAsia="方正仿宋_GBK"/>
          <w:bCs/>
          <w:color w:val="auto"/>
          <w:sz w:val="32"/>
          <w:szCs w:val="32"/>
          <w:highlight w:val="none"/>
        </w:rPr>
        <w:t xml:space="preserve">  辅导员应当符合以下基本条件：</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（一）具有较高的政治素质和坚定的理想信念，坚决贯彻执行党的基本路线和各项方针政策，有较强的政治敏感性和政治辨别力；</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（二）具备本科以上学历，热爱大学生思想政治教育事业，甘于奉献，潜心育人，具有强烈的事业心和责任感；</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三）具有从事思想政治教育工作相关学科的宽口径知识储备，掌握思想政治教育工作相关学科的基本原理和基础知识，掌握思想政治教育专业基本理论、知识和方法，掌握马克思主义中国化相关理论和知识，掌握大学生思想政治教育工作实务相关知识，掌握有关法律法规知识；</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（四）具备较强的组织管理能力和语言、文字表达能力，及教育引导能力、调查研究能力，具备开展思想理论教育和价值引领工作的能力；</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（五）具有较强的纪律观念和规矩意识，遵纪守法，为人正直，作风正派，廉洁自律。</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第八条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辅导员选聘工作要在高等学校党委统一领导下进行，由学生工作部门、组织、人事、纪检等相关部门共同组织开展。根据辅导员基本条件要求和实际岗位需要，确定具体选拔条件，通过组织推荐和公开招聘相结合的方式，经过笔试、面试、公示等相关程序进行选拔。</w:t>
      </w:r>
    </w:p>
    <w:p>
      <w:pPr>
        <w:spacing w:line="560" w:lineRule="exact"/>
        <w:ind w:firstLine="643" w:firstLineChars="200"/>
        <w:rPr>
          <w:rFonts w:ascii="方正黑体_GBK" w:eastAsia="方正黑体_GBK"/>
          <w:bCs/>
          <w:color w:val="auto"/>
          <w:sz w:val="32"/>
          <w:szCs w:val="32"/>
          <w:highlight w:val="none"/>
        </w:rPr>
      </w:pPr>
      <w:r>
        <w:rPr>
          <w:rFonts w:hint="eastAsia" w:ascii="方正楷体_GBK" w:eastAsia="方正楷体_GBK"/>
          <w:b/>
          <w:color w:val="auto"/>
          <w:sz w:val="32"/>
          <w:szCs w:val="32"/>
          <w:highlight w:val="none"/>
        </w:rPr>
        <w:t>第九条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青年教师晋升高一级专业技术职务（职称），须有至少一年担任辅导员或班主任工作经历并考核合格。高等学校要鼓励新入职教师以多种形式参与辅导员或班主任工作。</w:t>
      </w:r>
    </w:p>
    <w:p>
      <w:pPr>
        <w:pStyle w:val="3"/>
        <w:spacing w:line="560" w:lineRule="exact"/>
        <w:rPr>
          <w:rFonts w:ascii="方正黑体_GBK" w:hAnsi="方正黑体_GBK" w:eastAsia="方正黑体_GBK" w:cs="方正黑体_GBK"/>
          <w:color w:val="auto"/>
          <w:highlight w:val="none"/>
        </w:rPr>
      </w:pPr>
      <w:bookmarkStart w:id="392" w:name="_Toc15398666"/>
    </w:p>
    <w:p>
      <w:pPr>
        <w:pStyle w:val="3"/>
        <w:spacing w:line="560" w:lineRule="exact"/>
        <w:rPr>
          <w:rFonts w:ascii="方正黑体_GBK" w:hAnsi="方正黑体_GBK" w:eastAsia="方正黑体_GBK" w:cs="方正黑体_GBK"/>
          <w:b/>
          <w:bCs w:val="0"/>
          <w:color w:val="auto"/>
          <w:highlight w:val="none"/>
        </w:rPr>
      </w:pPr>
      <w:bookmarkStart w:id="393" w:name="_Toc6432"/>
      <w:r>
        <w:rPr>
          <w:rFonts w:hint="eastAsia" w:ascii="方正黑体_GBK" w:hAnsi="方正黑体_GBK" w:eastAsia="方正黑体_GBK" w:cs="方正黑体_GBK"/>
          <w:b/>
          <w:bCs w:val="0"/>
          <w:color w:val="auto"/>
          <w:highlight w:val="none"/>
        </w:rPr>
        <w:t>第四章 发展与培训</w:t>
      </w:r>
      <w:bookmarkEnd w:id="392"/>
      <w:bookmarkEnd w:id="393"/>
    </w:p>
    <w:p>
      <w:pPr>
        <w:spacing w:line="560" w:lineRule="exact"/>
        <w:rPr>
          <w:color w:val="auto"/>
          <w:highlight w:val="none"/>
        </w:rPr>
      </w:pP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第十条</w:t>
      </w:r>
      <w:r>
        <w:rPr>
          <w:rFonts w:hint="eastAsia" w:ascii="方正仿宋_GBK" w:eastAsia="方正仿宋_GBK"/>
          <w:bCs/>
          <w:color w:val="auto"/>
          <w:sz w:val="32"/>
          <w:szCs w:val="32"/>
          <w:highlight w:val="none"/>
        </w:rPr>
        <w:t xml:space="preserve">  高等学校应当制定专门办法和激励保障机制，落实专职辅导员职务职级“双线”晋升要求，推动辅导员队伍专业化职业化建设。</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高等学校应当结合实际，按专任教师职务岗位结构比例合理设置专职辅导员的相应教师职务岗位，专职辅导员可按教师职务（职称）要求评聘思想政治教育学科或其他相关学科的专业技术职务（职称）。</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专职辅导员专业技术职务（职称）评聘应更加注重考察工作业绩和育人实效，单列计划、单设标准、单独评审。将优秀网络文化成果纳入专职辅导员的科研成果统计、职务（职称）评聘范围。</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第十二条</w:t>
      </w:r>
      <w:r>
        <w:rPr>
          <w:rFonts w:hint="eastAsia" w:ascii="方正仿宋_GBK" w:eastAsia="方正仿宋_GBK"/>
          <w:bCs/>
          <w:color w:val="auto"/>
          <w:sz w:val="32"/>
          <w:szCs w:val="32"/>
          <w:highlight w:val="none"/>
        </w:rPr>
        <w:t xml:space="preserve">  高等学校可以成立专职辅导员专业技术职务（职称）聘任委员会，具体负责本校专职辅导员专业技术职务（职称）聘任工作。聘任委员会一般应由学校党委有关负责人、学生工作、组织人事、教学科研部门负责人、相关学科专家等人员组成。</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仿宋_GBK" w:eastAsia="方正仿宋_GBK"/>
          <w:bCs/>
          <w:color w:val="auto"/>
          <w:sz w:val="32"/>
          <w:szCs w:val="32"/>
          <w:highlight w:val="none"/>
        </w:rPr>
        <w:t xml:space="preserve">  高等学校应当制定辅导员管理岗位聘任办法，根据辅导员的任职年限及实际工作表现，确定相应级别的管理岗位等级。</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第十四条</w:t>
      </w:r>
      <w:r>
        <w:rPr>
          <w:rFonts w:hint="eastAsia" w:ascii="方正仿宋_GBK" w:eastAsia="方正仿宋_GBK"/>
          <w:bCs/>
          <w:color w:val="auto"/>
          <w:sz w:val="32"/>
          <w:szCs w:val="32"/>
          <w:highlight w:val="none"/>
        </w:rPr>
        <w:t xml:space="preserve">  辅导员培训应当纳入高等学校师资队伍和干部队伍培训整体规划。</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建立国家、省级和高等学校三级辅导员培训体系。教育部设立高等学校辅导员培训和研修基地，开展国家级示范培训。省级教育部门应当根据区域内现有高等学校辅导员规模数量设立辅导员培训专项经费，建立辅导员培训和研修基地，承担所在区域内高等学校辅导员的岗前培训、日常培训和骨干培训。高等学校负责对本校辅导员的系统培训，确保每名专职辅导员每年参加不少于16个学时的校级培训，每5年参加1次国家级或省级培训。</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第十五条</w:t>
      </w:r>
      <w:r>
        <w:rPr>
          <w:rFonts w:hint="eastAsia" w:ascii="方正仿宋_GBK" w:eastAsia="方正仿宋_GBK"/>
          <w:bCs/>
          <w:color w:val="auto"/>
          <w:sz w:val="32"/>
          <w:szCs w:val="32"/>
          <w:highlight w:val="none"/>
        </w:rPr>
        <w:t xml:space="preserve">  省级教育部门、高等学校要积极选拔优秀辅导员参加国内国际交流学习和研修深造，创造条件支持辅导员到地方党政机关、企业、基层等挂职锻炼，支持辅导员结合大学生思想政治教育的工作实践和思想政治教育学科的发展开展研究。高等学校要鼓励辅导员在做好工作的基础上攻读相关专业学位，承担思想政治理论课等相关课程的教学工作，为辅导员提升专业水平和科研能力提供条件保障。</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第十六条</w:t>
      </w:r>
      <w:r>
        <w:rPr>
          <w:rFonts w:hint="eastAsia" w:ascii="方正仿宋_GBK" w:eastAsia="方正仿宋_GBK"/>
          <w:bCs/>
          <w:color w:val="auto"/>
          <w:sz w:val="32"/>
          <w:szCs w:val="32"/>
          <w:highlight w:val="none"/>
        </w:rPr>
        <w:t xml:space="preserve">  高等学校要积极为辅导员的工作和生活创造便利条件，应根据辅导员的工作特点，在岗位津贴、办公条件、通讯经费等方面制定相关政策，为辅导员的工作和生活提供必要保障。</w:t>
      </w:r>
    </w:p>
    <w:p>
      <w:pPr>
        <w:pStyle w:val="3"/>
        <w:spacing w:line="560" w:lineRule="exact"/>
        <w:rPr>
          <w:rFonts w:ascii="黑体" w:hAnsi="黑体" w:cs="黑体"/>
          <w:color w:val="auto"/>
          <w:highlight w:val="none"/>
        </w:rPr>
      </w:pPr>
      <w:bookmarkStart w:id="394" w:name="_Toc15398667"/>
    </w:p>
    <w:p>
      <w:pPr>
        <w:pStyle w:val="3"/>
        <w:spacing w:line="560" w:lineRule="exact"/>
        <w:rPr>
          <w:rFonts w:ascii="方正黑体_GBK" w:hAnsi="方正黑体_GBK" w:eastAsia="方正黑体_GBK" w:cs="方正黑体_GBK"/>
          <w:b/>
          <w:bCs w:val="0"/>
          <w:color w:val="auto"/>
          <w:highlight w:val="none"/>
        </w:rPr>
      </w:pPr>
      <w:bookmarkStart w:id="395" w:name="_Toc15900"/>
      <w:r>
        <w:rPr>
          <w:rFonts w:hint="eastAsia" w:ascii="方正黑体_GBK" w:hAnsi="方正黑体_GBK" w:eastAsia="方正黑体_GBK" w:cs="方正黑体_GBK"/>
          <w:b/>
          <w:bCs w:val="0"/>
          <w:color w:val="auto"/>
          <w:highlight w:val="none"/>
        </w:rPr>
        <w:t>第五章 管理与考核</w:t>
      </w:r>
      <w:bookmarkEnd w:id="394"/>
      <w:bookmarkEnd w:id="395"/>
    </w:p>
    <w:p>
      <w:pPr>
        <w:spacing w:line="560" w:lineRule="exact"/>
        <w:rPr>
          <w:color w:val="auto"/>
          <w:highlight w:val="none"/>
        </w:rPr>
      </w:pP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第十七条</w:t>
      </w:r>
      <w:r>
        <w:rPr>
          <w:rFonts w:hint="eastAsia" w:ascii="方正仿宋_GBK" w:eastAsia="方正仿宋_GBK"/>
          <w:b/>
          <w:color w:val="auto"/>
          <w:sz w:val="32"/>
          <w:szCs w:val="32"/>
          <w:highlight w:val="none"/>
        </w:rPr>
        <w:t xml:space="preserve"> </w:t>
      </w:r>
      <w:r>
        <w:rPr>
          <w:rFonts w:hint="eastAsia" w:ascii="方正仿宋_GBK" w:eastAsia="方正仿宋_GBK"/>
          <w:bCs/>
          <w:color w:val="auto"/>
          <w:sz w:val="32"/>
          <w:szCs w:val="32"/>
          <w:highlight w:val="none"/>
        </w:rPr>
        <w:t xml:space="preserve"> 高等学校辅导员实行学校和院（系）双重管理。</w:t>
      </w:r>
    </w:p>
    <w:p>
      <w:pPr>
        <w:spacing w:line="560" w:lineRule="exact"/>
        <w:ind w:firstLine="640" w:firstLineChars="200"/>
        <w:rPr>
          <w:rFonts w:ascii="方正仿宋_GBK" w:eastAsia="方正仿宋_GBK"/>
          <w:bCs/>
          <w:color w:val="auto"/>
          <w:sz w:val="32"/>
          <w:szCs w:val="32"/>
          <w:highlight w:val="none"/>
        </w:rPr>
      </w:pPr>
      <w:r>
        <w:rPr>
          <w:rFonts w:hint="eastAsia" w:ascii="方正仿宋_GBK" w:eastAsia="方正仿宋_GBK"/>
          <w:bCs/>
          <w:color w:val="auto"/>
          <w:sz w:val="32"/>
          <w:szCs w:val="32"/>
          <w:highlight w:val="none"/>
        </w:rPr>
        <w:t>学生工作部门牵头负责辅导员的培养、培训和考核等工作，同时要与院（系）党委（党总支）共同做好辅导员日常管理工作。院（系）党委（党总支）负责对辅导员进行直接领导和管理。</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第十八条</w:t>
      </w:r>
      <w:r>
        <w:rPr>
          <w:rFonts w:hint="eastAsia" w:ascii="方正仿宋_GBK" w:eastAsia="方正仿宋_GBK"/>
          <w:bCs/>
          <w:color w:val="auto"/>
          <w:sz w:val="32"/>
          <w:szCs w:val="32"/>
          <w:highlight w:val="none"/>
        </w:rPr>
        <w:t xml:space="preserve">  高等学校要根据辅导员职业能力标准，制定辅导员工作考核的具体办法，健全辅导员队伍的考核评价体系。对辅导员的考核评价应由学生工作部门牵头，组织人事部门、院（系）党委（党总支）和学生共同参与。考核结果与辅导员的职务聘任、奖惩、晋级等挂钩。</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第十九条</w:t>
      </w:r>
      <w:r>
        <w:rPr>
          <w:rFonts w:hint="eastAsia" w:ascii="方正仿宋_GBK" w:eastAsia="方正仿宋_GBK"/>
          <w:bCs/>
          <w:color w:val="auto"/>
          <w:sz w:val="32"/>
          <w:szCs w:val="32"/>
          <w:highlight w:val="none"/>
        </w:rPr>
        <w:t xml:space="preserve">  教育部在全国教育系统先进集体和先进个人表彰中对高校优秀辅导员进行表彰。各地教育部门和高等学校要结合实际情况建立辅导员单独表彰体系并将优秀辅导员表彰奖励纳入各级教师、教育工作者表彰奖励体系中。</w:t>
      </w:r>
    </w:p>
    <w:p>
      <w:pPr>
        <w:spacing w:line="560" w:lineRule="exact"/>
        <w:rPr>
          <w:rFonts w:ascii="方正仿宋_GBK" w:eastAsia="方正仿宋_GBK"/>
          <w:bCs/>
          <w:color w:val="auto"/>
          <w:sz w:val="32"/>
          <w:szCs w:val="32"/>
          <w:highlight w:val="none"/>
        </w:rPr>
      </w:pPr>
    </w:p>
    <w:p>
      <w:pPr>
        <w:pStyle w:val="3"/>
        <w:spacing w:line="560" w:lineRule="exact"/>
        <w:rPr>
          <w:rFonts w:ascii="黑体" w:hAnsi="黑体" w:cs="黑体"/>
          <w:b/>
          <w:bCs w:val="0"/>
          <w:color w:val="auto"/>
          <w:highlight w:val="none"/>
        </w:rPr>
      </w:pPr>
      <w:bookmarkStart w:id="396" w:name="_Toc15398668"/>
      <w:bookmarkStart w:id="397" w:name="_Toc11630"/>
      <w:r>
        <w:rPr>
          <w:rFonts w:hint="eastAsia" w:ascii="黑体" w:hAnsi="黑体" w:cs="黑体"/>
          <w:b/>
          <w:bCs w:val="0"/>
          <w:color w:val="auto"/>
          <w:highlight w:val="none"/>
        </w:rPr>
        <w:t>第六章 附则</w:t>
      </w:r>
      <w:bookmarkEnd w:id="396"/>
      <w:bookmarkEnd w:id="397"/>
    </w:p>
    <w:p>
      <w:pPr>
        <w:spacing w:line="560" w:lineRule="exact"/>
        <w:rPr>
          <w:color w:val="auto"/>
          <w:highlight w:val="none"/>
        </w:rPr>
      </w:pP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第二十条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 xml:space="preserve"> 本规定适用于普通高等学校辅导员队伍建设。其他类型高等学校的辅导员队伍建设或思想政治工作其他队伍建设可以参照本规定执行。</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第二十一条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bCs/>
          <w:color w:val="auto"/>
          <w:sz w:val="32"/>
          <w:szCs w:val="32"/>
          <w:highlight w:val="none"/>
        </w:rPr>
        <w:t>高等学校要根据本规定，结合实际制定相关实施细则，并报主管教育部门备案。</w:t>
      </w:r>
    </w:p>
    <w:p>
      <w:pPr>
        <w:spacing w:line="560" w:lineRule="exact"/>
        <w:ind w:firstLine="643" w:firstLineChars="200"/>
        <w:rPr>
          <w:rFonts w:ascii="方正仿宋_GBK" w:eastAsia="方正仿宋_GBK"/>
          <w:bCs/>
          <w:color w:val="auto"/>
          <w:sz w:val="32"/>
          <w:szCs w:val="32"/>
          <w:highlight w:val="none"/>
        </w:rPr>
      </w:pPr>
      <w:r>
        <w:rPr>
          <w:rFonts w:hint="eastAsia" w:ascii="方正楷体_GBK" w:eastAsia="方正楷体_GBK"/>
          <w:b/>
          <w:color w:val="auto"/>
          <w:sz w:val="32"/>
          <w:szCs w:val="32"/>
          <w:highlight w:val="none"/>
        </w:rPr>
        <w:t>第二十二条</w:t>
      </w:r>
      <w:r>
        <w:rPr>
          <w:rFonts w:hint="eastAsia" w:ascii="方正楷体_GBK" w:eastAsia="方正楷体_GBK"/>
          <w:bCs/>
          <w:color w:val="auto"/>
          <w:sz w:val="32"/>
          <w:szCs w:val="32"/>
          <w:highlight w:val="none"/>
        </w:rPr>
        <w:t xml:space="preserve">  </w:t>
      </w:r>
      <w:r>
        <w:rPr>
          <w:rFonts w:hint="eastAsia" w:ascii="方正仿宋_GBK" w:eastAsia="方正仿宋_GBK"/>
          <w:bCs/>
          <w:color w:val="auto"/>
          <w:sz w:val="32"/>
          <w:szCs w:val="32"/>
          <w:highlight w:val="none"/>
        </w:rPr>
        <w:t>本规定自2017年10月1日起施行。原《普通高等学校辅导员队伍建设规定》同时废止。</w:t>
      </w:r>
    </w:p>
    <w:p>
      <w:pPr>
        <w:rPr>
          <w:rFonts w:hint="eastAsia"/>
          <w:color w:val="auto"/>
          <w:highlight w:val="none"/>
        </w:rPr>
      </w:pPr>
    </w:p>
    <w:p>
      <w:pPr>
        <w:pStyle w:val="2"/>
        <w:pageBreakBefore w:val="0"/>
        <w:kinsoku/>
        <w:wordWrap/>
        <w:overflowPunct/>
        <w:topLinePunct w:val="0"/>
        <w:autoSpaceDE/>
        <w:autoSpaceDN/>
        <w:bidi w:val="0"/>
        <w:adjustRightInd/>
        <w:spacing w:before="156" w:line="560" w:lineRule="exact"/>
        <w:ind w:firstLine="0" w:firstLineChars="0"/>
        <w:textAlignment w:val="auto"/>
        <w:rPr>
          <w:rFonts w:hint="eastAsia" w:ascii="方正小标宋_GBK" w:hAnsi="方正小标宋_GBK" w:eastAsia="方正小标宋_GBK" w:cs="方正小标宋_GBK"/>
          <w:color w:val="auto"/>
          <w:highlight w:val="none"/>
        </w:rPr>
      </w:pPr>
      <w:bookmarkStart w:id="398" w:name="_Toc30042"/>
    </w:p>
    <w:p>
      <w:pPr>
        <w:pStyle w:val="2"/>
        <w:keepNext w:val="0"/>
        <w:keepLines w:val="0"/>
        <w:pageBreakBefore w:val="0"/>
        <w:widowControl w:val="0"/>
        <w:kinsoku/>
        <w:wordWrap/>
        <w:overflowPunct/>
        <w:topLinePunct w:val="0"/>
        <w:autoSpaceDE/>
        <w:autoSpaceDN/>
        <w:bidi w:val="0"/>
        <w:adjustRightInd/>
        <w:snapToGrid w:val="0"/>
        <w:spacing w:before="156" w:line="560" w:lineRule="exact"/>
        <w:ind w:firstLine="0" w:firstLineChars="0"/>
        <w:textAlignment w:val="auto"/>
        <w:rPr>
          <w:rFonts w:ascii="方正小标宋_GBK" w:hAnsi="方正小标宋_GBK" w:eastAsia="方正小标宋_GBK" w:cs="方正小标宋_GBK"/>
          <w:color w:val="auto"/>
          <w:highlight w:val="none"/>
        </w:rPr>
      </w:pPr>
      <w:bookmarkStart w:id="399" w:name="_Toc14275"/>
      <w:r>
        <w:rPr>
          <w:rFonts w:hint="eastAsia" w:ascii="方正小标宋_GBK" w:hAnsi="方正小标宋_GBK" w:eastAsia="方正小标宋_GBK" w:cs="方正小标宋_GBK"/>
          <w:color w:val="auto"/>
          <w:highlight w:val="none"/>
        </w:rPr>
        <w:t>普通高等学校学生管理规定</w:t>
      </w:r>
      <w:bookmarkEnd w:id="398"/>
      <w:bookmarkEnd w:id="399"/>
    </w:p>
    <w:p>
      <w:pPr>
        <w:pStyle w:val="2"/>
        <w:keepNext w:val="0"/>
        <w:keepLines w:val="0"/>
        <w:pageBreakBefore w:val="0"/>
        <w:widowControl w:val="0"/>
        <w:kinsoku/>
        <w:wordWrap/>
        <w:overflowPunct/>
        <w:topLinePunct w:val="0"/>
        <w:autoSpaceDE/>
        <w:autoSpaceDN/>
        <w:bidi w:val="0"/>
        <w:adjustRightInd/>
        <w:snapToGrid w:val="0"/>
        <w:spacing w:before="156" w:line="560" w:lineRule="exact"/>
        <w:ind w:firstLine="0" w:firstLineChars="0"/>
        <w:textAlignment w:val="auto"/>
        <w:rPr>
          <w:rFonts w:ascii="方正楷体_GBK" w:hAnsi="方正楷体_GBK" w:eastAsia="方正楷体_GBK" w:cs="方正楷体_GBK"/>
          <w:color w:val="auto"/>
          <w:sz w:val="32"/>
          <w:szCs w:val="32"/>
          <w:highlight w:val="none"/>
          <w:shd w:val="clear" w:color="auto" w:fill="FFFFFF"/>
        </w:rPr>
      </w:pPr>
      <w:bookmarkStart w:id="400" w:name="_Toc17697"/>
      <w:bookmarkStart w:id="401" w:name="_Toc16908"/>
      <w:bookmarkStart w:id="402" w:name="_Toc8829"/>
      <w:bookmarkStart w:id="403" w:name="_Toc8645"/>
      <w:bookmarkStart w:id="404" w:name="_Toc26725"/>
      <w:r>
        <w:rPr>
          <w:rFonts w:hint="eastAsia" w:ascii="方正楷体_GBK" w:hAnsi="方正楷体_GBK" w:eastAsia="方正楷体_GBK" w:cs="方正楷体_GBK"/>
          <w:color w:val="auto"/>
          <w:sz w:val="32"/>
          <w:szCs w:val="32"/>
          <w:highlight w:val="none"/>
          <w:shd w:val="clear" w:color="auto" w:fill="FFFFFF"/>
        </w:rPr>
        <w:t>（中华人民共和国教育部令第41号）</w:t>
      </w:r>
      <w:bookmarkEnd w:id="400"/>
      <w:bookmarkEnd w:id="401"/>
      <w:bookmarkEnd w:id="402"/>
      <w:bookmarkEnd w:id="403"/>
      <w:bookmarkEnd w:id="404"/>
    </w:p>
    <w:p>
      <w:pPr>
        <w:pStyle w:val="21"/>
        <w:pageBreakBefore w:val="0"/>
        <w:widowControl/>
        <w:kinsoku/>
        <w:wordWrap/>
        <w:overflowPunct/>
        <w:topLinePunct w:val="0"/>
        <w:autoSpaceDE/>
        <w:autoSpaceDN/>
        <w:bidi w:val="0"/>
        <w:adjustRightInd/>
        <w:spacing w:before="450" w:beforeAutospacing="0" w:afterAutospacing="0" w:line="560" w:lineRule="exact"/>
        <w:ind w:left="0" w:leftChars="0"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《普通高等学校学生管理规定》已于2016年12月16日经教育部2016年第49次部长办公会议修订通过，现将修订后的《普通高等学校学生管理规定》公布，自2017年9月1日起施行。</w:t>
      </w:r>
    </w:p>
    <w:p>
      <w:pPr>
        <w:pStyle w:val="21"/>
        <w:pageBreakBefore w:val="0"/>
        <w:widowControl/>
        <w:shd w:val="clear" w:color="auto" w:fill="FFFFFF"/>
        <w:kinsoku/>
        <w:wordWrap/>
        <w:overflowPunct/>
        <w:topLinePunct w:val="0"/>
        <w:autoSpaceDE/>
        <w:autoSpaceDN/>
        <w:bidi w:val="0"/>
        <w:adjustRightInd/>
        <w:spacing w:beforeAutospacing="0" w:afterAutospacing="0" w:line="560" w:lineRule="exact"/>
        <w:ind w:firstLine="640"/>
        <w:jc w:val="righ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　　教育部部长 陈宝生</w:t>
      </w:r>
    </w:p>
    <w:p>
      <w:pPr>
        <w:pStyle w:val="21"/>
        <w:pageBreakBefore w:val="0"/>
        <w:widowControl/>
        <w:shd w:val="clear" w:color="auto" w:fill="FFFFFF"/>
        <w:kinsoku/>
        <w:wordWrap/>
        <w:overflowPunct/>
        <w:topLinePunct w:val="0"/>
        <w:autoSpaceDE/>
        <w:autoSpaceDN/>
        <w:bidi w:val="0"/>
        <w:adjustRightInd/>
        <w:spacing w:beforeAutospacing="0" w:afterAutospacing="0" w:line="560" w:lineRule="exact"/>
        <w:ind w:firstLine="640"/>
        <w:jc w:val="righ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　　2017年2月4日</w:t>
      </w:r>
    </w:p>
    <w:p>
      <w:pPr>
        <w:pStyle w:val="3"/>
        <w:pageBreakBefore w:val="0"/>
        <w:kinsoku/>
        <w:wordWrap/>
        <w:overflowPunct/>
        <w:topLinePunct w:val="0"/>
        <w:autoSpaceDE/>
        <w:autoSpaceDN/>
        <w:bidi w:val="0"/>
        <w:adjustRightInd/>
        <w:spacing w:line="560" w:lineRule="exact"/>
        <w:textAlignment w:val="auto"/>
        <w:rPr>
          <w:rFonts w:hint="eastAsia" w:ascii="方正黑体_GBK" w:hAnsi="方正黑体_GBK" w:eastAsia="方正黑体_GBK" w:cs="方正黑体_GBK"/>
          <w:b/>
          <w:bCs w:val="0"/>
          <w:color w:val="auto"/>
          <w:highlight w:val="none"/>
        </w:rPr>
      </w:pPr>
      <w:bookmarkStart w:id="405" w:name="_Toc4715"/>
      <w:bookmarkStart w:id="406" w:name="_Toc4860_WPSOffice_Level1"/>
      <w:bookmarkStart w:id="407" w:name="_Toc18945"/>
      <w:bookmarkStart w:id="408" w:name="_Toc15379224"/>
    </w:p>
    <w:p>
      <w:pPr>
        <w:pStyle w:val="3"/>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val="0"/>
          <w:color w:val="auto"/>
          <w:highlight w:val="none"/>
        </w:rPr>
      </w:pPr>
      <w:r>
        <w:rPr>
          <w:rFonts w:hint="eastAsia" w:ascii="方正黑体_GBK" w:hAnsi="方正黑体_GBK" w:eastAsia="方正黑体_GBK" w:cs="方正黑体_GBK"/>
          <w:b/>
          <w:bCs w:val="0"/>
          <w:color w:val="auto"/>
          <w:highlight w:val="none"/>
        </w:rPr>
        <w:t>第一章  总则</w:t>
      </w:r>
      <w:bookmarkEnd w:id="405"/>
      <w:bookmarkEnd w:id="406"/>
      <w:bookmarkEnd w:id="407"/>
      <w:bookmarkEnd w:id="408"/>
    </w:p>
    <w:p>
      <w:pPr>
        <w:pStyle w:val="35"/>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第一条 </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为规范普通高等学校学生管理行为，维护普通高等学校正常的教育教学秩序和生活秩序，保障学生合法权益，培养德、智、体、美等方面全面发展的社会主义建设者和接班人</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依据教育法、高等教育法以及有关法律、法规，制定本规定。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本规定适用于普通高等学校、承担研究生教育任务的科学研究机构（以下称学校）对接受普通高等学历教育的研究生和本科、专科（高职）学生（以下称学生）的管理。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第三条</w:t>
      </w:r>
      <w:r>
        <w:rPr>
          <w:rFonts w:hint="eastAsia" w:ascii="方正仿宋_GBK" w:eastAsia="方正仿宋_GBK"/>
          <w:color w:val="auto"/>
          <w:sz w:val="32"/>
          <w:szCs w:val="32"/>
          <w:highlight w:val="none"/>
        </w:rPr>
        <w:t xml:space="preserve">  学校要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学生应当拥护中国共产党领导，努力学习马克思列宁主义、毛泽东思想、中国特色社会主义理论体系，深入学习习近平总书记系列重要讲话精神和治国理政新理念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实施学生管理，应当尊重和保护学生的合法权利，教育和引导学生承担应尽的义务与责任，鼓励和支持学生实行自我管理、自我服务、自我教育、自我监督。</w:t>
      </w:r>
    </w:p>
    <w:p>
      <w:pPr>
        <w:pStyle w:val="3"/>
        <w:pageBreakBefore w:val="0"/>
        <w:kinsoku/>
        <w:wordWrap/>
        <w:overflowPunct/>
        <w:topLinePunct w:val="0"/>
        <w:autoSpaceDE/>
        <w:autoSpaceDN/>
        <w:bidi w:val="0"/>
        <w:adjustRightInd/>
        <w:spacing w:line="560" w:lineRule="exact"/>
        <w:textAlignment w:val="auto"/>
        <w:rPr>
          <w:rFonts w:hint="eastAsia" w:ascii="方正黑体_GBK" w:hAnsi="方正黑体_GBK" w:eastAsia="方正黑体_GBK" w:cs="方正黑体_GBK"/>
          <w:b/>
          <w:bCs w:val="0"/>
          <w:color w:val="auto"/>
          <w:highlight w:val="none"/>
        </w:rPr>
      </w:pPr>
      <w:bookmarkStart w:id="409" w:name="_Toc30014"/>
      <w:bookmarkStart w:id="410" w:name="_Toc24586"/>
      <w:bookmarkStart w:id="411" w:name="_Toc15379225"/>
      <w:bookmarkStart w:id="412" w:name="_Toc24034_WPSOffice_Level1"/>
    </w:p>
    <w:p>
      <w:pPr>
        <w:pStyle w:val="3"/>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val="0"/>
          <w:color w:val="auto"/>
          <w:highlight w:val="none"/>
        </w:rPr>
      </w:pPr>
      <w:r>
        <w:rPr>
          <w:rFonts w:hint="eastAsia" w:ascii="方正黑体_GBK" w:hAnsi="方正黑体_GBK" w:eastAsia="方正黑体_GBK" w:cs="方正黑体_GBK"/>
          <w:b/>
          <w:bCs w:val="0"/>
          <w:color w:val="auto"/>
          <w:highlight w:val="none"/>
        </w:rPr>
        <w:t>第二章  学生的权利与义务</w:t>
      </w:r>
      <w:bookmarkEnd w:id="409"/>
      <w:bookmarkEnd w:id="410"/>
      <w:bookmarkEnd w:id="411"/>
      <w:bookmarkEnd w:id="412"/>
    </w:p>
    <w:p>
      <w:pPr>
        <w:pStyle w:val="35"/>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学生在校期间依法享有下列权利：</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（一）参加学校教育教学计划安排的各项活动，使用学校提供的教育教学资源；</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（二）参加社会实践、志愿服务、勤工助学、文娱体育及科技文化创新等活动，获得就业创业指导和服务；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（三）申请奖学金、助学金及助学贷款；</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（四）在思想品德、学业成绩等方面获得科学、公正评价，完成学校规定学业后获得相应的学历证书、学位证书；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（五）在校内组织、参加学生团体，以适当方式参与学校管理，对学校与学生权益相关事务享有知情权、参与权、表达权和监督权；</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（六）对学校给予的处理或者处分有异议，向学校、教育行政部门提出申诉，对学校、教职员工侵犯其人身权、财产权等合法权益的行为，提出申诉或者依法提起诉讼；</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（七）法律、法规及学校章程规定的其他权利。</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第七条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学生在校期间依法履行下列义务：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（一）遵守宪法和法律、法规；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（二）遵守学校章程和规章制度；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（三）恪守学术道德，完成规定学业；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（四）按规定缴纳学费及有关费用，履行获得贷学金及助学金的相应义务；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（五）遵守学生行为规范，尊敬师长，养成良好的思想品德和行为习惯；</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（六）法律、法规及学校章程规定的其他义务。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bCs w:val="0"/>
          <w:color w:val="auto"/>
          <w:highlight w:val="none"/>
        </w:rPr>
      </w:pPr>
      <w:bookmarkStart w:id="413" w:name="_Toc30052"/>
      <w:bookmarkStart w:id="414" w:name="_Toc2067_WPSOffice_Level1"/>
      <w:bookmarkStart w:id="415" w:name="_Toc15379226"/>
      <w:bookmarkStart w:id="416" w:name="_Toc31169"/>
      <w:r>
        <w:rPr>
          <w:rFonts w:hint="eastAsia" w:ascii="方正黑体_GBK" w:hAnsi="方正黑体_GBK" w:eastAsia="方正黑体_GBK" w:cs="方正黑体_GBK"/>
          <w:b/>
          <w:bCs w:val="0"/>
          <w:color w:val="auto"/>
          <w:highlight w:val="none"/>
        </w:rPr>
        <w:t>第三章  学籍管理</w:t>
      </w:r>
      <w:bookmarkEnd w:id="413"/>
      <w:bookmarkEnd w:id="414"/>
      <w:bookmarkEnd w:id="415"/>
      <w:bookmarkEnd w:id="416"/>
      <w:bookmarkStart w:id="417" w:name="_Toc15379227"/>
      <w:bookmarkStart w:id="418" w:name="_Toc12124"/>
      <w:bookmarkStart w:id="419" w:name="_Toc6217_WPSOffice_Level2"/>
    </w:p>
    <w:p>
      <w:pPr>
        <w:pStyle w:val="3"/>
        <w:pageBreakBefore w:val="0"/>
        <w:widowControl w:val="0"/>
        <w:kinsoku/>
        <w:wordWrap/>
        <w:overflowPunct/>
        <w:topLinePunct w:val="0"/>
        <w:autoSpaceDE/>
        <w:autoSpaceDN/>
        <w:bidi w:val="0"/>
        <w:adjustRightInd/>
        <w:snapToGrid/>
        <w:spacing w:line="560" w:lineRule="exact"/>
        <w:textAlignment w:val="auto"/>
        <w:rPr>
          <w:color w:val="auto"/>
          <w:highlight w:val="none"/>
        </w:rPr>
      </w:pPr>
      <w:r>
        <w:rPr>
          <w:rFonts w:hint="eastAsia"/>
          <w:color w:val="auto"/>
          <w:highlight w:val="none"/>
        </w:rPr>
        <w:t>第一节  入学与注册</w:t>
      </w:r>
      <w:bookmarkEnd w:id="417"/>
      <w:bookmarkEnd w:id="418"/>
      <w:bookmarkEnd w:id="419"/>
    </w:p>
    <w:p>
      <w:pPr>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ascii="方正仿宋_GBK" w:eastAsia="方正仿宋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第八条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按国家招生规定录取的新生，持录取通知书，按学校有关要求和规定的期限到校办理入学手续。因故不能按期入学的，应当向学校请假。未请假或者请假逾期的，除因不可抗力等正当事由以外，视为放弃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第九条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新生可以申请保留入学资格。保留入学资格期间不具有学籍。保留入学资格的条件、期限等由学校规定。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新生保留入学资格期满前应向学校申请入学，经学校审查合格后，办理入学手续。审查不合格的，取消入学资格；逾期不办理入学手续且未有因不可抗力延迟等正当理由的，视为放弃入学资格。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仿宋_GBK" w:eastAsia="方正仿宋_GBK"/>
          <w:color w:val="auto"/>
          <w:sz w:val="32"/>
          <w:szCs w:val="32"/>
          <w:highlight w:val="none"/>
        </w:rPr>
        <w:t xml:space="preserve">  学生入学后，学校应当在3个月内按照国家招生规定进行复查。复查内容主要包括以下方面：</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（一）录取手续及程序等是否合乎国家招生规定；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（二）所获得的录取资格是否真实、合乎相关规定；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（三）本人及身份证明与录取通知、考生档案等是否一致；</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（四）身心健康状况是否符合报考专业或者专业类别体检要求，能否保证在校正常学习、生活；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（五）艺术、体育等特殊类型录取学生的专业水平是否符合录取要求。</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复查中发现学生存在弄虚作假、徇私舞弊等情形的，确定为复查不合格，应当取消学籍；情节严重的，学校应当移交有关部门调查处理。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复查中发现学生身心状况不适宜在校学习，经学校指定的二级甲等以上医院诊断，需要在家休养的，可以按照第十条的规定保留入学资格。</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复查的程序和办法，由学校规定。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每学期开学时，学生应当按学校规定办理注册手续。不能如期注册的，应当履行暂缓注册手续。未按学校规定缴纳学费或者有其他不符合注册条件的，不予注册。</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家庭经济困难的学生可以申请助学贷款或者其他形式资助，办理有关手续后注册。</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学校应当按照国家有关规定为家庭经济困难学生提供教育救助，完善学生资助体系，保证学生不因家庭经济困难而放弃学业。</w:t>
      </w:r>
      <w:bookmarkStart w:id="420" w:name="_Toc952"/>
      <w:bookmarkStart w:id="421" w:name="_Toc15379228"/>
      <w:bookmarkStart w:id="422" w:name="_Toc28549_WPSOffice_Level2"/>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第二节  考核与成绩记载</w:t>
      </w:r>
      <w:bookmarkEnd w:id="420"/>
      <w:bookmarkEnd w:id="421"/>
      <w:bookmarkEnd w:id="422"/>
    </w:p>
    <w:p>
      <w:pPr>
        <w:pageBreakBefore w:val="0"/>
        <w:kinsoku/>
        <w:wordWrap/>
        <w:overflowPunct/>
        <w:topLinePunct w:val="0"/>
        <w:autoSpaceDE/>
        <w:autoSpaceDN/>
        <w:bidi w:val="0"/>
        <w:adjustRightInd/>
        <w:spacing w:line="560" w:lineRule="exact"/>
        <w:ind w:firstLine="643" w:firstLineChars="200"/>
        <w:textAlignment w:val="auto"/>
        <w:rPr>
          <w:rFonts w:hint="eastAsia" w:ascii="方正楷体_GBK" w:eastAsia="方正楷体_GBK"/>
          <w:b/>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仿宋_GBK" w:eastAsia="方正仿宋_GBK"/>
          <w:color w:val="auto"/>
          <w:sz w:val="32"/>
          <w:szCs w:val="32"/>
          <w:highlight w:val="none"/>
        </w:rPr>
        <w:t xml:space="preserve">  学生应当参加学校教育教学计划规定的课程和各种教育教学环节（以下统称课程）的考核，考核成绩记入成绩册，并归入学籍档案。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考核分为考试和考查两种。考核和成绩评定方式，以及考核不合格的课程是否重修或者补考，由学校规定。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第十四条</w:t>
      </w:r>
      <w:r>
        <w:rPr>
          <w:rFonts w:hint="eastAsia" w:ascii="方正仿宋_GBK" w:eastAsia="方正仿宋_GBK"/>
          <w:color w:val="auto"/>
          <w:sz w:val="32"/>
          <w:szCs w:val="32"/>
          <w:highlight w:val="none"/>
        </w:rPr>
        <w:t xml:space="preserve">  学生思想品德的考核、鉴定，以本规定第四条为主要依据，采取个人小结、师生民主评议等形式进行。</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学生体育成绩评定要突出过程管理，可以根据考勤、课内教学、课外锻炼活动和体质健康等情况综合评定。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第十五条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学生每学期或者每学年所修课程或者应修学分数以及升级、跳级、留级、降级等要求，由学校规定。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第十六条</w:t>
      </w:r>
      <w:r>
        <w:rPr>
          <w:rFonts w:hint="eastAsia" w:ascii="方正仿宋_GBK" w:eastAsia="方正仿宋_GBK"/>
          <w:color w:val="auto"/>
          <w:sz w:val="32"/>
          <w:szCs w:val="32"/>
          <w:highlight w:val="none"/>
        </w:rPr>
        <w:t xml:space="preserve">  学生根据学校有关规定，可以申请辅修校内其他专业或者选修其他专业课程；可以申请跨校辅修专业或者修读课程，参加学校认可的开放式网络课程学习。学生修读的课程成绩（学分），学校审核同意后，予以承认。</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第十七条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学生参加创新创业、社会实践等活动以及发表论文、获得专利授权等与专业学习、学业要求相关的经历、成果，可以折算为学分，计入学业成绩。具体办法由学校规定。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学校应当鼓励、支持和指导学生参加社会实践、创新创业活动，可以建立创新创业档案、设置创新创业学分。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第十八条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学校应当健全学生学业成绩和学籍档案管理制度，真实、完整地记载、出具学生学业成绩，对通过补考、重修获得的成绩，应当予以标注。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严重违反考核纪律或者作弊的，该课程考核成绩记为无效，并应视其违纪或者作弊情节，给予相应的纪律处分。给予警告、严重警告、记过及留校察看处分的，经教育表现较好，可以对该课程给予补考或者重修机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因退学等情况中止学业，其在校学习期间所修课程及已获得学分，应当予以记录。学生重新参加入学考试、符合录取条件，再次入学的，其已获得学分，经录取学校认定，可以予以承认。具体办法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第十九条</w:t>
      </w:r>
      <w:r>
        <w:rPr>
          <w:rFonts w:hint="eastAsia" w:ascii="方正仿宋_GBK" w:eastAsia="方正仿宋_GBK"/>
          <w:color w:val="auto"/>
          <w:sz w:val="32"/>
          <w:szCs w:val="32"/>
          <w:highlight w:val="none"/>
        </w:rPr>
        <w:t xml:space="preserve">  学生应当按时参加教育教学计划规定的活动。不能按时参加的，应当事先请假并获得批准。无故缺席的，根据学校有关规定给予批评教育，情节严重的，给予相应的纪律处分。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作出限制。</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bookmarkStart w:id="423" w:name="_Toc28361"/>
      <w:bookmarkStart w:id="424" w:name="_Toc14637_WPSOffice_Level2"/>
      <w:bookmarkStart w:id="425" w:name="_Toc15379229"/>
      <w:r>
        <w:rPr>
          <w:rFonts w:hint="eastAsia"/>
          <w:color w:val="auto"/>
          <w:highlight w:val="none"/>
          <w:lang w:val="en-US" w:eastAsia="zh-CN"/>
        </w:rPr>
        <w:t>第三节  转专业与转学</w:t>
      </w:r>
      <w:bookmarkEnd w:id="423"/>
      <w:bookmarkEnd w:id="424"/>
      <w:bookmarkEnd w:id="425"/>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第二十一条  </w:t>
      </w:r>
      <w:r>
        <w:rPr>
          <w:rFonts w:hint="eastAsia" w:ascii="方正仿宋_GBK" w:eastAsia="方正仿宋_GBK"/>
          <w:color w:val="auto"/>
          <w:sz w:val="32"/>
          <w:szCs w:val="32"/>
          <w:highlight w:val="none"/>
        </w:rPr>
        <w:t>学生在学习期间对其他专业有兴趣和专长的，可以申请转专业；以特殊招生形式录取的学生，国家有相关规定或者录取前与学校有明确约定的，不得转专业。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学校应当制定学生转专业的具体办法，建立公平、公正的标准和程序，健全公示制度。学校根据社会对人才需求情况的发展变化，需要适当调整专业的，应当允许在读学生转到其他相关专业就读。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休学创业或退役后复学的学生，因自身情况需要转专业的，学校应当优先考虑。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第二十二条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学生一般应当在被录取学校完成学业。因患病或者有特殊困难、特别需要，无法继续在本校学习或者不适应本校学习要求的，可以申请转学。有下列情形之一，不得转学：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（一）入学未满一学期或者毕业前一年的；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（二）高考成绩低于拟转入学校相关专业同一生源地相应年份录取成绩的；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（三）由低学历层次转为高学历层次的；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（四）以定向就业招生录取的；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（五）研究生拟转入学校、专业的录取控制标准高于其所在学校、专业的；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（六）无正当转学理由的。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学生因学校培养条件改变等非本人原因需要转学的，学校应当出具证明，由所在地省级教育行政部门协调转学到同层次学校。</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第二十三条</w:t>
      </w:r>
      <w:r>
        <w:rPr>
          <w:rFonts w:hint="eastAsia" w:ascii="方正仿宋_GBK" w:eastAsia="方正仿宋_GBK"/>
          <w:color w:val="auto"/>
          <w:sz w:val="32"/>
          <w:szCs w:val="32"/>
          <w:highlight w:val="none"/>
        </w:rPr>
        <w:t xml:space="preserve">  学生转学由学生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跨省转学的，由转出地省级教育行政部门商转入地省级教育行政部门，按转学条件确认后办理转学手续。须转户口的由转入地省级教育行政部门将有关文件抄送转入学校所在地的公安机关。</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第二十四条</w:t>
      </w:r>
      <w:r>
        <w:rPr>
          <w:rFonts w:hint="eastAsia" w:ascii="方正仿宋_GBK" w:eastAsia="方正仿宋_GBK"/>
          <w:color w:val="auto"/>
          <w:sz w:val="32"/>
          <w:szCs w:val="32"/>
          <w:highlight w:val="none"/>
        </w:rPr>
        <w:t xml:space="preserve">  学校应当按照国家有关规定，建立健全学生转学的具体办法；对转学情况应当及时进行公示，并在转学完成后3个月内，由转入学校报所在地省级教育行政部门备案。</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省级教育行政部门应当加强对区域内学校转学行为的监督和管理，及时纠正违规转学行为。</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bookmarkStart w:id="426" w:name="_Toc24088"/>
      <w:bookmarkStart w:id="427" w:name="_Toc20751_WPSOffice_Level2"/>
      <w:bookmarkStart w:id="428" w:name="_Toc15379230"/>
      <w:r>
        <w:rPr>
          <w:rFonts w:hint="eastAsia"/>
          <w:color w:val="auto"/>
          <w:highlight w:val="none"/>
          <w:lang w:val="en-US" w:eastAsia="zh-CN"/>
        </w:rPr>
        <w:t>第四节  休学与复学</w:t>
      </w:r>
      <w:bookmarkEnd w:id="426"/>
      <w:bookmarkEnd w:id="427"/>
      <w:bookmarkEnd w:id="428"/>
    </w:p>
    <w:p>
      <w:pPr>
        <w:pageBreakBefore w:val="0"/>
        <w:kinsoku/>
        <w:wordWrap/>
        <w:overflowPunct/>
        <w:topLinePunct w:val="0"/>
        <w:autoSpaceDE/>
        <w:autoSpaceDN/>
        <w:bidi w:val="0"/>
        <w:adjustRightInd/>
        <w:spacing w:line="560" w:lineRule="exact"/>
        <w:ind w:firstLine="643" w:firstLineChars="200"/>
        <w:textAlignment w:val="auto"/>
        <w:rPr>
          <w:rFonts w:hint="eastAsia" w:ascii="方正楷体_GBK" w:eastAsia="方正楷体_GBK"/>
          <w:b/>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第二十五条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学生可以分阶段完成学业，除另有规定外，应当在学校规定的最长学习年限（含休学和保留学籍）内完成学业。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学生申请休学或者学校认为应当休学的，经学校批准，可以休学。休学次数和期限由学校规定。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第二十六条</w:t>
      </w:r>
      <w:r>
        <w:rPr>
          <w:rFonts w:hint="eastAsia" w:ascii="方正仿宋_GBK" w:eastAsia="方正仿宋_GBK"/>
          <w:color w:val="auto"/>
          <w:sz w:val="32"/>
          <w:szCs w:val="32"/>
          <w:highlight w:val="none"/>
        </w:rPr>
        <w:t xml:space="preserve">  学校可以根据情况建立并实行灵活的学习制度。对休学创业的学生，可以单独规定最长学习年限，并简化休学批准程序。</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第二十七条</w:t>
      </w:r>
      <w:r>
        <w:rPr>
          <w:rFonts w:hint="eastAsia" w:ascii="方正仿宋_GBK" w:eastAsia="方正仿宋_GBK"/>
          <w:color w:val="auto"/>
          <w:sz w:val="32"/>
          <w:szCs w:val="32"/>
          <w:highlight w:val="none"/>
        </w:rPr>
        <w:t xml:space="preserve">  新生和在校学生应征参加中国人民解放军（含中国人民武装警察部队），学校应当保留其入学资格或者学籍至退役后2年。</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学生参加学校组织的跨校联合培养项目，在联合培养学校学习期间，学校同时为其保留学籍。</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学生保留学籍期间，与其实际所在的部队、学校等组织建立管理关系。</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第二十八条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休学学生应当办理手续离校。学生休学期间，学校应为其保留学籍，但不享受在校学习学生待遇。因病休学学生的医疗费按国家及当地的有关规定处理。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第二十九条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学生休学期满前应当在学校规定的期限内提出复学申请，经学校复查合格，方可复学。</w:t>
      </w:r>
    </w:p>
    <w:p>
      <w:pPr>
        <w:pStyle w:val="4"/>
        <w:pageBreakBefore w:val="0"/>
        <w:kinsoku/>
        <w:wordWrap/>
        <w:overflowPunct/>
        <w:topLinePunct w:val="0"/>
        <w:autoSpaceDE/>
        <w:autoSpaceDN/>
        <w:bidi w:val="0"/>
        <w:adjustRightInd/>
        <w:spacing w:line="560" w:lineRule="exact"/>
        <w:jc w:val="center"/>
        <w:textAlignment w:val="auto"/>
        <w:rPr>
          <w:rFonts w:hint="eastAsia"/>
          <w:color w:val="auto"/>
          <w:highlight w:val="none"/>
        </w:rPr>
      </w:pPr>
      <w:bookmarkStart w:id="429" w:name="_Toc16900_WPSOffice_Level2"/>
      <w:bookmarkStart w:id="430" w:name="_Toc15379231"/>
      <w:bookmarkStart w:id="431" w:name="_Toc988"/>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r>
        <w:rPr>
          <w:rFonts w:hint="eastAsia"/>
          <w:color w:val="auto"/>
          <w:highlight w:val="none"/>
          <w:lang w:val="en-US" w:eastAsia="zh-CN"/>
        </w:rPr>
        <w:t>第五节  退学</w:t>
      </w:r>
      <w:bookmarkEnd w:id="429"/>
      <w:bookmarkEnd w:id="430"/>
      <w:bookmarkEnd w:id="431"/>
    </w:p>
    <w:p>
      <w:pPr>
        <w:pageBreakBefore w:val="0"/>
        <w:kinsoku/>
        <w:wordWrap/>
        <w:overflowPunct/>
        <w:topLinePunct w:val="0"/>
        <w:autoSpaceDE/>
        <w:autoSpaceDN/>
        <w:bidi w:val="0"/>
        <w:adjustRightInd/>
        <w:spacing w:line="560" w:lineRule="exact"/>
        <w:ind w:firstLine="643" w:firstLineChars="200"/>
        <w:textAlignment w:val="auto"/>
        <w:rPr>
          <w:rFonts w:hint="eastAsia" w:ascii="方正楷体_GBK" w:eastAsia="方正楷体_GBK"/>
          <w:b/>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学生有下列情形之一，学校可予退学处理：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（一）学业成绩未达到学校要求或者在学校规定的学习年限内未完成学业的；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（二）休学、保留学籍期满，在学校规定期限内未提出复学申请或者申请复学经复查不合格的；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（三）根据学校指定医院诊断，患有疾病或者意外伤残不能继续在校学习的；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（四）未经批准连续两周未参加学校规定的教学活动的；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（五）超过学校规定期限未注册而又未履行暂缓注册手续的；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（六）学校规定的不能完成学业、应予退学的其他情形。</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学生本人申请退学的，经学校审核同意后，办理退学手续。</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第三十一条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退学学生的档案由学校退回其家庭所在地，户口应当按照国家相关规定迁回原户籍地或者家庭户籍所在地。</w:t>
      </w:r>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bookmarkStart w:id="432" w:name="_Toc15379232"/>
      <w:bookmarkStart w:id="433" w:name="_Toc16322_WPSOffice_Level2"/>
      <w:bookmarkStart w:id="434" w:name="_Toc26604"/>
      <w:r>
        <w:rPr>
          <w:rFonts w:hint="eastAsia"/>
          <w:color w:val="auto"/>
          <w:highlight w:val="none"/>
          <w:lang w:val="en-US" w:eastAsia="zh-CN"/>
        </w:rPr>
        <w:t>第六节  毕业与结业</w:t>
      </w:r>
      <w:bookmarkEnd w:id="432"/>
      <w:bookmarkEnd w:id="433"/>
      <w:bookmarkEnd w:id="434"/>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第三十二条</w:t>
      </w:r>
      <w:r>
        <w:rPr>
          <w:rFonts w:hint="eastAsia" w:ascii="方正楷体_GBK" w:eastAsia="方正楷体_GBK"/>
          <w:b/>
          <w:color w:val="auto"/>
          <w:sz w:val="32"/>
          <w:szCs w:val="32"/>
          <w:highlight w:val="none"/>
          <w:lang w:val="en-US" w:eastAsia="zh-CN"/>
        </w:rPr>
        <w:t xml:space="preserve">  </w:t>
      </w:r>
      <w:r>
        <w:rPr>
          <w:rFonts w:hint="eastAsia" w:ascii="方正仿宋_GBK" w:eastAsia="方正仿宋_GBK"/>
          <w:color w:val="auto"/>
          <w:sz w:val="32"/>
          <w:szCs w:val="32"/>
          <w:highlight w:val="none"/>
        </w:rPr>
        <w:t>学生在学校规定学习年限内，修完教育教学计划规定内容，成绩合格，达到学校毕业要求的，学校应当准予毕业，并在学生离校前发给毕业证书。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符合学位授予条件的，学位授予单位应当颁发学位证书。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学生提前完成教育教学计划规定内容，获得毕业所要求的学分，可以申请提前毕业。学生提前毕业的条件，由学校规定。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第三十三条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学生在学校规定学习年限内，修完教育教学计划规定内容，但未达到学校毕业要求的，学校可以准予结业，发给结业证书。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结业后是否可以补考、重修或者补作毕业设计、论文、答辩，以及是否颁发毕业证书、学位证书，由学校规定。合格后颁发的毕业证书、学位证书，毕业时间、获得学位时间按发证日期填写。</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对退学学生</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学校应当发给肄业证书或者写实性学习证明。</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val="en-US" w:eastAsia="zh-CN"/>
        </w:rPr>
      </w:pPr>
      <w:bookmarkStart w:id="435" w:name="_Toc27224"/>
      <w:bookmarkStart w:id="436" w:name="_Toc9571_WPSOffice_Level2"/>
      <w:bookmarkStart w:id="437" w:name="_Toc15379233"/>
      <w:r>
        <w:rPr>
          <w:rFonts w:hint="eastAsia"/>
          <w:color w:val="auto"/>
          <w:highlight w:val="none"/>
          <w:lang w:val="en-US" w:eastAsia="zh-CN"/>
        </w:rPr>
        <w:t>第七节  学业证书管理</w:t>
      </w:r>
      <w:bookmarkEnd w:id="435"/>
      <w:bookmarkEnd w:id="436"/>
      <w:bookmarkEnd w:id="437"/>
    </w:p>
    <w:p>
      <w:pPr>
        <w:pageBreakBefore w:val="0"/>
        <w:kinsoku/>
        <w:wordWrap/>
        <w:overflowPunct/>
        <w:topLinePunct w:val="0"/>
        <w:autoSpaceDE/>
        <w:autoSpaceDN/>
        <w:bidi w:val="0"/>
        <w:adjustRightInd/>
        <w:spacing w:line="560" w:lineRule="exact"/>
        <w:ind w:firstLine="643" w:firstLineChars="200"/>
        <w:textAlignment w:val="auto"/>
        <w:rPr>
          <w:rFonts w:hint="eastAsia" w:ascii="方正楷体_GBK" w:eastAsia="方正楷体_GBK"/>
          <w:b/>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第三十四条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学校应当严格按照招生时确定的办学类型和学习形式，以及学生招生录取时填报的个人信息，填写、颁发学历证书、学位证书及其他学业证书。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第三十五条</w:t>
      </w:r>
      <w:r>
        <w:rPr>
          <w:rFonts w:hint="eastAsia" w:ascii="方正仿宋_GBK" w:eastAsia="方正仿宋_GBK"/>
          <w:color w:val="auto"/>
          <w:sz w:val="32"/>
          <w:szCs w:val="32"/>
          <w:highlight w:val="none"/>
        </w:rPr>
        <w:t xml:space="preserve">  学校应当执行高等教育学籍学历电子注册管理制度，完善学籍学历信息管理办法，按相关规定及时完成学生学籍学历电子注册。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第三十六条</w:t>
      </w:r>
      <w:r>
        <w:rPr>
          <w:rFonts w:hint="eastAsia" w:ascii="方正仿宋_GBK" w:eastAsia="方正仿宋_GBK"/>
          <w:color w:val="auto"/>
          <w:sz w:val="32"/>
          <w:szCs w:val="32"/>
          <w:highlight w:val="none"/>
        </w:rPr>
        <w:t xml:space="preserve">  对完成本专业学业同时辅修其他专业并达到该专业辅修要求的学生，由学校发给辅修专业证书。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第三十七条</w:t>
      </w:r>
      <w:r>
        <w:rPr>
          <w:rFonts w:hint="eastAsia" w:ascii="方正仿宋_GBK" w:eastAsia="方正仿宋_GBK"/>
          <w:color w:val="auto"/>
          <w:sz w:val="32"/>
          <w:szCs w:val="32"/>
          <w:highlight w:val="none"/>
        </w:rPr>
        <w:t xml:space="preserve">  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被撤销的学历证书、学位证书已注册的，学校应当予以注销并报教育行政部门宣布无效。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第三十八条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学历证书和学位证书遗失或者损坏，经本人申请，学校核实后应当出具相应的证明书。证明书与原证书具有同等效力。</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Style w:val="3"/>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bCs w:val="0"/>
          <w:color w:val="auto"/>
          <w:highlight w:val="none"/>
        </w:rPr>
      </w:pPr>
      <w:bookmarkStart w:id="438" w:name="_Toc14087"/>
      <w:bookmarkStart w:id="439" w:name="_Toc2863"/>
      <w:bookmarkStart w:id="440" w:name="_Toc15379234"/>
      <w:bookmarkStart w:id="441" w:name="_Toc4717_WPSOffice_Level1"/>
      <w:r>
        <w:rPr>
          <w:rFonts w:hint="eastAsia" w:ascii="方正黑体_GBK" w:hAnsi="方正黑体_GBK" w:eastAsia="方正黑体_GBK" w:cs="方正黑体_GBK"/>
          <w:b/>
          <w:bCs w:val="0"/>
          <w:color w:val="auto"/>
          <w:highlight w:val="none"/>
        </w:rPr>
        <w:t>第四章  校园秩序与课外活动</w:t>
      </w:r>
      <w:bookmarkEnd w:id="438"/>
      <w:bookmarkEnd w:id="439"/>
      <w:bookmarkEnd w:id="440"/>
      <w:bookmarkEnd w:id="441"/>
    </w:p>
    <w:p>
      <w:pPr>
        <w:pStyle w:val="35"/>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第三十九条</w:t>
      </w:r>
      <w:r>
        <w:rPr>
          <w:rFonts w:hint="eastAsia" w:ascii="方正仿宋_GBK" w:eastAsia="方正仿宋_GBK"/>
          <w:color w:val="auto"/>
          <w:sz w:val="32"/>
          <w:szCs w:val="32"/>
          <w:highlight w:val="none"/>
        </w:rPr>
        <w:t xml:space="preserve">  学校、学生应当共同维护校园正常秩序，保障学校环境安全、稳定，保障学生的正常学习和生活。</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第四十条 </w:t>
      </w:r>
      <w:r>
        <w:rPr>
          <w:rFonts w:hint="eastAsia" w:ascii="方正仿宋_GBK" w:eastAsia="方正仿宋_GBK"/>
          <w:color w:val="auto"/>
          <w:sz w:val="32"/>
          <w:szCs w:val="32"/>
          <w:highlight w:val="none"/>
        </w:rPr>
        <w:t xml:space="preserve"> 学校应当建立和完善学生参与管理的组织形式，支持和保障学生依法、依章程参与学校管理。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第四十一条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学生应当自觉遵守公民道德规范，自觉遵守学校管理制度，创造和维护文明、整洁、优美、安全的学习和生活环境，树立安全风险防范和自我保护意识，保障自身合法权益。</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第四十二条</w:t>
      </w:r>
      <w:r>
        <w:rPr>
          <w:rFonts w:hint="eastAsia" w:ascii="方正仿宋_GBK" w:eastAsia="方正仿宋_GBK"/>
          <w:color w:val="auto"/>
          <w:sz w:val="32"/>
          <w:szCs w:val="32"/>
          <w:highlight w:val="none"/>
        </w:rPr>
        <w:t xml:space="preserve">  学生不得有酗酒、打架斗殴、赌博、吸毒，传播、复制、贩卖非法书刊和音像制品等违法行为；不得参与非法传销和进行邪教、封建迷信活动；不得从事或者参与有损大学生形象、有悖社会公序良俗的活动。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学校发现学生在校内有违法行为或者严重精神疾病可能对他人造成伤害的，可以依法采取或者协助有关部门采取必要措施。</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第四十三条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学校应当坚持教育与宗教相分离原则。任何组织和个人不得在学校进行宗教活动。</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第四十四条</w:t>
      </w:r>
      <w:r>
        <w:rPr>
          <w:rFonts w:hint="eastAsia" w:ascii="方正仿宋_GBK" w:eastAsia="方正仿宋_GBK"/>
          <w:color w:val="auto"/>
          <w:sz w:val="32"/>
          <w:szCs w:val="32"/>
          <w:highlight w:val="none"/>
        </w:rPr>
        <w:t xml:space="preserve">  学校应当建立健全学生代表大会制度，为学生会、研究生会等开展活动提供必要条件，支持其在学生管理中发挥作用。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学生可以在校内成立、参加学生团体。学生成立团体，应当按学校有关规定提出书面申请，报学校批准并施行登记和年检制度。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学生团体应当在宪法、法律、法规和学校管理制度范围内活动，接受学校的领导和管理。学生团体邀请校外组织、人员到校举办讲座等活动，需经学校批准。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第四十五条</w:t>
      </w:r>
      <w:r>
        <w:rPr>
          <w:rFonts w:hint="eastAsia" w:ascii="方正仿宋_GBK" w:eastAsia="方正仿宋_GBK"/>
          <w:color w:val="auto"/>
          <w:sz w:val="32"/>
          <w:szCs w:val="32"/>
          <w:highlight w:val="none"/>
        </w:rPr>
        <w:t xml:space="preserve">  学校提倡并支持学生及学生团体开展有益于身心健康、成长成才的学术、科技、艺术、文娱、体育等活动。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学生进行课外活动不得影响学校正常的教育教学秩序和生活秩序。</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学生参加勤工助学活动应当遵守法律、法规以及学校、用工单位的管理制度，履行勤工助学活动的有关协议。</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第四十六条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学生举行大型集会、游行、示威等活动，应当按法律程序和有关规定获得批准。对未获批准的，学校应当依法劝阻或者制止。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第四十七条</w:t>
      </w:r>
      <w:r>
        <w:rPr>
          <w:rFonts w:hint="eastAsia" w:ascii="方正仿宋_GBK" w:eastAsia="方正仿宋_GBK"/>
          <w:color w:val="auto"/>
          <w:sz w:val="32"/>
          <w:szCs w:val="32"/>
          <w:highlight w:val="none"/>
        </w:rPr>
        <w:t xml:space="preserve">  学生应当遵守国家和学校关于网络使用的有关规定，不得登录非法网站和传播非法文字、音频、视频资料等，不得编造或者传播虚假、有害信息；不得攻击、侵入他人计算机和移动通讯网络系统。</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第四十八条</w:t>
      </w:r>
      <w:r>
        <w:rPr>
          <w:rFonts w:hint="eastAsia" w:ascii="方正仿宋_GBK" w:eastAsia="方正仿宋_GBK"/>
          <w:color w:val="auto"/>
          <w:sz w:val="32"/>
          <w:szCs w:val="32"/>
          <w:highlight w:val="none"/>
        </w:rPr>
        <w:t xml:space="preserve">  学校应当建立健全学生住宿管理制度。学生应当遵守学校关于学生住宿管理的规定。鼓励和支持学生通过制定公约，实施自我管理。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val="0"/>
          <w:color w:val="auto"/>
          <w:highlight w:val="none"/>
        </w:rPr>
      </w:pPr>
      <w:bookmarkStart w:id="442" w:name="_Toc14349"/>
      <w:bookmarkStart w:id="443" w:name="_Toc21638"/>
      <w:bookmarkStart w:id="444" w:name="_Toc15379235"/>
      <w:bookmarkStart w:id="445" w:name="_Toc541_WPSOffice_Level1"/>
      <w:r>
        <w:rPr>
          <w:rFonts w:hint="eastAsia" w:ascii="方正黑体_GBK" w:hAnsi="方正黑体_GBK" w:eastAsia="方正黑体_GBK" w:cs="方正黑体_GBK"/>
          <w:b/>
          <w:bCs w:val="0"/>
          <w:color w:val="auto"/>
          <w:highlight w:val="none"/>
        </w:rPr>
        <w:t>第五章  奖励与处分</w:t>
      </w:r>
      <w:bookmarkEnd w:id="442"/>
      <w:bookmarkEnd w:id="443"/>
      <w:bookmarkEnd w:id="444"/>
      <w:bookmarkEnd w:id="445"/>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第四十九条</w:t>
      </w:r>
      <w:r>
        <w:rPr>
          <w:rFonts w:hint="eastAsia" w:ascii="方正仿宋_GBK" w:eastAsia="方正仿宋_GBK"/>
          <w:color w:val="auto"/>
          <w:sz w:val="32"/>
          <w:szCs w:val="32"/>
          <w:highlight w:val="none"/>
        </w:rPr>
        <w:t xml:space="preserve">  学校、省（区、市）和国家有关部门应当对在德、智、体、美等方面全面发展或者在思想品德、学业成绩、科技创造、体育竞赛、文艺活动、志愿服务及社会实践等方面表现突出的学生，给予表彰和奖励。</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第五十条</w:t>
      </w:r>
      <w:r>
        <w:rPr>
          <w:rFonts w:hint="eastAsia" w:ascii="方正仿宋_GBK" w:eastAsia="方正仿宋_GBK"/>
          <w:color w:val="auto"/>
          <w:sz w:val="32"/>
          <w:szCs w:val="32"/>
          <w:highlight w:val="none"/>
        </w:rPr>
        <w:t xml:space="preserve">  对学生的表彰和奖励可以采取授予“三好学生”称号或者其他荣誉称号、颁发奖学金等多种形式，给予相应的精神鼓励或者物质奖励。</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学校对学生予以表彰和奖励，以及确定推荐免试研究生、国家奖学金、公派出国留学人选等赋予学生利益的行为，应当建立公开、公平、公正的程序和规定，建立和完善相应的选拔、公示等制度。</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第五十一条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对有违反法律法规、本规定以及学校纪律行为的学生，学校应当给予批评教育，并可视情节轻重，给予如下纪律处分：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46" w:name="_Toc9697_WPSOffice_Level2"/>
      <w:r>
        <w:rPr>
          <w:rFonts w:hint="eastAsia" w:ascii="方正仿宋_GBK" w:eastAsia="方正仿宋_GBK"/>
          <w:color w:val="auto"/>
          <w:sz w:val="32"/>
          <w:szCs w:val="32"/>
          <w:highlight w:val="none"/>
        </w:rPr>
        <w:t>（一）警告；</w:t>
      </w:r>
      <w:bookmarkEnd w:id="446"/>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47" w:name="_Toc26230_WPSOffice_Level2"/>
      <w:r>
        <w:rPr>
          <w:rFonts w:hint="eastAsia" w:ascii="方正仿宋_GBK" w:eastAsia="方正仿宋_GBK"/>
          <w:color w:val="auto"/>
          <w:sz w:val="32"/>
          <w:szCs w:val="32"/>
          <w:highlight w:val="none"/>
        </w:rPr>
        <w:t>（二）严重警告；</w:t>
      </w:r>
      <w:bookmarkEnd w:id="447"/>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48" w:name="_Toc7159_WPSOffice_Level2"/>
      <w:r>
        <w:rPr>
          <w:rFonts w:hint="eastAsia" w:ascii="方正仿宋_GBK" w:eastAsia="方正仿宋_GBK"/>
          <w:color w:val="auto"/>
          <w:sz w:val="32"/>
          <w:szCs w:val="32"/>
          <w:highlight w:val="none"/>
        </w:rPr>
        <w:t>（三）记过；</w:t>
      </w:r>
      <w:bookmarkEnd w:id="448"/>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49" w:name="_Toc7530_WPSOffice_Level2"/>
      <w:r>
        <w:rPr>
          <w:rFonts w:hint="eastAsia" w:ascii="方正仿宋_GBK" w:eastAsia="方正仿宋_GBK"/>
          <w:color w:val="auto"/>
          <w:sz w:val="32"/>
          <w:szCs w:val="32"/>
          <w:highlight w:val="none"/>
        </w:rPr>
        <w:t>（四）留校察看；</w:t>
      </w:r>
      <w:bookmarkEnd w:id="449"/>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0" w:name="_Toc23583_WPSOffice_Level2"/>
      <w:r>
        <w:rPr>
          <w:rFonts w:hint="eastAsia" w:ascii="方正仿宋_GBK" w:eastAsia="方正仿宋_GBK"/>
          <w:color w:val="auto"/>
          <w:sz w:val="32"/>
          <w:szCs w:val="32"/>
          <w:highlight w:val="none"/>
        </w:rPr>
        <w:t>（五）开除学籍。</w:t>
      </w:r>
      <w:bookmarkEnd w:id="450"/>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学生有下列情形之一，学校可以给予开除学籍处分：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（一）违反宪法，反对四项基本原则、破坏安定团结、扰乱社会秩序的；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（二）触犯国家法律，构成刑事犯罪的；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（三）受到治安管理处罚，情节严重、性质恶劣的；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（四）代替他人或者让他人代替自己参加考试、组织作弊、使用通讯设备或其他器材作弊、向他人出售考试试题或答案牟取利益，以及其他严重作弊或扰乱考试秩序行为的；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（五）学位论文、公开发表的研究成果存在抄袭、篡改、伪造等学术不端行为，情节严重的，或者代写论文、买卖论文的；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（六）违反本规定和学校规定，严重影响学校教育教学秩序、生活秩序以及公共场所管理秩序的；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（七）侵害其他个人、组织合法权益，造成严重后果的；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（八）屡次违反学校规定受到纪律处分，经教育不改的。</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第五十三条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 xml:space="preserve"> 学校对学生作出处分，应当出具处分决定书。处分决定书应当包括下列内容：</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1" w:name="_Toc7170_WPSOffice_Level2"/>
      <w:r>
        <w:rPr>
          <w:rFonts w:hint="eastAsia" w:ascii="方正仿宋_GBK" w:eastAsia="方正仿宋_GBK"/>
          <w:color w:val="auto"/>
          <w:sz w:val="32"/>
          <w:szCs w:val="32"/>
          <w:highlight w:val="none"/>
        </w:rPr>
        <w:t>（一）学生的基本信息；</w:t>
      </w:r>
      <w:bookmarkEnd w:id="451"/>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2" w:name="_Toc22726_WPSOffice_Level2"/>
      <w:r>
        <w:rPr>
          <w:rFonts w:hint="eastAsia" w:ascii="方正仿宋_GBK" w:eastAsia="方正仿宋_GBK"/>
          <w:color w:val="auto"/>
          <w:sz w:val="32"/>
          <w:szCs w:val="32"/>
          <w:highlight w:val="none"/>
        </w:rPr>
        <w:t>（二）作出处分的事实和证据；</w:t>
      </w:r>
      <w:bookmarkEnd w:id="452"/>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3" w:name="_Toc7141_WPSOffice_Level2"/>
      <w:r>
        <w:rPr>
          <w:rFonts w:hint="eastAsia" w:ascii="方正仿宋_GBK" w:eastAsia="方正仿宋_GBK"/>
          <w:color w:val="auto"/>
          <w:sz w:val="32"/>
          <w:szCs w:val="32"/>
          <w:highlight w:val="none"/>
        </w:rPr>
        <w:t>（三）处分的种类、依据、期限；</w:t>
      </w:r>
      <w:bookmarkEnd w:id="453"/>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4" w:name="_Toc23092_WPSOffice_Level2"/>
      <w:r>
        <w:rPr>
          <w:rFonts w:hint="eastAsia" w:ascii="方正仿宋_GBK" w:eastAsia="方正仿宋_GBK"/>
          <w:color w:val="auto"/>
          <w:sz w:val="32"/>
          <w:szCs w:val="32"/>
          <w:highlight w:val="none"/>
        </w:rPr>
        <w:t>（四）申诉的途径和期限；</w:t>
      </w:r>
      <w:bookmarkEnd w:id="454"/>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bookmarkStart w:id="455" w:name="_Toc27763_WPSOffice_Level2"/>
      <w:r>
        <w:rPr>
          <w:rFonts w:hint="eastAsia" w:ascii="方正仿宋_GBK" w:eastAsia="方正仿宋_GBK"/>
          <w:color w:val="auto"/>
          <w:sz w:val="32"/>
          <w:szCs w:val="32"/>
          <w:highlight w:val="none"/>
        </w:rPr>
        <w:t>（五）其他必要内容。</w:t>
      </w:r>
      <w:bookmarkEnd w:id="455"/>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第五十四条</w:t>
      </w:r>
      <w:r>
        <w:rPr>
          <w:rFonts w:hint="eastAsia" w:ascii="方正仿宋_GBK" w:eastAsia="方正仿宋_GBK"/>
          <w:color w:val="auto"/>
          <w:sz w:val="32"/>
          <w:szCs w:val="32"/>
          <w:highlight w:val="none"/>
        </w:rPr>
        <w:t xml:space="preserve">  学校给予学生处分，应当坚持教育与惩戒相结合，与学生违法、违纪行为的性质和过错的严重程度相适应。学校对学生的处分，应当做到证据充分、依据明确、定性准确、程序正当、处分适当。</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第五十五条</w:t>
      </w:r>
      <w:r>
        <w:rPr>
          <w:rFonts w:hint="eastAsia" w:ascii="方正仿宋_GBK" w:eastAsia="方正仿宋_GBK"/>
          <w:color w:val="auto"/>
          <w:sz w:val="32"/>
          <w:szCs w:val="32"/>
          <w:highlight w:val="none"/>
        </w:rPr>
        <w:t xml:space="preserve">  在对学生作出处分或者其他不利决定之前，学校应当告知学生作出决定的事实、理由及依据，并告知学生享有陈述和申辩的权利，听取学生的陈述和申辩。</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处理、处分决定以及处分告知书等，应当直接送达学生本人，学生拒绝签收的，可以以留置方式送达；已离校的，可以采取邮寄方式送达；难于联系的，可以利用学校网站、新闻媒体等以公告方式送达。</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第五十六条</w:t>
      </w:r>
      <w:r>
        <w:rPr>
          <w:rFonts w:hint="eastAsia" w:ascii="方正仿宋_GBK" w:eastAsia="方正仿宋_GBK"/>
          <w:color w:val="auto"/>
          <w:sz w:val="32"/>
          <w:szCs w:val="32"/>
          <w:highlight w:val="none"/>
        </w:rPr>
        <w:t xml:space="preserve">  对学生作出取消入学资格、取消学籍、退学、开除学籍或者其他涉及学生重大利益的处理或者处分决定的，应当提交校长办公会或者校长授权的专门会议研究决定，并应当事先进行合法性审查。</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第五十七条  </w:t>
      </w:r>
      <w:r>
        <w:rPr>
          <w:rFonts w:hint="eastAsia" w:ascii="方正仿宋_GBK" w:eastAsia="方正仿宋_GBK"/>
          <w:color w:val="auto"/>
          <w:sz w:val="32"/>
          <w:szCs w:val="32"/>
          <w:highlight w:val="none"/>
        </w:rPr>
        <w:t>除开除学籍处分以外，给予学生处分一般应当设置6到12个月期限，到期按学校规定程序予以解除。解除处分后，学生获得表彰、奖励及其他权益，不再受原处分的影响。</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第五十八条  </w:t>
      </w:r>
      <w:r>
        <w:rPr>
          <w:rFonts w:hint="eastAsia" w:ascii="方正仿宋_GBK" w:eastAsia="方正仿宋_GBK"/>
          <w:color w:val="auto"/>
          <w:sz w:val="32"/>
          <w:szCs w:val="32"/>
          <w:highlight w:val="none"/>
        </w:rPr>
        <w:t>对学生的奖励、处理、处分及解除处分材料，学校应当真实完整地归入学校文书档案和本人档案。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被开除学籍的学生，由学校发给学习证明。学生按学校规定期限离校，档案由学校退回其家庭所在地，户口应当按照国家相关规定迁回原户籍地或者家庭户籍所在地。</w:t>
      </w:r>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val="0"/>
          <w:color w:val="auto"/>
          <w:highlight w:val="none"/>
        </w:rPr>
      </w:pPr>
      <w:bookmarkStart w:id="456" w:name="_Toc32409"/>
      <w:bookmarkStart w:id="457" w:name="_Toc18378_WPSOffice_Level1"/>
      <w:bookmarkStart w:id="458" w:name="_Toc15379236"/>
      <w:bookmarkStart w:id="459" w:name="_Toc18520"/>
      <w:r>
        <w:rPr>
          <w:rFonts w:hint="eastAsia" w:ascii="方正黑体_GBK" w:hAnsi="方正黑体_GBK" w:eastAsia="方正黑体_GBK" w:cs="方正黑体_GBK"/>
          <w:b/>
          <w:bCs w:val="0"/>
          <w:color w:val="auto"/>
          <w:highlight w:val="none"/>
        </w:rPr>
        <w:t>第六章  学生申诉</w:t>
      </w:r>
      <w:bookmarkEnd w:id="456"/>
      <w:bookmarkEnd w:id="457"/>
      <w:bookmarkEnd w:id="458"/>
      <w:bookmarkEnd w:id="459"/>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第五十九条</w:t>
      </w:r>
      <w:r>
        <w:rPr>
          <w:rFonts w:hint="eastAsia" w:ascii="方正仿宋_GBK" w:eastAsia="方正仿宋_GBK"/>
          <w:color w:val="auto"/>
          <w:sz w:val="32"/>
          <w:szCs w:val="32"/>
          <w:highlight w:val="none"/>
        </w:rPr>
        <w:t xml:space="preserve">  学校应当成立学生申诉处理委员会，负责受理学生对处理或者处分决定不服提起的申诉。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学生申诉处理委员会应当由学校相关负责人、职能部门负责人、教师代表、学生代表、负责法律事务的相关机构负责人等组成，可以聘请校外法律、教育等方面专家参加。</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学校应当制定学生申诉的具体办法</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健全学生申诉处理委员会的组成与工作规则，提供必要条件，保证其能够客观、公正地履行职责。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第六十条</w:t>
      </w:r>
      <w:r>
        <w:rPr>
          <w:rFonts w:hint="eastAsia" w:ascii="方正仿宋_GBK" w:eastAsia="方正仿宋_GBK"/>
          <w:color w:val="auto"/>
          <w:sz w:val="32"/>
          <w:szCs w:val="32"/>
          <w:highlight w:val="none"/>
        </w:rPr>
        <w:t xml:space="preserve">  学生对学校的处理或者处分决定有异议的，可以在接到学校处理或者处分决定书之日起10日内，向学校学生申诉处理委员会提出书面申诉。</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第六十一条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生申诉处理委员会对学生提出的申诉进行复查，并在接到书面申诉之日起15日内作出复查结论并告知申诉人。情况复杂不能在规定限期内作出结论的，经学校负责人批准，可延长15日。学生申诉处理委员会认为必要的，可以建议学校暂缓执行有关决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学生申诉处理委员会经复查，认为做出处理或者处分的事实、依据、程序等存在不当，可以作出建议撤销或变更的复查意见，要求相关职能部门予以研究，重新提交校长办公会或者专门会议作出决定。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第六十二条 </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学生对复查决定有异议的，在接到学校复查决定书之日起15日内，可以向学校所在地省级教育行政部门提出书面申诉。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省级教育行政部门应当在接到学生书面申诉之日起30个工作日内，对申诉人的问题给予处理并作出决定。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第六十三条</w:t>
      </w:r>
      <w:r>
        <w:rPr>
          <w:rFonts w:hint="eastAsia" w:ascii="方正仿宋_GBK" w:eastAsia="方正仿宋_GBK"/>
          <w:color w:val="auto"/>
          <w:sz w:val="32"/>
          <w:szCs w:val="32"/>
          <w:highlight w:val="none"/>
        </w:rPr>
        <w:t xml:space="preserve">  省级教育行政部门在处理因对学校处理或者处分决定不服提起的学生申诉时，应当听取学生和学校的意见，并可根据需要进行必要的调查。根据审查结论，区别不同情况，分别作出下列处理：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 事实清楚、依据明确、定性准确、程序正当、处分适当的，予以维持；</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 认定事实不存在，或者学校超越职权、违反上位法规定作出决定的，责令学校予以撤销；</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 认定事实清楚，但认定情节有误、定性不准确，或者适用依据有错误的，责令学校变更或者重新作出决定；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(四) 认定事实不清、证据不足，或者违反本规定以及学校规定的程序和权限的，责令学校重新作出决定。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第六十四条 </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自处理、处分或者复查决定书送达之日起，学生在申诉期内未提出申诉的视为放弃申诉，学校或者省级教育行政部门不再受理其提出的申诉。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处理、处分或者复查决定书未告知学生申诉期限的，申诉期限自学生知道或者应当知道处理或者处分决定之日起计算，但最长不得超过6个月。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第六十五条</w:t>
      </w:r>
      <w:r>
        <w:rPr>
          <w:rFonts w:hint="eastAsia" w:ascii="方正仿宋_GBK" w:eastAsia="方正仿宋_GBK"/>
          <w:color w:val="auto"/>
          <w:sz w:val="32"/>
          <w:szCs w:val="32"/>
          <w:highlight w:val="none"/>
        </w:rPr>
        <w:t xml:space="preserve">  学生认为学校及其工作人员违反本规定，侵害其合法权益的；或者学校制定的规章制度与法律法规和本规定抵触的，可以向学校所在地省级教育行政部门投诉。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val="0"/>
          <w:color w:val="auto"/>
          <w:highlight w:val="none"/>
        </w:rPr>
      </w:pPr>
      <w:bookmarkStart w:id="460" w:name="_Toc13754_WPSOffice_Level1"/>
      <w:bookmarkStart w:id="461" w:name="_Toc17170"/>
      <w:bookmarkStart w:id="462" w:name="_Toc15303"/>
      <w:bookmarkStart w:id="463" w:name="_Toc15379237"/>
      <w:r>
        <w:rPr>
          <w:rFonts w:hint="eastAsia" w:ascii="方正黑体_GBK" w:hAnsi="方正黑体_GBK" w:eastAsia="方正黑体_GBK" w:cs="方正黑体_GBK"/>
          <w:b/>
          <w:bCs w:val="0"/>
          <w:color w:val="auto"/>
          <w:highlight w:val="none"/>
        </w:rPr>
        <w:t>第七章  附则</w:t>
      </w:r>
      <w:bookmarkEnd w:id="460"/>
      <w:bookmarkEnd w:id="461"/>
      <w:bookmarkEnd w:id="462"/>
      <w:bookmarkEnd w:id="463"/>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highlight w:val="none"/>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第六十六条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 xml:space="preserve"> 学校对接受高等学历继续教育的学生、港澳台侨学生、留学生的管理，参照本规定执行。</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第六十七条</w:t>
      </w:r>
      <w:r>
        <w:rPr>
          <w:rFonts w:hint="eastAsia" w:ascii="方正仿宋_GBK" w:eastAsia="方正仿宋_GBK"/>
          <w:color w:val="auto"/>
          <w:sz w:val="32"/>
          <w:szCs w:val="32"/>
          <w:highlight w:val="none"/>
        </w:rPr>
        <w:t xml:space="preserve">  学校应当根据本规定制定或修改学校的学生管理规定或者纪律处分规定，报主管教育行政部门备案（中央部委属校同时抄报所在地省级教育行政部门），并及时向学生公布。</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省级教育行政部门根据本规定，指导、检查和监督本地区高等学校的学生管理工作。</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仿宋_GBK" w:eastAsia="方正仿宋_GBK"/>
          <w:color w:val="auto"/>
          <w:sz w:val="32"/>
          <w:szCs w:val="32"/>
          <w:highlight w:val="none"/>
        </w:rPr>
      </w:pPr>
      <w:r>
        <w:rPr>
          <w:rFonts w:hint="eastAsia" w:ascii="方正楷体_GBK" w:eastAsia="方正楷体_GBK"/>
          <w:b/>
          <w:color w:val="auto"/>
          <w:sz w:val="32"/>
          <w:szCs w:val="32"/>
          <w:highlight w:val="none"/>
        </w:rPr>
        <w:t>第六十八条</w:t>
      </w:r>
      <w:r>
        <w:rPr>
          <w:rFonts w:hint="eastAsia" w:ascii="方正仿宋_GBK" w:eastAsia="方正仿宋_GBK"/>
          <w:color w:val="auto"/>
          <w:sz w:val="32"/>
          <w:szCs w:val="32"/>
          <w:highlight w:val="none"/>
        </w:rPr>
        <w:t xml:space="preserve"> 本规定自2017年9月1日起施行。原《普通高等学校学生管理规定》（教育部令第21号）同时废止。其他有关文件规定与本规定不一致的，以本规定为准。</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p>
    <w:p>
      <w:pPr>
        <w:pStyle w:val="2"/>
        <w:pageBreakBefore w:val="0"/>
        <w:kinsoku/>
        <w:wordWrap/>
        <w:overflowPunct/>
        <w:topLinePunct w:val="0"/>
        <w:autoSpaceDE/>
        <w:autoSpaceDN/>
        <w:bidi w:val="0"/>
        <w:spacing w:before="156" w:line="560" w:lineRule="exact"/>
        <w:ind w:firstLine="0" w:firstLineChars="0"/>
        <w:textAlignment w:val="auto"/>
        <w:rPr>
          <w:rFonts w:ascii="方正小标宋_GBK" w:hAnsi="方正小标宋_GBK" w:eastAsia="方正小标宋_GBK" w:cs="方正小标宋_GBK"/>
          <w:color w:val="auto"/>
          <w:highlight w:val="none"/>
        </w:rPr>
      </w:pPr>
      <w:bookmarkStart w:id="464" w:name="_Toc11551"/>
      <w:r>
        <w:rPr>
          <w:rFonts w:hint="eastAsia" w:ascii="方正小标宋_GBK" w:hAnsi="方正小标宋_GBK" w:eastAsia="方正小标宋_GBK" w:cs="方正小标宋_GBK"/>
          <w:color w:val="auto"/>
          <w:highlight w:val="none"/>
        </w:rPr>
        <w:t>学生伤害事故处理办法</w:t>
      </w:r>
      <w:bookmarkEnd w:id="464"/>
    </w:p>
    <w:p>
      <w:pPr>
        <w:pStyle w:val="21"/>
        <w:pageBreakBefore w:val="0"/>
        <w:widowControl/>
        <w:shd w:val="clear" w:color="auto" w:fill="FFFFFF"/>
        <w:kinsoku/>
        <w:wordWrap/>
        <w:overflowPunct/>
        <w:topLinePunct w:val="0"/>
        <w:autoSpaceDE/>
        <w:autoSpaceDN/>
        <w:bidi w:val="0"/>
        <w:spacing w:beforeAutospacing="0" w:afterAutospacing="0" w:line="560" w:lineRule="exact"/>
        <w:ind w:firstLine="0" w:firstLineChars="0"/>
        <w:jc w:val="center"/>
        <w:textAlignment w:val="auto"/>
        <w:rPr>
          <w:rFonts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shd w:val="clear" w:color="auto" w:fill="FFFFFF"/>
        </w:rPr>
        <w:t>（教育部令第12号）</w:t>
      </w:r>
    </w:p>
    <w:p>
      <w:pPr>
        <w:pStyle w:val="21"/>
        <w:pageBreakBefore w:val="0"/>
        <w:widowControl/>
        <w:shd w:val="clear" w:color="auto" w:fill="FFFFFF"/>
        <w:kinsoku/>
        <w:wordWrap/>
        <w:overflowPunct/>
        <w:topLinePunct w:val="0"/>
        <w:autoSpaceDE/>
        <w:autoSpaceDN/>
        <w:bidi w:val="0"/>
        <w:spacing w:beforeAutospacing="0" w:afterAutospacing="0" w:line="560" w:lineRule="exact"/>
        <w:ind w:firstLine="640"/>
        <w:jc w:val="center"/>
        <w:textAlignment w:val="auto"/>
        <w:rPr>
          <w:rFonts w:ascii="方正仿宋_GB2312" w:hAnsi="方正仿宋_GB2312" w:eastAsia="方正仿宋_GB2312" w:cs="方正仿宋_GB2312"/>
          <w:color w:val="auto"/>
          <w:sz w:val="32"/>
          <w:szCs w:val="32"/>
          <w:highlight w:val="none"/>
        </w:rPr>
      </w:pPr>
    </w:p>
    <w:p>
      <w:pPr>
        <w:pStyle w:val="21"/>
        <w:pageBreakBefore w:val="0"/>
        <w:widowControl/>
        <w:shd w:val="clear" w:color="auto" w:fill="FFFFFF"/>
        <w:kinsoku/>
        <w:wordWrap/>
        <w:overflowPunct/>
        <w:topLinePunct w:val="0"/>
        <w:autoSpaceDE/>
        <w:autoSpaceDN/>
        <w:bidi w:val="0"/>
        <w:spacing w:beforeAutospacing="0" w:afterAutospacing="0" w:line="560" w:lineRule="exact"/>
        <w:ind w:firstLine="640"/>
        <w:jc w:val="both"/>
        <w:textAlignment w:val="auto"/>
        <w:rPr>
          <w:rFonts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shd w:val="clear" w:color="auto" w:fill="FFFFFF"/>
        </w:rPr>
        <w:t>《学生伤害事故处理办法》已于2002年3月26日经部务会议讨论通过，现予发布，自2002年9月1日起施行。</w:t>
      </w:r>
    </w:p>
    <w:p>
      <w:pPr>
        <w:pStyle w:val="21"/>
        <w:pageBreakBefore w:val="0"/>
        <w:widowControl/>
        <w:shd w:val="clear" w:color="auto" w:fill="FFFFFF"/>
        <w:kinsoku/>
        <w:wordWrap/>
        <w:overflowPunct/>
        <w:topLinePunct w:val="0"/>
        <w:autoSpaceDE/>
        <w:autoSpaceDN/>
        <w:bidi w:val="0"/>
        <w:spacing w:beforeAutospacing="0" w:afterAutospacing="0" w:line="560" w:lineRule="exact"/>
        <w:ind w:firstLine="640"/>
        <w:jc w:val="right"/>
        <w:textAlignment w:val="auto"/>
        <w:rPr>
          <w:rFonts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shd w:val="clear" w:color="auto" w:fill="FFFFFF"/>
        </w:rPr>
        <w:t>部　长　　陈至立   </w:t>
      </w:r>
    </w:p>
    <w:p>
      <w:pPr>
        <w:pStyle w:val="21"/>
        <w:pageBreakBefore w:val="0"/>
        <w:widowControl/>
        <w:shd w:val="clear" w:color="auto" w:fill="FFFFFF"/>
        <w:kinsoku/>
        <w:wordWrap/>
        <w:overflowPunct/>
        <w:topLinePunct w:val="0"/>
        <w:autoSpaceDE/>
        <w:autoSpaceDN/>
        <w:bidi w:val="0"/>
        <w:spacing w:beforeAutospacing="0" w:afterAutospacing="0" w:line="560" w:lineRule="exact"/>
        <w:ind w:firstLine="640"/>
        <w:jc w:val="right"/>
        <w:textAlignment w:val="auto"/>
        <w:rPr>
          <w:rFonts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shd w:val="clear" w:color="auto" w:fill="FFFFFF"/>
        </w:rPr>
        <w:t>二○○二年六月二十五日 </w:t>
      </w:r>
    </w:p>
    <w:p>
      <w:pPr>
        <w:pageBreakBefore w:val="0"/>
        <w:kinsoku/>
        <w:wordWrap/>
        <w:overflowPunct/>
        <w:topLinePunct w:val="0"/>
        <w:autoSpaceDE/>
        <w:autoSpaceDN/>
        <w:bidi w:val="0"/>
        <w:spacing w:line="560" w:lineRule="exact"/>
        <w:jc w:val="right"/>
        <w:textAlignment w:val="auto"/>
        <w:rPr>
          <w:rFonts w:ascii="方正黑体_GBK" w:hAnsi="方正黑体_GBK" w:eastAsia="方正黑体_GBK" w:cs="方正黑体_GBK"/>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465" w:name="_Toc6991_WPSOffice_Level1"/>
      <w:bookmarkStart w:id="466" w:name="_Toc15379246"/>
      <w:r>
        <w:rPr>
          <w:rFonts w:hint="eastAsia" w:ascii="方正黑体_GBK" w:hAnsi="方正黑体_GBK" w:eastAsia="方正黑体_GBK" w:cs="方正黑体_GBK"/>
          <w:b/>
          <w:bCs w:val="0"/>
          <w:color w:val="auto"/>
          <w:highlight w:val="none"/>
        </w:rPr>
        <w:t>第一章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总则</w:t>
      </w:r>
      <w:bookmarkEnd w:id="465"/>
      <w:bookmarkEnd w:id="466"/>
    </w:p>
    <w:p>
      <w:pPr>
        <w:pStyle w:val="35"/>
        <w:pageBreakBefore w:val="0"/>
        <w:kinsoku/>
        <w:wordWrap/>
        <w:overflowPunct/>
        <w:topLinePunct w:val="0"/>
        <w:autoSpaceDE/>
        <w:autoSpaceDN/>
        <w:bidi w:val="0"/>
        <w:spacing w:line="560" w:lineRule="exact"/>
        <w:ind w:left="1320" w:firstLine="0" w:firstLineChars="0"/>
        <w:jc w:val="center"/>
        <w:textAlignment w:val="auto"/>
        <w:rPr>
          <w:rFonts w:ascii="方正黑体_GBK" w:hAnsi="方正黑体_GBK" w:eastAsia="方正黑体_GBK" w:cs="方正黑体_GBK"/>
          <w:b/>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第一条  </w:t>
      </w:r>
      <w:r>
        <w:rPr>
          <w:rFonts w:hint="eastAsia" w:ascii="方正仿宋_GBK" w:hAnsi="方正仿宋_GBK" w:eastAsia="方正仿宋_GBK" w:cs="方正仿宋_GBK"/>
          <w:color w:val="auto"/>
          <w:sz w:val="32"/>
          <w:szCs w:val="32"/>
          <w:highlight w:val="none"/>
        </w:rPr>
        <w:t>为积极预防、妥善处理在校学生伤害事故，保护学生、学校的合法权益，根据《中华人民共和国教育法》、《中华人民共和国未成年人保护法》和其他相关法律、行政法规及有关规定，制定本办法。</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第二条  </w:t>
      </w:r>
      <w:r>
        <w:rPr>
          <w:rFonts w:hint="eastAsia" w:ascii="方正仿宋_GBK" w:hAnsi="方正仿宋_GBK" w:eastAsia="方正仿宋_GBK" w:cs="方正仿宋_GBK"/>
          <w:color w:val="auto"/>
          <w:sz w:val="32"/>
          <w:szCs w:val="32"/>
          <w:highlight w:val="none"/>
        </w:rPr>
        <w:t>在学校实施的教育教学活动或者学校组织的校外活动中，以及在学校负有管理责任的校舍、场地、其他教育教学设施、生活设施内发生的，造成在校学生人身损害后果的事故的处理，适用本办法。</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第三条  </w:t>
      </w:r>
      <w:r>
        <w:rPr>
          <w:rFonts w:hint="eastAsia" w:ascii="方正仿宋_GBK" w:hAnsi="方正仿宋_GBK" w:eastAsia="方正仿宋_GBK" w:cs="方正仿宋_GBK"/>
          <w:color w:val="auto"/>
          <w:sz w:val="32"/>
          <w:szCs w:val="32"/>
          <w:highlight w:val="none"/>
        </w:rPr>
        <w:t>学生伤害事故应当遵循依法、客观公正、合理适当的原则，及时、妥善地处理。</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第四条  </w:t>
      </w:r>
      <w:r>
        <w:rPr>
          <w:rFonts w:hint="eastAsia" w:ascii="方正仿宋_GBK" w:hAnsi="方正仿宋_GBK" w:eastAsia="方正仿宋_GBK" w:cs="方正仿宋_GBK"/>
          <w:color w:val="auto"/>
          <w:sz w:val="32"/>
          <w:szCs w:val="32"/>
          <w:highlight w:val="none"/>
        </w:rPr>
        <w:t>学校的举办者应当提供符合安全标准的校舍、场地、其他教育教学设施和生活设施。</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教育行政部门应当加强学校安全工作，指导学校落实预防学生伤害事故的措施，指导、协助学校妥善处理学生伤害事故，维护学校正常的教育教学秩序。</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第五条  </w:t>
      </w:r>
      <w:r>
        <w:rPr>
          <w:rFonts w:hint="eastAsia" w:ascii="方正仿宋_GBK" w:hAnsi="方正仿宋_GBK" w:eastAsia="方正仿宋_GBK" w:cs="方正仿宋_GBK"/>
          <w:color w:val="auto"/>
          <w:sz w:val="32"/>
          <w:szCs w:val="32"/>
          <w:highlight w:val="none"/>
        </w:rPr>
        <w:t>学校应当对在校学生进行必要的安全教育和自护自救教育；应当按照规定，建立健全安全制度，采取相应的管理措施，预防和消除教育教学环境中存在的安全隐患；当发生伤害事故时，应当及时采取措施救助受伤害学生。</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学校对学生进行安全教育、管理和保护，应当针对学生年龄、认知能力和法律行为能力的不同，采用相应的内容和预防措施。</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第六条  </w:t>
      </w:r>
      <w:r>
        <w:rPr>
          <w:rFonts w:hint="eastAsia" w:ascii="方正仿宋_GBK" w:hAnsi="方正仿宋_GBK" w:eastAsia="方正仿宋_GBK" w:cs="方正仿宋_GBK"/>
          <w:color w:val="auto"/>
          <w:sz w:val="32"/>
          <w:szCs w:val="32"/>
          <w:highlight w:val="none"/>
        </w:rPr>
        <w:t>学生应当遵守学校的规章制度和纪律；在不同的受教育阶段，应当根据自身的年龄、认知能力和法律行为能力，避免和消除相应的危险。</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第七条</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未成年学生的父母或者其他监护人(以下称为监护人)应当依法履行监护职责，配合学校对学生进行安全教育、管理和保护工作。</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学校对未成年学生不承担监护职责，但法律有规定的或者学校依法接受委托承担相应监护职责的情形除外。</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467" w:name="_Toc18169_WPSOffice_Level1"/>
      <w:bookmarkStart w:id="468" w:name="_Toc15379247"/>
      <w:r>
        <w:rPr>
          <w:rFonts w:hint="eastAsia" w:ascii="方正黑体_GBK" w:hAnsi="方正黑体_GBK" w:eastAsia="方正黑体_GBK" w:cs="方正黑体_GBK"/>
          <w:b/>
          <w:bCs w:val="0"/>
          <w:color w:val="auto"/>
          <w:highlight w:val="none"/>
        </w:rPr>
        <w:t>第二章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事故与责任</w:t>
      </w:r>
      <w:bookmarkEnd w:id="467"/>
      <w:bookmarkEnd w:id="468"/>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第八条  </w:t>
      </w:r>
      <w:r>
        <w:rPr>
          <w:rFonts w:hint="eastAsia" w:ascii="方正仿宋_GBK" w:hAnsi="方正仿宋_GBK" w:eastAsia="方正仿宋_GBK" w:cs="方正仿宋_GBK"/>
          <w:color w:val="auto"/>
          <w:sz w:val="32"/>
          <w:szCs w:val="32"/>
          <w:highlight w:val="none"/>
        </w:rPr>
        <w:t>学生伤害事故的责任，应当根据相关当事人的行为与损害后果之间的因果关系依法确定。</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因学校、学生或者其他相关当事人的过错造成的学生伤害事故，相关当事人应当根据其行为过错程度的比例及其与损害后果之间的因果关系承担相应的责任。当事人的行为是损害后果发生的主要原因，应当承担主要责任；当事人的行为是损害后果发生的非主要原因，承担相应的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第九条  </w:t>
      </w:r>
      <w:r>
        <w:rPr>
          <w:rFonts w:hint="eastAsia" w:ascii="方正仿宋_GBK" w:hAnsi="方正仿宋_GBK" w:eastAsia="方正仿宋_GBK" w:cs="方正仿宋_GBK"/>
          <w:color w:val="auto"/>
          <w:sz w:val="32"/>
          <w:szCs w:val="32"/>
          <w:highlight w:val="none"/>
        </w:rPr>
        <w:t>因下列情形之一造成的学生伤害事故，学校应当依法承担相应的责任：</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(一)学校的校舍、场地、其他公共设施，以及学校提供给学生使用的学具、教育教学和生活设施、设备不符合国家规定的标准，或者有明显不安全因素的；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(二)学校的安全保卫、消防、设施设备管理等安全管理制度有明显疏漏，或者管理混乱，存在重大安全隐患，而未及时采取措施的；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(三)学校向学生提供的药品、食品、饮用水等不符合国家或者行业的有关标准、要求的；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(四)学校组织学生参加教育教学活动或者校外活动，未对学生进行相应的安全教育，并未在可预见的范围内采取必要的安全措施的；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(五)学校知道教师或者其他工作人员患有不适宜担任教育教学工作的疾病，但未采取必要措施的；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(六)学校违反有关规定，组织或者安排未成年学生从事不宜未成年人参加的劳动、体育运动或者其他活动的；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(七)学生有特异体质或者特定疾病，不宜参加某种教育教学活动，学校知道或者应当知道，但未予以必要的注意的；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(八)学生在校期间突发疾病或者受到伤害，学校发现，但未根据实际情况及时采取相应措施，导致不良后果加重的；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(九)学校教师或者其他工作人员体罚或者变相体罚学生，或者在履行职责过程中违反工作要求、操作规程、职业道德或者其他有关规定的；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(十)学校教师或者其他工作人员在负有组织、管理未成年学生的职责期间，发现学生行为具有危险性，但未进行必要的管理、告诫或者制止的；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一)对未成年学生擅自离校等与学生人身安全直接相关的信息，学校发现或者知道，但未及时告知未成年学生的监护人，导致未成年学生因脱离监护人的保护而发生伤害的；(十二)学校有未依法履行职责的其他情形的。</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第十条  </w:t>
      </w:r>
      <w:r>
        <w:rPr>
          <w:rFonts w:hint="eastAsia" w:ascii="方正仿宋_GBK" w:hAnsi="方正仿宋_GBK" w:eastAsia="方正仿宋_GBK" w:cs="方正仿宋_GBK"/>
          <w:color w:val="auto"/>
          <w:sz w:val="32"/>
          <w:szCs w:val="32"/>
          <w:highlight w:val="none"/>
        </w:rPr>
        <w:t>学生或者未成年学生监护人由于过错，有下列情形之一，造成学生伤害事故，应当依法承担相应的责任：</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(一)学生违反法律法规的规定，违反社会公共行为准则、学校的规章制度或者纪律，实施按其年龄和认知能力应当知道具有危险或者可能危及他人的行为的；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(二)学生行为具有危险性，学校、教师已经告诫、纠正，但学生不听劝阻、拒不改正的；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(三)学生或者其监护人知道学生有特异体质，或者患有特定疾病，但未告知学校的；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(四)未成年学生的身体状况、行为、情绪等有异常情况，监护人知道或者已被学校告知，但未履行相应监护职责的；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(五)学生或者未成年学生监护人有其他过错的。</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第十一条  </w:t>
      </w:r>
      <w:r>
        <w:rPr>
          <w:rFonts w:hint="eastAsia" w:ascii="方正仿宋_GBK" w:hAnsi="方正仿宋_GBK" w:eastAsia="方正仿宋_GBK" w:cs="方正仿宋_GBK"/>
          <w:color w:val="auto"/>
          <w:sz w:val="32"/>
          <w:szCs w:val="32"/>
          <w:highlight w:val="none"/>
        </w:rPr>
        <w:t>学校安排学生参加活动，因提供场地、设备、交通工具、食品及其他消费与服务的经营者，或者学校以外的活动组织者的过错造成的学生伤害事故，有过错的当事人应当依法承担相应的责任。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第十二条  </w:t>
      </w:r>
      <w:r>
        <w:rPr>
          <w:rFonts w:hint="eastAsia" w:ascii="方正仿宋_GBK" w:hAnsi="方正仿宋_GBK" w:eastAsia="方正仿宋_GBK" w:cs="方正仿宋_GBK"/>
          <w:color w:val="auto"/>
          <w:sz w:val="32"/>
          <w:szCs w:val="32"/>
          <w:highlight w:val="none"/>
        </w:rPr>
        <w:t>因下列情形之一造成的学生伤害事故，学校已履行了相应职责，行为并无不当的，无法律责任：</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(一)地震、雷击、台风、洪水等不可抗的自然因素造成的；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(二)来自学校外部的突发性、偶发性侵害造成的；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(三)学生有特异体质、特定疾病或者异常心理状态，学校不知道或者难于知道的；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(四)学生自杀、自伤的；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(五)在对抗性或者具有风险性的体育竞赛活动中发生意外伤害的；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(六)其他意外因素造成的。</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第十三条  </w:t>
      </w:r>
      <w:r>
        <w:rPr>
          <w:rFonts w:hint="eastAsia" w:ascii="方正仿宋_GBK" w:hAnsi="方正仿宋_GBK" w:eastAsia="方正仿宋_GBK" w:cs="方正仿宋_GBK"/>
          <w:color w:val="auto"/>
          <w:sz w:val="32"/>
          <w:szCs w:val="32"/>
          <w:highlight w:val="none"/>
        </w:rPr>
        <w:t>下列情形下发生的造成学生人身损害后果的事故，学校行为并无不当的，不承担事故责任；事故责任应当按有关法律法规或者其他有关规定认定：</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(一)在学生自行上学、放学、返校、离校途中发生的；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(二)在学生自行外出或者擅自离校期间发生的；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(三)在放学后、节假日或者假期等学校工作时间以外，学生自行滞留学校或者自行到校发生的；</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(四)其他在学校管理职责范围外发生的。</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第十四条  </w:t>
      </w:r>
      <w:r>
        <w:rPr>
          <w:rFonts w:hint="eastAsia" w:ascii="方正仿宋_GBK" w:hAnsi="方正仿宋_GBK" w:eastAsia="方正仿宋_GBK" w:cs="方正仿宋_GBK"/>
          <w:color w:val="auto"/>
          <w:sz w:val="32"/>
          <w:szCs w:val="32"/>
          <w:highlight w:val="none"/>
        </w:rPr>
        <w:t>因学校教师或者其他工作人员与其职务无关的个人行为，或者因学生、教师及其他个人故意实施的违法犯罪行为，造成学生人身损害的，由致害人依法承担相应的责任。</w:t>
      </w:r>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469" w:name="_Toc32624_WPSOffice_Level1"/>
      <w:bookmarkStart w:id="470" w:name="_Toc15379248"/>
      <w:r>
        <w:rPr>
          <w:rFonts w:hint="eastAsia" w:ascii="方正黑体_GBK" w:hAnsi="方正黑体_GBK" w:eastAsia="方正黑体_GBK" w:cs="方正黑体_GBK"/>
          <w:b/>
          <w:bCs w:val="0"/>
          <w:color w:val="auto"/>
          <w:highlight w:val="none"/>
        </w:rPr>
        <w:t>第三章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事故处理程序</w:t>
      </w:r>
      <w:bookmarkEnd w:id="469"/>
      <w:bookmarkEnd w:id="470"/>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第十五条  </w:t>
      </w:r>
      <w:r>
        <w:rPr>
          <w:rFonts w:hint="eastAsia" w:ascii="方正仿宋_GBK" w:hAnsi="方正仿宋_GBK" w:eastAsia="方正仿宋_GBK" w:cs="方正仿宋_GBK"/>
          <w:color w:val="auto"/>
          <w:sz w:val="32"/>
          <w:szCs w:val="32"/>
          <w:highlight w:val="none"/>
        </w:rPr>
        <w:t>发生学生伤害事故，学校应当及时救助受伤害学生，并应当及时告知未成年学生的监护人；有条件的，应当采取紧急救援等方式救助。</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第十六条  </w:t>
      </w:r>
      <w:r>
        <w:rPr>
          <w:rFonts w:hint="eastAsia" w:ascii="方正仿宋_GBK" w:hAnsi="方正仿宋_GBK" w:eastAsia="方正仿宋_GBK" w:cs="方正仿宋_GBK"/>
          <w:color w:val="auto"/>
          <w:sz w:val="32"/>
          <w:szCs w:val="32"/>
          <w:highlight w:val="none"/>
        </w:rPr>
        <w:t>发生学生伤害事故，情形严重的，学校应当及时向主管教育行政部门及有关部门报告；属于重大伤亡事故的，教育行政部门应当按照有关规定及时向同级人民政府和上一级教育行政部门报告。</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第十七条</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学校的主管教育行政部门应学校要求或者认为必要，可以指导、协助学校进行事故的处理工作，尽快恢复学校正常的教育教学秩序。</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第十八条  </w:t>
      </w:r>
      <w:r>
        <w:rPr>
          <w:rFonts w:hint="eastAsia" w:ascii="方正仿宋_GBK" w:hAnsi="方正仿宋_GBK" w:eastAsia="方正仿宋_GBK" w:cs="方正仿宋_GBK"/>
          <w:color w:val="auto"/>
          <w:sz w:val="32"/>
          <w:szCs w:val="32"/>
          <w:highlight w:val="none"/>
        </w:rPr>
        <w:t>发生学生伤害事故，学校与受伤害学生或者学生家长可以通过协商方式解决；双方自愿，可以书面请求主管教育行政部门进行调解。成年学生或者未成年学生的监护人也可以依法直接提起诉讼。</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第十九条  </w:t>
      </w:r>
      <w:r>
        <w:rPr>
          <w:rFonts w:hint="eastAsia" w:ascii="方正仿宋_GBK" w:hAnsi="方正仿宋_GBK" w:eastAsia="方正仿宋_GBK" w:cs="方正仿宋_GBK"/>
          <w:color w:val="auto"/>
          <w:sz w:val="32"/>
          <w:szCs w:val="32"/>
          <w:highlight w:val="none"/>
        </w:rPr>
        <w:t>教育行政部门收到调解申请，认为必要的，可以指定专门人员进行调解，并应当在受理申请之日起60日内完成调解。</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第二十条  </w:t>
      </w:r>
      <w:r>
        <w:rPr>
          <w:rFonts w:hint="eastAsia" w:ascii="方正仿宋_GBK" w:hAnsi="方正仿宋_GBK" w:eastAsia="方正仿宋_GBK" w:cs="方正仿宋_GBK"/>
          <w:color w:val="auto"/>
          <w:sz w:val="32"/>
          <w:szCs w:val="32"/>
          <w:highlight w:val="none"/>
        </w:rPr>
        <w:t>经教育行政部门调解，双方就事故处理达成一致意见的，应当在调解人员的见证下签订调解协议，结束调解；在调解期限内，双方不能达成一致意见，或者调解过程中一方提起诉讼，人民法院已经受理的，应当终止调解。调解结束或者终止，教育行政部门应当书面通知当事人。</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第二十一条  </w:t>
      </w:r>
      <w:r>
        <w:rPr>
          <w:rFonts w:hint="eastAsia" w:ascii="方正仿宋_GBK" w:hAnsi="方正仿宋_GBK" w:eastAsia="方正仿宋_GBK" w:cs="方正仿宋_GBK"/>
          <w:color w:val="auto"/>
          <w:sz w:val="32"/>
          <w:szCs w:val="32"/>
          <w:highlight w:val="none"/>
        </w:rPr>
        <w:t>对经调解达成的协议，一方当事人不履行或者反悔的，双方可以依法提起诉讼。</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第二十二条  </w:t>
      </w:r>
      <w:r>
        <w:rPr>
          <w:rFonts w:hint="eastAsia" w:ascii="方正仿宋_GBK" w:hAnsi="方正仿宋_GBK" w:eastAsia="方正仿宋_GBK" w:cs="方正仿宋_GBK"/>
          <w:color w:val="auto"/>
          <w:sz w:val="32"/>
          <w:szCs w:val="32"/>
          <w:highlight w:val="none"/>
        </w:rPr>
        <w:t>事故处理结束，学校应当将事故处理结果书面报告主管的教育行政部门；重大伤亡事故的处理结果，学校主管的教育行政部门应当向同级人民政府和上一级教育行政部门报告。</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471" w:name="_Toc3548_WPSOffice_Level1"/>
      <w:bookmarkStart w:id="472" w:name="_Toc15379249"/>
      <w:r>
        <w:rPr>
          <w:rFonts w:hint="eastAsia" w:ascii="方正黑体_GBK" w:hAnsi="方正黑体_GBK" w:eastAsia="方正黑体_GBK" w:cs="方正黑体_GBK"/>
          <w:b/>
          <w:bCs w:val="0"/>
          <w:color w:val="auto"/>
          <w:highlight w:val="none"/>
        </w:rPr>
        <w:t>第四章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事故损害的赔偿</w:t>
      </w:r>
      <w:bookmarkEnd w:id="471"/>
      <w:bookmarkEnd w:id="472"/>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第二十三条  </w:t>
      </w:r>
      <w:r>
        <w:rPr>
          <w:rFonts w:hint="eastAsia" w:ascii="方正仿宋_GBK" w:hAnsi="方正仿宋_GBK" w:eastAsia="方正仿宋_GBK" w:cs="方正仿宋_GBK"/>
          <w:color w:val="auto"/>
          <w:sz w:val="32"/>
          <w:szCs w:val="32"/>
          <w:highlight w:val="none"/>
        </w:rPr>
        <w:t>对发生学生伤害事故负有责任的组织或者个人，应当按照法律法规的有关规定，承担相应的损害赔偿责任。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第二十四条  </w:t>
      </w:r>
      <w:r>
        <w:rPr>
          <w:rFonts w:hint="eastAsia" w:ascii="方正仿宋_GBK" w:hAnsi="方正仿宋_GBK" w:eastAsia="方正仿宋_GBK" w:cs="方正仿宋_GBK"/>
          <w:color w:val="auto"/>
          <w:sz w:val="32"/>
          <w:szCs w:val="32"/>
          <w:highlight w:val="none"/>
        </w:rPr>
        <w:t>学生伤害事故赔偿的范围与标准，按照有关行政法规、地方性法规或者最高人民法院司法解释中的有关规定确定。</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教育行政部门进行调解时，认为学校有责任的，可以依照有关法律法规及国家有关规定，提出相应的调解方案。</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第二十五条  </w:t>
      </w:r>
      <w:r>
        <w:rPr>
          <w:rFonts w:hint="eastAsia" w:ascii="方正仿宋_GBK" w:hAnsi="方正仿宋_GBK" w:eastAsia="方正仿宋_GBK" w:cs="方正仿宋_GBK"/>
          <w:color w:val="auto"/>
          <w:sz w:val="32"/>
          <w:szCs w:val="32"/>
          <w:highlight w:val="none"/>
        </w:rPr>
        <w:t>对受伤害学生的伤残程度存在争议的，可以委托当地具有相应鉴定资格的医院或者有关机构，依据国家规定的人体伤残标准进行鉴定。</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第二十六条  </w:t>
      </w:r>
      <w:r>
        <w:rPr>
          <w:rFonts w:hint="eastAsia" w:ascii="方正仿宋_GBK" w:hAnsi="方正仿宋_GBK" w:eastAsia="方正仿宋_GBK" w:cs="方正仿宋_GBK"/>
          <w:color w:val="auto"/>
          <w:sz w:val="32"/>
          <w:szCs w:val="32"/>
          <w:highlight w:val="none"/>
        </w:rPr>
        <w:t>学校对学生伤害事故负有责任的，根据责任大小，适当予以经济赔偿，但不承担解决户口、住房、就业等与救助受伤害学生、赔偿相应经济损失无直接关系的其他事项。</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学校无责任的，如果有条件，可以根据实际情况，本着自愿和可能的原则，对受伤害学生给予适当的帮助。</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第二十七条  </w:t>
      </w:r>
      <w:r>
        <w:rPr>
          <w:rFonts w:hint="eastAsia" w:ascii="方正仿宋_GBK" w:hAnsi="方正仿宋_GBK" w:eastAsia="方正仿宋_GBK" w:cs="方正仿宋_GBK"/>
          <w:color w:val="auto"/>
          <w:sz w:val="32"/>
          <w:szCs w:val="32"/>
          <w:highlight w:val="none"/>
        </w:rPr>
        <w:t>因学校教师或者其他工作人员在履行职务中的故意或者重大过失造成的学生伤害事故，学校予以赔偿后，可以向有关责任人员追偿。</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第二十八条</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未成年学生对学生伤害事故负有责任的，由其监护人依法承担相应的赔偿责任。</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学生的行为侵害学校教师及其他工作人员以及其他组织、个人的合法权益，造成损失的，成年学生或者未成年学生的监护人应当依法予以赔偿。</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第二十九条  </w:t>
      </w:r>
      <w:r>
        <w:rPr>
          <w:rFonts w:hint="eastAsia" w:ascii="方正仿宋_GBK" w:hAnsi="方正仿宋_GBK" w:eastAsia="方正仿宋_GBK" w:cs="方正仿宋_GBK"/>
          <w:color w:val="auto"/>
          <w:sz w:val="32"/>
          <w:szCs w:val="32"/>
          <w:highlight w:val="none"/>
        </w:rPr>
        <w:t>根据双方达成的协议、经调解形成的协议或者人民法院的生效判决，应当由学校负担的赔偿金，学校应当负责筹措；学校无力完全筹措的，由学校的主管部门或者举办者协助筹措。</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第三十条  </w:t>
      </w:r>
      <w:r>
        <w:rPr>
          <w:rFonts w:hint="eastAsia" w:ascii="方正仿宋_GBK" w:hAnsi="方正仿宋_GBK" w:eastAsia="方正仿宋_GBK" w:cs="方正仿宋_GBK"/>
          <w:color w:val="auto"/>
          <w:sz w:val="32"/>
          <w:szCs w:val="32"/>
          <w:highlight w:val="none"/>
        </w:rPr>
        <w:t>县级以上人民政府教育行政部门或者学校举办者有条件的，可以通过设立学生伤害赔偿准备金等多种形式，依法筹措伤害赔偿金。</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第三十一条  </w:t>
      </w:r>
      <w:r>
        <w:rPr>
          <w:rFonts w:hint="eastAsia" w:ascii="方正仿宋_GBK" w:hAnsi="方正仿宋_GBK" w:eastAsia="方正仿宋_GBK" w:cs="方正仿宋_GBK"/>
          <w:color w:val="auto"/>
          <w:sz w:val="32"/>
          <w:szCs w:val="32"/>
          <w:highlight w:val="none"/>
        </w:rPr>
        <w:t>学校有条件的，应当依据保险法的有关规定，参加学校责任保险。</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教育行政部门可以根据实际情况，鼓励中小学参加学校责任保险。</w:t>
      </w:r>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提倡学生自愿参加意外伤害保险。在尊重学生意愿的前提下，学校可以为学生参加意外伤害保险创造便利条件，但不得从中收取任何费用。</w:t>
      </w:r>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bookmarkStart w:id="473" w:name="_Toc15379250"/>
      <w:bookmarkStart w:id="474" w:name="_Toc15507_WPSOffice_Level1"/>
      <w:r>
        <w:rPr>
          <w:rFonts w:hint="eastAsia" w:ascii="方正黑体_GBK" w:hAnsi="方正黑体_GBK" w:eastAsia="方正黑体_GBK" w:cs="方正黑体_GBK"/>
          <w:b/>
          <w:bCs w:val="0"/>
          <w:color w:val="auto"/>
          <w:highlight w:val="none"/>
        </w:rPr>
        <w:t>第五章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事故责任者的处理</w:t>
      </w:r>
      <w:bookmarkEnd w:id="473"/>
      <w:bookmarkEnd w:id="474"/>
    </w:p>
    <w:p>
      <w:pPr>
        <w:pageBreakBefore w:val="0"/>
        <w:kinsoku/>
        <w:wordWrap/>
        <w:overflowPunct/>
        <w:topLinePunct w:val="0"/>
        <w:autoSpaceDE/>
        <w:autoSpaceDN/>
        <w:bidi w:val="0"/>
        <w:spacing w:line="560" w:lineRule="exact"/>
        <w:ind w:firstLine="640" w:firstLineChars="200"/>
        <w:jc w:val="center"/>
        <w:textAlignment w:val="auto"/>
        <w:rPr>
          <w:rFonts w:ascii="方正黑体_GBK" w:hAnsi="方正黑体_GBK" w:eastAsia="方正黑体_GBK" w:cs="方正黑体_GBK"/>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第三十二条</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发生学生伤害事故，学校负有责任且情节严重的，教育行政部门应当根据有关规定，对学校的直接负责的主管人员和其他直接责任人员，分别给予相应的行政处分；有关责任人的行为触犯刑律的，应当移送司法机关依法追究刑事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第三十三条  </w:t>
      </w:r>
      <w:r>
        <w:rPr>
          <w:rFonts w:hint="eastAsia" w:ascii="方正仿宋_GBK" w:hAnsi="方正仿宋_GBK" w:eastAsia="方正仿宋_GBK" w:cs="方正仿宋_GBK"/>
          <w:color w:val="auto"/>
          <w:sz w:val="32"/>
          <w:szCs w:val="32"/>
          <w:highlight w:val="none"/>
        </w:rPr>
        <w:t>学校管理混乱，存在重大安全隐患的，主管的教育行政部门或者其他有关部门应当责令其限期整顿；对情节严重或者拒不改正的，应当依据法律法规的有关规定，给予相应的行政处罚。</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第三十四条  </w:t>
      </w:r>
      <w:r>
        <w:rPr>
          <w:rFonts w:hint="eastAsia" w:ascii="方正仿宋_GBK" w:hAnsi="方正仿宋_GBK" w:eastAsia="方正仿宋_GBK" w:cs="方正仿宋_GBK"/>
          <w:color w:val="auto"/>
          <w:sz w:val="32"/>
          <w:szCs w:val="32"/>
          <w:highlight w:val="none"/>
        </w:rPr>
        <w:t>教育行政部门未履行相应职责，对学生伤害事故的发生负有责任的，由有关部门对直接负责的主管人员和其他直接责任人员分别给予相应的行政处分；有关责任人的行为触犯刑律的，应当移送司法机关依法追究刑事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第三十五条  </w:t>
      </w:r>
      <w:r>
        <w:rPr>
          <w:rFonts w:hint="eastAsia" w:ascii="方正仿宋_GBK" w:hAnsi="方正仿宋_GBK" w:eastAsia="方正仿宋_GBK" w:cs="方正仿宋_GBK"/>
          <w:color w:val="auto"/>
          <w:sz w:val="32"/>
          <w:szCs w:val="32"/>
          <w:highlight w:val="none"/>
        </w:rPr>
        <w:t>违反学校纪律，对造成学生伤害事故负有责任的学生，学校可以给予相应的处分；触犯刑律的，由司法机关依法追究刑事责任。</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第三十六条  </w:t>
      </w:r>
      <w:r>
        <w:rPr>
          <w:rFonts w:hint="eastAsia" w:ascii="方正仿宋_GBK" w:hAnsi="方正仿宋_GBK" w:eastAsia="方正仿宋_GBK" w:cs="方正仿宋_GBK"/>
          <w:color w:val="auto"/>
          <w:sz w:val="32"/>
          <w:szCs w:val="32"/>
          <w:highlight w:val="none"/>
        </w:rPr>
        <w:t>受伤害学生的监护人、亲属或者其他有关人员，在事故处理过程中无理取闹，扰乱学校正常教育教学秩序，或者侵犯学校、学校教师或者其他工作人员的合法权益的，学校应当报告公安机关依法处理；造成损失的，可以依法要求赔偿。</w:t>
      </w:r>
    </w:p>
    <w:p>
      <w:pPr>
        <w:pStyle w:val="3"/>
        <w:pageBreakBefore w:val="0"/>
        <w:kinsoku/>
        <w:wordWrap/>
        <w:overflowPunct/>
        <w:topLinePunct w:val="0"/>
        <w:autoSpaceDE/>
        <w:autoSpaceDN/>
        <w:bidi w:val="0"/>
        <w:spacing w:line="560" w:lineRule="exact"/>
        <w:textAlignment w:val="auto"/>
        <w:rPr>
          <w:rFonts w:hint="eastAsia" w:ascii="方正黑体_GBK" w:hAnsi="方正黑体_GBK" w:eastAsia="方正黑体_GBK" w:cs="方正黑体_GBK"/>
          <w:b/>
          <w:bCs w:val="0"/>
          <w:color w:val="auto"/>
          <w:highlight w:val="none"/>
        </w:rPr>
      </w:pPr>
      <w:bookmarkStart w:id="475" w:name="_Toc15379251"/>
      <w:bookmarkStart w:id="476" w:name="_Toc24108_WPSOffice_Level1"/>
    </w:p>
    <w:p>
      <w:pPr>
        <w:pStyle w:val="3"/>
        <w:pageBreakBefore w:val="0"/>
        <w:kinsoku/>
        <w:wordWrap/>
        <w:overflowPunct/>
        <w:topLinePunct w:val="0"/>
        <w:autoSpaceDE/>
        <w:autoSpaceDN/>
        <w:bidi w:val="0"/>
        <w:spacing w:line="560" w:lineRule="exact"/>
        <w:textAlignment w:val="auto"/>
        <w:rPr>
          <w:rFonts w:ascii="方正黑体_GBK" w:hAnsi="方正黑体_GBK" w:eastAsia="方正黑体_GBK" w:cs="方正黑体_GBK"/>
          <w:b/>
          <w:bCs w:val="0"/>
          <w:color w:val="auto"/>
          <w:highlight w:val="none"/>
        </w:rPr>
      </w:pPr>
      <w:r>
        <w:rPr>
          <w:rFonts w:hint="eastAsia" w:ascii="方正黑体_GBK" w:hAnsi="方正黑体_GBK" w:eastAsia="方正黑体_GBK" w:cs="方正黑体_GBK"/>
          <w:b/>
          <w:bCs w:val="0"/>
          <w:color w:val="auto"/>
          <w:highlight w:val="none"/>
        </w:rPr>
        <w:t>第六章</w:t>
      </w:r>
      <w:r>
        <w:rPr>
          <w:rFonts w:hint="eastAsia" w:ascii="方正黑体_GBK" w:hAnsi="方正黑体_GBK" w:eastAsia="方正黑体_GBK" w:cs="方正黑体_GBK"/>
          <w:b/>
          <w:bCs w:val="0"/>
          <w:color w:val="auto"/>
          <w:highlight w:val="none"/>
          <w:lang w:val="en-US" w:eastAsia="zh-CN"/>
        </w:rPr>
        <w:t xml:space="preserve">  </w:t>
      </w:r>
      <w:r>
        <w:rPr>
          <w:rFonts w:hint="eastAsia" w:ascii="方正黑体_GBK" w:hAnsi="方正黑体_GBK" w:eastAsia="方正黑体_GBK" w:cs="方正黑体_GBK"/>
          <w:b/>
          <w:bCs w:val="0"/>
          <w:color w:val="auto"/>
          <w:highlight w:val="none"/>
        </w:rPr>
        <w:t>附则</w:t>
      </w:r>
      <w:bookmarkEnd w:id="475"/>
      <w:bookmarkEnd w:id="476"/>
    </w:p>
    <w:p>
      <w:pPr>
        <w:pageBreakBefore w:val="0"/>
        <w:kinsoku/>
        <w:wordWrap/>
        <w:overflowPunct/>
        <w:topLinePunct w:val="0"/>
        <w:autoSpaceDE/>
        <w:autoSpaceDN/>
        <w:bidi w:val="0"/>
        <w:spacing w:line="560" w:lineRule="exact"/>
        <w:ind w:firstLine="643" w:firstLineChars="200"/>
        <w:textAlignment w:val="auto"/>
        <w:rPr>
          <w:rFonts w:hint="eastAsia" w:ascii="方正楷体_GBK" w:hAnsi="方正楷体_GBK" w:eastAsia="方正楷体_GBK" w:cs="方正楷体_GBK"/>
          <w:b/>
          <w:bCs/>
          <w:color w:val="auto"/>
          <w:sz w:val="32"/>
          <w:szCs w:val="32"/>
          <w:highlight w:val="none"/>
        </w:rPr>
      </w:pP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第三十七条</w:t>
      </w:r>
      <w:r>
        <w:rPr>
          <w:rFonts w:hint="eastAsia" w:ascii="方正楷体_GBK" w:hAnsi="方正楷体_GBK" w:eastAsia="方正楷体_GBK" w:cs="方正楷体_GBK"/>
          <w:b/>
          <w:bCs/>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本办法所称学校，是指国家或者社会力量举办的全日制的中小学(含特殊教育学校)、各类中等职业学校、高等学校。本办法所称学生是指在上述学校中全日制就读的受教育者。</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第三十八条  </w:t>
      </w:r>
      <w:r>
        <w:rPr>
          <w:rFonts w:hint="eastAsia" w:ascii="方正仿宋_GBK" w:hAnsi="方正仿宋_GBK" w:eastAsia="方正仿宋_GBK" w:cs="方正仿宋_GBK"/>
          <w:color w:val="auto"/>
          <w:sz w:val="32"/>
          <w:szCs w:val="32"/>
          <w:highlight w:val="none"/>
        </w:rPr>
        <w:t>幼儿园发生的幼儿伤害事故，应当根据幼儿为完全无行为能力人的特点，参照本办法处理。</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bookmarkStart w:id="477" w:name="_Toc24989_WPSOffice_Level2"/>
      <w:r>
        <w:rPr>
          <w:rFonts w:hint="eastAsia" w:ascii="方正楷体_GBK" w:hAnsi="方正楷体_GBK" w:eastAsia="方正楷体_GBK" w:cs="方正楷体_GBK"/>
          <w:b/>
          <w:bCs/>
          <w:color w:val="auto"/>
          <w:sz w:val="32"/>
          <w:szCs w:val="32"/>
          <w:highlight w:val="none"/>
        </w:rPr>
        <w:t xml:space="preserve">第三十九条  </w:t>
      </w:r>
      <w:r>
        <w:rPr>
          <w:rFonts w:hint="eastAsia" w:ascii="方正仿宋_GBK" w:hAnsi="方正仿宋_GBK" w:eastAsia="方正仿宋_GBK" w:cs="方正仿宋_GBK"/>
          <w:color w:val="auto"/>
          <w:sz w:val="32"/>
          <w:szCs w:val="32"/>
          <w:highlight w:val="none"/>
        </w:rPr>
        <w:t>其他教育机构发生的学生伤害事故，参照本办法处理。</w:t>
      </w:r>
      <w:bookmarkEnd w:id="477"/>
    </w:p>
    <w:p>
      <w:pPr>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在学校注册的其他受教育者在学校管理范围内发生的伤害事故，参照本办法处理。</w:t>
      </w:r>
    </w:p>
    <w:p>
      <w:pPr>
        <w:pageBreakBefore w:val="0"/>
        <w:kinsoku/>
        <w:wordWrap/>
        <w:overflowPunct/>
        <w:topLinePunct w:val="0"/>
        <w:autoSpaceDE/>
        <w:autoSpaceDN/>
        <w:bidi w:val="0"/>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第四十条  </w:t>
      </w:r>
      <w:r>
        <w:rPr>
          <w:rFonts w:hint="eastAsia" w:ascii="方正仿宋_GBK" w:hAnsi="方正仿宋_GBK" w:eastAsia="方正仿宋_GBK" w:cs="方正仿宋_GBK"/>
          <w:color w:val="auto"/>
          <w:sz w:val="32"/>
          <w:szCs w:val="32"/>
          <w:highlight w:val="none"/>
        </w:rPr>
        <w:t>本办法自2002年9月1日起实施，原国家教委、教育部颁布的与学生人身安全事故处理有关的规定，与本办法不符的，以本办法为准。</w:t>
      </w:r>
    </w:p>
    <w:p>
      <w:pPr>
        <w:pageBreakBefore w:val="0"/>
        <w:kinsoku/>
        <w:wordWrap/>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在本办法实施之前已处理完毕的学生伤害事故不再重新处理</w:t>
      </w:r>
      <w:r>
        <w:rPr>
          <w:rFonts w:hint="eastAsia" w:ascii="方正仿宋_GBK" w:hAnsi="方正仿宋_GBK" w:eastAsia="方正仿宋_GBK" w:cs="方正仿宋_GBK"/>
          <w:color w:val="auto"/>
          <w:sz w:val="32"/>
          <w:szCs w:val="32"/>
          <w:highlight w:val="none"/>
          <w:lang w:eastAsia="zh-CN"/>
        </w:rPr>
        <w:t>。</w:t>
      </w:r>
    </w:p>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bookmarkStart w:id="478" w:name="_Toc15379252"/>
      <w:bookmarkStart w:id="479" w:name="_Toc8554"/>
      <w:bookmarkStart w:id="480" w:name="_Toc32021_WPSOffice_Level1"/>
    </w:p>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481" w:name="_Toc11266"/>
      <w:r>
        <w:rPr>
          <w:rFonts w:hint="eastAsia" w:ascii="方正小标宋_GBK" w:hAnsi="方正小标宋_GBK" w:eastAsia="方正小标宋_GBK" w:cs="方正小标宋_GBK"/>
          <w:color w:val="auto"/>
          <w:highlight w:val="none"/>
        </w:rPr>
        <w:t>中华人民共和国精神卫生法</w:t>
      </w:r>
      <w:bookmarkEnd w:id="478"/>
      <w:bookmarkEnd w:id="479"/>
      <w:bookmarkEnd w:id="480"/>
      <w:bookmarkEnd w:id="481"/>
    </w:p>
    <w:p>
      <w:pPr>
        <w:spacing w:line="560" w:lineRule="exact"/>
        <w:jc w:val="left"/>
        <w:rPr>
          <w:rFonts w:ascii="方正仿宋_GBK" w:hAnsi="方正仿宋_GBK" w:eastAsia="方正仿宋_GBK" w:cs="方正仿宋_GBK"/>
          <w:bCs/>
          <w:color w:val="auto"/>
          <w:sz w:val="32"/>
          <w:szCs w:val="32"/>
          <w:highlight w:val="none"/>
        </w:rPr>
      </w:pPr>
      <w:r>
        <w:rPr>
          <w:rFonts w:hint="eastAsia" w:ascii="方正黑体_GBK" w:hAnsi="方正黑体_GBK" w:eastAsia="方正黑体_GBK" w:cs="方正黑体_GBK"/>
          <w:b/>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 xml:space="preserve"> </w:t>
      </w:r>
    </w:p>
    <w:p>
      <w:pPr>
        <w:spacing w:line="560" w:lineRule="exact"/>
        <w:ind w:firstLine="640" w:firstLineChars="200"/>
        <w:jc w:val="left"/>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2012年10月26日第十一届全国人民代表大会常务委员会第二十九次会议通过　根据2018年4月27日第十三届全国人民代表大会常务委员会第二次会议《关于修改〈中华人民共和国国境卫生检疫法〉等六部法律的决定》修正</w:t>
      </w:r>
    </w:p>
    <w:p>
      <w:pPr>
        <w:spacing w:line="560" w:lineRule="exact"/>
        <w:ind w:firstLine="640" w:firstLineChars="200"/>
        <w:jc w:val="left"/>
        <w:rPr>
          <w:rFonts w:ascii="方正仿宋_GBK" w:hAnsi="方正仿宋_GBK" w:eastAsia="方正仿宋_GBK" w:cs="方正仿宋_GBK"/>
          <w:bCs/>
          <w:color w:val="auto"/>
          <w:sz w:val="32"/>
          <w:szCs w:val="32"/>
          <w:highlight w:val="none"/>
        </w:rPr>
      </w:pPr>
    </w:p>
    <w:p>
      <w:pPr>
        <w:pStyle w:val="3"/>
        <w:spacing w:line="560" w:lineRule="exact"/>
        <w:rPr>
          <w:b/>
          <w:bCs w:val="0"/>
          <w:color w:val="auto"/>
          <w:highlight w:val="none"/>
        </w:rPr>
      </w:pPr>
      <w:bookmarkStart w:id="482" w:name="_Toc19647"/>
      <w:bookmarkStart w:id="483" w:name="_Toc31104"/>
      <w:bookmarkStart w:id="484" w:name="_Toc11886_WPSOffice_Level1"/>
      <w:bookmarkStart w:id="485" w:name="_Toc15379253"/>
      <w:r>
        <w:rPr>
          <w:rFonts w:hint="eastAsia"/>
          <w:b/>
          <w:bCs w:val="0"/>
          <w:color w:val="auto"/>
          <w:highlight w:val="none"/>
        </w:rPr>
        <w:t>第一章  总则</w:t>
      </w:r>
      <w:bookmarkEnd w:id="482"/>
      <w:bookmarkEnd w:id="483"/>
      <w:bookmarkEnd w:id="484"/>
      <w:bookmarkEnd w:id="485"/>
    </w:p>
    <w:p>
      <w:pPr>
        <w:pStyle w:val="35"/>
        <w:spacing w:line="560" w:lineRule="exact"/>
        <w:ind w:left="1320" w:firstLine="0" w:firstLineChars="0"/>
        <w:rPr>
          <w:rFonts w:ascii="方正黑体_GBK" w:hAnsi="方正黑体_GBK" w:eastAsia="方正黑体_GBK" w:cs="方正黑体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 xml:space="preserve">　第一条  </w:t>
      </w:r>
      <w:r>
        <w:rPr>
          <w:rFonts w:hint="eastAsia" w:ascii="方正仿宋_GBK" w:hAnsi="方正仿宋_GBK" w:eastAsia="方正仿宋_GBK" w:cs="方正仿宋_GBK"/>
          <w:color w:val="auto"/>
          <w:sz w:val="32"/>
          <w:szCs w:val="32"/>
          <w:highlight w:val="none"/>
        </w:rPr>
        <w:t>为了发展精神卫生事业，规范精神卫生服务，维护精神障碍患者的合法权益，制定本法。</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在中华人民共和国境内开展维护和增进公民心理健康、预防和治疗精神障碍、促进精神障碍患者康复的活动，适用本法。</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精神卫生工作实行预防为主的方针，坚持预防、治疗和康复相结合的原则。</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color w:val="auto"/>
          <w:sz w:val="32"/>
          <w:szCs w:val="32"/>
          <w:highlight w:val="none"/>
        </w:rPr>
        <w:t>　</w:t>
      </w:r>
      <w:r>
        <w:rPr>
          <w:rFonts w:hint="eastAsia" w:ascii="方正楷体_GBK" w:hAnsi="方正楷体_GBK" w:eastAsia="方正楷体_GBK" w:cs="方正楷体_GBK"/>
          <w:b/>
          <w:color w:val="auto"/>
          <w:sz w:val="32"/>
          <w:szCs w:val="32"/>
          <w:highlight w:val="none"/>
        </w:rPr>
        <w:t>第四条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精神障碍患者的人格尊严、人身和财产安全不受侵犯。</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精神障碍患者的教育、劳动、医疗以及从国家和社会获得物质帮助等方面的合法权益受法律保护。</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有关单位和个人应当对精神障碍患者的姓名、肖像、住址、工作单位、病历资料以及其他可能推断出其身份的信息予以保密；但是，依法履行职责需要公开的除外。</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全社会应当尊重、理解、关爱精神障碍患者。</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任何组织或者个人不得歧视、侮辱、虐待精神障碍患者，不得非法限制精神障碍患者的人身自由。</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新闻报道和文学艺术作品等不得含有歧视、侮辱精神障碍患者的内容。</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精神卫生工作实行政府组织领导、部门各负其责、家庭和单位尽力尽责、全社会共同参与的综合管理机制。</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第七条</w:t>
      </w:r>
      <w:r>
        <w:rPr>
          <w:rFonts w:hint="eastAsia" w:ascii="方正仿宋_GBK" w:hAnsi="方正仿宋_GBK" w:eastAsia="方正仿宋_GBK" w:cs="方正仿宋_GBK"/>
          <w:color w:val="auto"/>
          <w:sz w:val="32"/>
          <w:szCs w:val="32"/>
          <w:highlight w:val="none"/>
        </w:rPr>
        <w:t xml:space="preserve">  县级以上人民政府领导精神卫生工作，将其纳入国民经济和社会发展规划，建设和完善精神障碍的预防、治疗和康复服务体系，建立健全精神卫生工作协调机制和工作责任制，对有关部门承担的精神卫生工作进行考核、监督。</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乡镇人民政府和街道办事处根据本地区的实际情况，组织开展预防精神障碍发生、促进精神障碍患者康复等工作。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第八条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国务院卫生行政部门主管全国的精神卫生工作。县级以上地方人民政府卫生行政部门主管本行政区域的精神卫生工作。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县级以上人民政府司法行政、民政、公安、教育、医疗保障等部门在各自职责范围内负责有关的精神卫生工作。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第九条</w:t>
      </w:r>
      <w:r>
        <w:rPr>
          <w:rFonts w:hint="eastAsia" w:ascii="方正仿宋_GBK" w:hAnsi="方正仿宋_GBK" w:eastAsia="方正仿宋_GBK" w:cs="方正仿宋_GBK"/>
          <w:color w:val="auto"/>
          <w:sz w:val="32"/>
          <w:szCs w:val="32"/>
          <w:highlight w:val="none"/>
        </w:rPr>
        <w:t xml:space="preserve">  精神障碍患者的监护人应当履行监护职责，维护精神障碍患者的合法权益。</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禁止对精神障碍患者实施家庭暴力，禁止遗弃精神障碍患者。</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第十条</w:t>
      </w:r>
      <w:r>
        <w:rPr>
          <w:rFonts w:hint="eastAsia" w:ascii="方正仿宋_GBK" w:hAnsi="方正仿宋_GBK" w:eastAsia="方正仿宋_GBK" w:cs="方正仿宋_GBK"/>
          <w:color w:val="auto"/>
          <w:sz w:val="32"/>
          <w:szCs w:val="32"/>
          <w:highlight w:val="none"/>
        </w:rPr>
        <w:t xml:space="preserve">  中国残疾人联合会及其地方组织依照法律、法规或者接受政府委托，动员社会力量，开展精神卫生工作。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村民委员会、居民委员会依照本法的规定开展精神卫生工作，并对所在地人民政府开展的精神卫生工作予以协助。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国家鼓励和支持工会、共产主义青年团、妇女联合会、红十字会、科学技术协会等团体依法开展精神卫生工作。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第十一条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国家鼓励和支持开展精神卫生专门人才的培养，维护精神卫生工作人员的合法权益，加强精神卫生专业队伍建设。</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国家鼓励和支持开展精神卫生科学技术研究，发展现代医学、我国传统医学、心理学，提高精神障碍预防、诊断、治疗、康复的科学技术水平。</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国家鼓励和支持开展精神卫生领域的国际交流与合作。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第十二条</w:t>
      </w:r>
      <w:r>
        <w:rPr>
          <w:rFonts w:hint="eastAsia" w:ascii="方正仿宋_GBK" w:hAnsi="方正仿宋_GBK" w:eastAsia="方正仿宋_GBK" w:cs="方正仿宋_GBK"/>
          <w:color w:val="auto"/>
          <w:sz w:val="32"/>
          <w:szCs w:val="32"/>
          <w:highlight w:val="none"/>
        </w:rPr>
        <w:t xml:space="preserve">  各级人民政府和县级以上人民政府有关部门应当采取措施，鼓励和支持组织、个人提供精神卫生志愿服务，捐助精神卫生事业，兴建精神卫生公益设施。</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对在精神卫生工作中作出突出贡献的组织、个人，按照国家有关规定给予表彰、奖励。</w:t>
      </w:r>
    </w:p>
    <w:p>
      <w:pPr>
        <w:spacing w:line="560" w:lineRule="exact"/>
        <w:rPr>
          <w:rFonts w:ascii="方正黑体_GBK" w:hAnsi="方正黑体_GBK" w:eastAsia="方正黑体_GBK" w:cs="方正黑体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r>
        <w:rPr>
          <w:rFonts w:hint="eastAsia" w:ascii="方正黑体_GBK" w:hAnsi="方正黑体_GBK" w:eastAsia="方正黑体_GBK" w:cs="方正黑体_GBK"/>
          <w:color w:val="auto"/>
          <w:sz w:val="32"/>
          <w:szCs w:val="32"/>
          <w:highlight w:val="none"/>
        </w:rPr>
        <w:t>　</w:t>
      </w:r>
    </w:p>
    <w:p>
      <w:pPr>
        <w:pStyle w:val="3"/>
        <w:spacing w:line="560" w:lineRule="exact"/>
        <w:rPr>
          <w:b/>
          <w:bCs w:val="0"/>
          <w:color w:val="auto"/>
          <w:highlight w:val="none"/>
        </w:rPr>
      </w:pPr>
      <w:bookmarkStart w:id="486" w:name="_Toc15379254"/>
      <w:bookmarkStart w:id="487" w:name="_Toc8852"/>
      <w:bookmarkStart w:id="488" w:name="_Toc861"/>
      <w:bookmarkStart w:id="489" w:name="_Toc25754_WPSOffice_Level1"/>
      <w:r>
        <w:rPr>
          <w:rFonts w:hint="eastAsia"/>
          <w:b/>
          <w:bCs w:val="0"/>
          <w:color w:val="auto"/>
          <w:highlight w:val="none"/>
        </w:rPr>
        <w:t>第二章  心理健康促进和精神障碍预防</w:t>
      </w:r>
      <w:bookmarkEnd w:id="486"/>
      <w:bookmarkEnd w:id="487"/>
      <w:bookmarkEnd w:id="488"/>
      <w:bookmarkEnd w:id="489"/>
    </w:p>
    <w:p>
      <w:pPr>
        <w:pStyle w:val="35"/>
        <w:spacing w:line="560" w:lineRule="exact"/>
        <w:ind w:left="1320" w:firstLine="0" w:firstLineChars="0"/>
        <w:rPr>
          <w:rFonts w:ascii="方正黑体_GBK" w:hAnsi="方正黑体_GBK" w:eastAsia="方正黑体_GBK" w:cs="方正黑体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第十三条</w:t>
      </w:r>
      <w:r>
        <w:rPr>
          <w:rFonts w:hint="eastAsia" w:ascii="方正仿宋_GBK" w:hAnsi="方正仿宋_GBK" w:eastAsia="方正仿宋_GBK" w:cs="方正仿宋_GBK"/>
          <w:color w:val="auto"/>
          <w:sz w:val="32"/>
          <w:szCs w:val="32"/>
          <w:highlight w:val="none"/>
        </w:rPr>
        <w:t xml:space="preserve">  各级人民政府和县级以上人民政府有关部门应当采取措施，加强心理健康促进和精神障碍预防工作，提高公众心理健康水平。</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第十四条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各级人民政府和县级以上人民政府有关部门制定的突发事件应急预案，应当包括心理援助的内容。发生突发事件，履行统一领导职责或者组织处置突发事件的人民政府应当根据突发事件的具体情况，按照应急预案的规定，组织开展心理援助工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第十五条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用人单位应当创造有益于职工身心健康的工作环境，关注职工的心理健康；对处于职业发展特定时期或者在特殊岗位工作的职工，应当有针对性地开展心理健康教育。</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b/>
          <w:color w:val="auto"/>
          <w:sz w:val="32"/>
          <w:szCs w:val="32"/>
          <w:highlight w:val="none"/>
        </w:rPr>
        <w:t xml:space="preserve">  </w:t>
      </w:r>
      <w:r>
        <w:rPr>
          <w:rFonts w:hint="eastAsia" w:ascii="方正楷体_GBK" w:hAnsi="方正楷体_GBK" w:eastAsia="方正楷体_GBK" w:cs="方正楷体_GBK"/>
          <w:b/>
          <w:color w:val="auto"/>
          <w:sz w:val="32"/>
          <w:szCs w:val="32"/>
          <w:highlight w:val="none"/>
        </w:rPr>
        <w:t>第十六条</w:t>
      </w:r>
      <w:r>
        <w:rPr>
          <w:rFonts w:hint="eastAsia" w:ascii="方正仿宋_GBK" w:hAnsi="方正仿宋_GBK" w:eastAsia="方正仿宋_GBK" w:cs="方正仿宋_GBK"/>
          <w:color w:val="auto"/>
          <w:sz w:val="32"/>
          <w:szCs w:val="32"/>
          <w:highlight w:val="none"/>
        </w:rPr>
        <w:t xml:space="preserve">  各级各类学校应当对学生进行精神卫生知识教育；配备或者聘请心理健康教育教师、辅导人员，并可以设立心理健康辅导室，对学生进行心理健康教育。学前教育机构应当对幼儿开展符合其特点的心理健康教育。</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发生自然灾害、意外伤害、公共安全事件等可能影响学生心理健康的事件，学校应当及时组织专业人员对学生进行心理援助。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教师应当学习和了解相关的精神卫生知识，关注学生心理健康状况，正确引导、激励学生。地方各级人民政府教育行政部门和学校应当重视教师心理健康。</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学校和教师应当与学生父母或者其他监护人、近亲属沟通学生心理健康情况。</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第十七条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医务人员开展疾病诊疗服务，应当按照诊断标准和治疗规范的要求，对就诊者进行心理健康指导；发现就诊者可能患有精神障碍的，应当建议其到符合本法规定的医疗机构就诊。</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第十八条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监狱、看守所、拘留所、强制隔离戒毒所等场所，应当对服刑人员，被依法拘留、逮捕、强制隔离戒毒的人员等，开展精神卫生知识宣传，关注其心理健康状况，必要时提供心理咨询和心理辅导。</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b/>
          <w:color w:val="auto"/>
          <w:sz w:val="32"/>
          <w:szCs w:val="32"/>
          <w:highlight w:val="none"/>
        </w:rPr>
        <w:t xml:space="preserve"> </w:t>
      </w:r>
      <w:r>
        <w:rPr>
          <w:rFonts w:hint="eastAsia" w:ascii="方正楷体_GBK" w:hAnsi="方正楷体_GBK" w:eastAsia="方正楷体_GBK" w:cs="方正楷体_GBK"/>
          <w:b/>
          <w:color w:val="auto"/>
          <w:sz w:val="32"/>
          <w:szCs w:val="32"/>
          <w:highlight w:val="none"/>
        </w:rPr>
        <w:t xml:space="preserve"> 第十九条</w:t>
      </w:r>
      <w:r>
        <w:rPr>
          <w:rFonts w:hint="eastAsia" w:ascii="方正仿宋_GBK" w:hAnsi="方正仿宋_GBK" w:eastAsia="方正仿宋_GBK" w:cs="方正仿宋_GBK"/>
          <w:color w:val="auto"/>
          <w:sz w:val="32"/>
          <w:szCs w:val="32"/>
          <w:highlight w:val="none"/>
        </w:rPr>
        <w:t xml:space="preserve">  县级以上地方人民政府人力资源社会保障、教育、卫生、司法行政、公安等部门应当在各自职责范围内分别对本法第十五条至第十八条规定的单位履行精神障碍预防义务的情况进行督促和指导。</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第二十条</w:t>
      </w:r>
      <w:r>
        <w:rPr>
          <w:rFonts w:hint="eastAsia" w:ascii="方正仿宋_GBK" w:hAnsi="方正仿宋_GBK" w:eastAsia="方正仿宋_GBK" w:cs="方正仿宋_GBK"/>
          <w:color w:val="auto"/>
          <w:sz w:val="32"/>
          <w:szCs w:val="32"/>
          <w:highlight w:val="none"/>
        </w:rPr>
        <w:t xml:space="preserve">  村民委员会、居民委员会应当协助所在地人民政府及其有关部门开展社区心理健康指导、精神卫生知识宣传教育活动，创建有益于居民身心健康的社区环境。</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乡镇卫生院或者社区卫生服务机构应当为村民委员会、居民委员会开展社区心理健康指导、精神卫生知识宣传教育活动提供技术指导。</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第二十一条</w:t>
      </w:r>
      <w:r>
        <w:rPr>
          <w:rFonts w:hint="eastAsia" w:ascii="方正仿宋_GBK" w:hAnsi="方正仿宋_GBK" w:eastAsia="方正仿宋_GBK" w:cs="方正仿宋_GBK"/>
          <w:color w:val="auto"/>
          <w:sz w:val="32"/>
          <w:szCs w:val="32"/>
          <w:highlight w:val="none"/>
        </w:rPr>
        <w:t xml:space="preserve">  家庭成员之间应当相互关爱，创造良好、和睦的家庭环境，提高精神障碍预防意识；发现家庭成员可能患有精神障碍的，应当帮助其及时就诊，照顾其生活，做好看护管理。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第二十二条</w:t>
      </w:r>
      <w:r>
        <w:rPr>
          <w:rFonts w:hint="eastAsia" w:ascii="方正仿宋_GBK" w:hAnsi="方正仿宋_GBK" w:eastAsia="方正仿宋_GBK" w:cs="方正仿宋_GBK"/>
          <w:color w:val="auto"/>
          <w:sz w:val="32"/>
          <w:szCs w:val="32"/>
          <w:highlight w:val="none"/>
        </w:rPr>
        <w:t xml:space="preserve">  国家鼓励和支持新闻媒体、社会组织开展精神卫生的公益性宣传，普及精神卫生知识，引导公众关注心理健康，预防精神障碍的发生。</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第二十三条</w:t>
      </w:r>
      <w:r>
        <w:rPr>
          <w:rFonts w:hint="eastAsia" w:ascii="方正仿宋_GBK" w:hAnsi="方正仿宋_GBK" w:eastAsia="方正仿宋_GBK" w:cs="方正仿宋_GBK"/>
          <w:color w:val="auto"/>
          <w:sz w:val="32"/>
          <w:szCs w:val="32"/>
          <w:highlight w:val="none"/>
        </w:rPr>
        <w:t xml:space="preserve">  心理咨询人员应当提高业务素质，遵守执业规范，为社会公众提供专业化的心理咨询服务。</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心理咨询人员不得从事心理治疗或者精神障碍的诊断、治疗。</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心理咨询人员发现接受咨询的人员可能患有精神障碍的，应当建议其到符合本法规定的医疗机构就诊。</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心理咨询人员应当尊重接受咨询人员的隐私，并为其保守秘密。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第二十四条</w:t>
      </w:r>
      <w:r>
        <w:rPr>
          <w:rFonts w:hint="eastAsia" w:ascii="方正仿宋_GBK" w:hAnsi="方正仿宋_GBK" w:eastAsia="方正仿宋_GBK" w:cs="方正仿宋_GBK"/>
          <w:color w:val="auto"/>
          <w:sz w:val="32"/>
          <w:szCs w:val="32"/>
          <w:highlight w:val="none"/>
        </w:rPr>
        <w:t xml:space="preserve">  国务院卫生行政部门建立精神卫生监测网络，实行严重精神障碍发病报告制度，组织开展精神障碍发生状况、发展趋势等的监测和专题调查工作。精神卫生监测和严重精神障碍发病报告管理办法，由国务院卫生行政部门制定。</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国务院卫生行政部门应当会同有关部门、组织，建立精神卫生工作信息共享机制，实现信息互联互通、交流共享。</w:t>
      </w:r>
    </w:p>
    <w:p>
      <w:pPr>
        <w:spacing w:line="560" w:lineRule="exact"/>
        <w:rPr>
          <w:rFonts w:ascii="方正仿宋_GBK" w:hAnsi="方正仿宋_GBK" w:eastAsia="方正仿宋_GBK" w:cs="方正仿宋_GBK"/>
          <w:color w:val="auto"/>
          <w:sz w:val="32"/>
          <w:szCs w:val="32"/>
          <w:highlight w:val="none"/>
        </w:rPr>
      </w:pPr>
    </w:p>
    <w:p>
      <w:pPr>
        <w:pStyle w:val="3"/>
        <w:spacing w:line="560" w:lineRule="exact"/>
        <w:rPr>
          <w:b/>
          <w:bCs w:val="0"/>
          <w:color w:val="auto"/>
          <w:highlight w:val="none"/>
        </w:rPr>
      </w:pPr>
      <w:bookmarkStart w:id="490" w:name="_Toc4296"/>
      <w:bookmarkStart w:id="491" w:name="_Toc17946_WPSOffice_Level1"/>
      <w:bookmarkStart w:id="492" w:name="_Toc2889"/>
      <w:bookmarkStart w:id="493" w:name="_Toc15379255"/>
      <w:r>
        <w:rPr>
          <w:rFonts w:hint="eastAsia"/>
          <w:b/>
          <w:bCs w:val="0"/>
          <w:color w:val="auto"/>
          <w:highlight w:val="none"/>
        </w:rPr>
        <w:t>第三章　精神障碍的诊断和治疗</w:t>
      </w:r>
      <w:bookmarkEnd w:id="490"/>
      <w:bookmarkEnd w:id="491"/>
      <w:bookmarkEnd w:id="492"/>
      <w:bookmarkEnd w:id="493"/>
    </w:p>
    <w:p>
      <w:pPr>
        <w:spacing w:line="560" w:lineRule="exact"/>
        <w:rPr>
          <w:rFonts w:ascii="方正仿宋_GBK" w:hAnsi="方正仿宋_GBK" w:eastAsia="方正仿宋_GBK" w:cs="方正仿宋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第二十五条</w:t>
      </w:r>
      <w:r>
        <w:rPr>
          <w:rFonts w:hint="eastAsia" w:ascii="方正仿宋_GBK" w:hAnsi="方正仿宋_GBK" w:eastAsia="方正仿宋_GBK" w:cs="方正仿宋_GBK"/>
          <w:color w:val="auto"/>
          <w:sz w:val="32"/>
          <w:szCs w:val="32"/>
          <w:highlight w:val="none"/>
        </w:rPr>
        <w:t xml:space="preserve">  开展精神障碍诊断、治疗活动，应当具备下列条件，并依照医疗机构的管理规定办理有关手续：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（一）有与从事的精神障碍诊断、治疗相适应的精神科执业医师、护士；</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（二）有满足开展精神障碍诊断、治疗需要的设施和设备；</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（三）有完善的精神障碍诊断、治疗管理制度和质量监控制度。</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从事精神障碍诊断、治疗的专科医疗机构还应当配备从事心理治疗的人员。</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 xml:space="preserve">第二十六条 </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精神障碍的诊断、治疗，应当遵循维护患者合法权益、尊重患者人格尊严的原则，保障患者在现有条件下获得良好的精神卫生服务。</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精神障碍分类、诊断标准和治疗规范，由国务院卫生行政部门组织制定。</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第二十七条</w:t>
      </w:r>
      <w:r>
        <w:rPr>
          <w:rFonts w:hint="eastAsia" w:ascii="方正仿宋_GBK" w:hAnsi="方正仿宋_GBK" w:eastAsia="方正仿宋_GBK" w:cs="方正仿宋_GBK"/>
          <w:color w:val="auto"/>
          <w:sz w:val="32"/>
          <w:szCs w:val="32"/>
          <w:highlight w:val="none"/>
        </w:rPr>
        <w:t xml:space="preserve">  精神障碍的诊断应当以精神健康状况为依据。</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除法律另有规定外，不得违背本人意志进行确定其是否患有精神障碍的医学检查。</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第二十八条</w:t>
      </w:r>
      <w:r>
        <w:rPr>
          <w:rFonts w:hint="eastAsia" w:ascii="方正仿宋_GBK" w:hAnsi="方正仿宋_GBK" w:eastAsia="方正仿宋_GBK" w:cs="方正仿宋_GBK"/>
          <w:color w:val="auto"/>
          <w:sz w:val="32"/>
          <w:szCs w:val="32"/>
          <w:highlight w:val="none"/>
        </w:rPr>
        <w:t xml:space="preserve">  除个人自行到医疗机构进行精神障碍诊断外，疑似精神障碍患者的近亲属可以将其送往医疗机构进行精神障碍诊断。对查找不到近亲属的流浪乞讨疑似精神障碍患者，由当地民政等有关部门按照职责分工，帮助送往医疗机构进行精神障碍诊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疑似精神障碍患者发生伤害自身、危害他人安全的行为，或者有伤害自身、危害他人安全的危险的，其近亲属、所在单位、当地公安机关应当立即采取措施予以制止，并将其送往医疗机构进行精神障碍诊断。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医疗机构接到送诊的疑似精神障碍患者，不得拒绝为其作出诊断。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第二十九条</w:t>
      </w:r>
      <w:r>
        <w:rPr>
          <w:rFonts w:hint="eastAsia" w:ascii="方正仿宋_GBK" w:hAnsi="方正仿宋_GBK" w:eastAsia="方正仿宋_GBK" w:cs="方正仿宋_GBK"/>
          <w:color w:val="auto"/>
          <w:sz w:val="32"/>
          <w:szCs w:val="32"/>
          <w:highlight w:val="none"/>
        </w:rPr>
        <w:t xml:space="preserve">  精神障碍的诊断应当由精神科执业医师作出。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医疗机构接到依照本法第二十八条第二款规定送诊的疑似精神障碍患者，应当将其留院，立即指派精神科执业医师进行诊断，并及时出具诊断结论。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第三十条</w:t>
      </w:r>
      <w:r>
        <w:rPr>
          <w:rFonts w:hint="eastAsia" w:ascii="方正仿宋_GBK" w:hAnsi="方正仿宋_GBK" w:eastAsia="方正仿宋_GBK" w:cs="方正仿宋_GBK"/>
          <w:color w:val="auto"/>
          <w:sz w:val="32"/>
          <w:szCs w:val="32"/>
          <w:highlight w:val="none"/>
        </w:rPr>
        <w:t xml:space="preserve">  精神障碍的住院治疗实行自愿原则。</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诊断结论、病情评估表明，就诊者为严重精神障碍患者并有下列情形之一的，应当对其实施住院治疗：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（一）已经发生伤害自身的行为，或者有伤害自身的危险的；</w:t>
      </w: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（二）已经发生危害他人安全的行为，或者有危害他人安全的危险的。　</w:t>
      </w: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第三十一条</w:t>
      </w:r>
      <w:r>
        <w:rPr>
          <w:rFonts w:hint="eastAsia" w:ascii="方正仿宋_GBK" w:hAnsi="方正仿宋_GBK" w:eastAsia="方正仿宋_GBK" w:cs="方正仿宋_GBK"/>
          <w:color w:val="auto"/>
          <w:sz w:val="32"/>
          <w:szCs w:val="32"/>
          <w:highlight w:val="none"/>
        </w:rPr>
        <w:t xml:space="preserve">  精神障碍患者有本法第三十条第二款第一项情形的，经其监护人同意，医疗机构应当对患者实施住院治疗；监护人不同意的，医疗机构不得对患者实施住院治疗。监护人应当对在家居住的患者做好看护管理。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第三十二条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精神障碍患者有本法第三十条第二款第二项情形，患者或者其监护人对需要住院治疗的诊断结论有异议，不同意对患者实施住院治疗的，可以要求再次诊断和鉴定。</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依照前款规定要求再次诊断的，应当自收到诊断结论之日起三日内向原医疗机构或者其他具有合法资质的医疗机构提出。承担再次诊断的医疗机构应当在接到再次诊断要求后指派二名初次诊断医师以外的精神科执业医师进行再次诊断，并及时出具再次诊断结论。承担再次诊断的执业医师应当到收治患者的医疗机构面见、询问患者，该医疗机构应当予以配合。</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对再次诊断结论有异议的，可以自主委托依法取得执业资质的鉴定机构进行精神障碍医学鉴定；医疗机构应当公示经公告的鉴定机构名单和联系方式。接受委托的鉴定机构应当指定本机构具有该鉴定事项执业资格的二名以上鉴定人共同进行鉴定，并及时出具鉴定报告。</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第三十三条</w:t>
      </w:r>
      <w:r>
        <w:rPr>
          <w:rFonts w:hint="eastAsia" w:ascii="方正仿宋_GBK" w:hAnsi="方正仿宋_GBK" w:eastAsia="方正仿宋_GBK" w:cs="方正仿宋_GBK"/>
          <w:color w:val="auto"/>
          <w:sz w:val="32"/>
          <w:szCs w:val="32"/>
          <w:highlight w:val="none"/>
        </w:rPr>
        <w:t xml:space="preserve">  鉴定人应当到收治精神障碍患者的医疗机构面见、询问患者，该医疗机构应当予以配合。</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鉴定人本人或者其近亲属与鉴定事项有利害关系，可能影响其独立、客观、公正进行鉴定的，应当回避</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第三十四条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鉴定机构、鉴定人应当遵守有关法律、法规、规章的规定，尊重科学，恪守职业道德，按照精神障碍鉴定的实施程序、技术方法和操作规范，依法独立进行鉴定，出具客观、公正的鉴定报告。</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鉴定人应当对鉴定过程进行实时记录并签名。记录的内容应当真实、客观、准确、完整，记录的文本或者声像载体应当妥善保存。</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第三十五条</w:t>
      </w:r>
      <w:r>
        <w:rPr>
          <w:rFonts w:hint="eastAsia" w:ascii="方正仿宋_GBK" w:hAnsi="方正仿宋_GBK" w:eastAsia="方正仿宋_GBK" w:cs="方正仿宋_GBK"/>
          <w:color w:val="auto"/>
          <w:sz w:val="32"/>
          <w:szCs w:val="32"/>
          <w:highlight w:val="none"/>
        </w:rPr>
        <w:t xml:space="preserve">  再次诊断结论或者鉴定报告表明，不能确定就诊者为严重精神障碍患者，或者患者不需要住院治疗的，医疗机构不得对其实施住院治疗。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再次诊断结论或者鉴定报告表明，精神障碍患者有本法第三十条第二款第二项情形的，其监护人应当同意对患者实施住院治疗。监护人阻碍实施住院治疗或者患者擅自脱离住院治疗的，可以由公安机关协助医疗机构采取措施对患者实施住院治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在相关机构出具再次诊断结论、鉴定报告前，收治精神障碍患者的医疗机构应当按照诊疗规范的要求对患者实施住院治疗。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第三十六条</w:t>
      </w:r>
      <w:r>
        <w:rPr>
          <w:rFonts w:hint="eastAsia" w:ascii="方正仿宋_GBK" w:hAnsi="方正仿宋_GBK" w:eastAsia="方正仿宋_GBK" w:cs="方正仿宋_GBK"/>
          <w:color w:val="auto"/>
          <w:sz w:val="32"/>
          <w:szCs w:val="32"/>
          <w:highlight w:val="none"/>
        </w:rPr>
        <w:t xml:space="preserve">  诊断结论表明需要住院治疗的精神障碍患者，本人没有能力办理住院手续的，由其监护人办理住院手续；患者属于查找不到监护人的流浪乞讨人员的，由送诊的有关部门办理住院手续。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精神障碍患者有本法第三十条第二款第二项情形，其监护人不办理住院手续的，由患者所在单位、村民委员会或者居民委员会办理住院手续，并由医疗机构在患者病历中予以记录。</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第三十七条</w:t>
      </w:r>
      <w:r>
        <w:rPr>
          <w:rFonts w:hint="eastAsia" w:ascii="方正仿宋_GBK" w:hAnsi="方正仿宋_GBK" w:eastAsia="方正仿宋_GBK" w:cs="方正仿宋_GBK"/>
          <w:color w:val="auto"/>
          <w:sz w:val="32"/>
          <w:szCs w:val="32"/>
          <w:highlight w:val="none"/>
        </w:rPr>
        <w:t xml:space="preserve">  医疗机构及其医务人员应当将精神障碍患者在诊断、治疗过程中享有的权利，告知患者或者其监护人。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第三十八条</w:t>
      </w:r>
      <w:r>
        <w:rPr>
          <w:rFonts w:hint="eastAsia" w:ascii="方正仿宋_GBK" w:hAnsi="方正仿宋_GBK" w:eastAsia="方正仿宋_GBK" w:cs="方正仿宋_GBK"/>
          <w:color w:val="auto"/>
          <w:sz w:val="32"/>
          <w:szCs w:val="32"/>
          <w:highlight w:val="none"/>
        </w:rPr>
        <w:t xml:space="preserve">  医疗机构应当配备适宜的设施、设备，保护就诊和住院治疗的精神障碍患者的人身安全，防止其受到伤害，并为住院患者创造尽可能接近正常生活的环境和条件。</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第三十九条</w:t>
      </w:r>
      <w:r>
        <w:rPr>
          <w:rFonts w:hint="eastAsia" w:ascii="方正仿宋_GBK" w:hAnsi="方正仿宋_GBK" w:eastAsia="方正仿宋_GBK" w:cs="方正仿宋_GBK"/>
          <w:color w:val="auto"/>
          <w:sz w:val="32"/>
          <w:szCs w:val="32"/>
          <w:highlight w:val="none"/>
        </w:rPr>
        <w:t xml:space="preserve">  医疗机构及其医务人员应当遵循精神障碍诊断标准和治疗规范，制定治疗方案，并向精神障碍患者或者其监护人告知治疗方案和治疗方法、目的以及可能产生的后果。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精神障碍患者在医疗机构内发生或者将要发生伤害自身、危害他人安全、扰乱医疗秩序的行为，医疗机构及其医务人员在没有其他可替代措施的情况下，可以实施约束、隔离等保护性医疗措施。实施保护性医疗措施应当遵循诊断标准和治疗规范，并在实施后告知患者的监护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禁止利用约束、隔离等保护性医疗措施惩罚精神障碍患者。</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第四十一条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对精神障碍患者使用药物，应当以诊断和治疗为目的，使用安全、有效的药物，不得为诊断或者治疗以外的目的使用药物。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医疗机构不得强迫精神障碍患者从事生产劳动。</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第四十二条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禁止对依照本法第三十条第二款规定实施住院治疗的精神障碍患者实施以治疗精神障碍为目的的外科手术。</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第四十三条</w:t>
      </w:r>
      <w:r>
        <w:rPr>
          <w:rFonts w:hint="eastAsia" w:ascii="方正仿宋_GBK" w:hAnsi="方正仿宋_GBK" w:eastAsia="方正仿宋_GBK" w:cs="方正仿宋_GBK"/>
          <w:color w:val="auto"/>
          <w:sz w:val="32"/>
          <w:szCs w:val="32"/>
          <w:highlight w:val="none"/>
        </w:rPr>
        <w:t xml:space="preserve">  医疗机构对精神障碍患者实施下列治疗措施，应当向患者或者其监护人告知医疗风险、替代医疗方案等情况，并取得患者的书面同意；无法取得患者意见的，应当取得其监护人的书面同意，并经本医疗机构伦理委员会批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4" w:name="_Toc1054_WPSOffice_Level2"/>
      <w:r>
        <w:rPr>
          <w:rFonts w:hint="eastAsia" w:ascii="方正仿宋_GBK" w:hAnsi="方正仿宋_GBK" w:eastAsia="方正仿宋_GBK" w:cs="方正仿宋_GBK"/>
          <w:color w:val="auto"/>
          <w:sz w:val="32"/>
          <w:szCs w:val="32"/>
          <w:highlight w:val="none"/>
        </w:rPr>
        <w:t>（一）导致人体器官丧失功能的外科手术；</w:t>
      </w:r>
      <w:bookmarkEnd w:id="494"/>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5" w:name="_Toc17807_WPSOffice_Level2"/>
      <w:r>
        <w:rPr>
          <w:rFonts w:hint="eastAsia" w:ascii="方正仿宋_GBK" w:hAnsi="方正仿宋_GBK" w:eastAsia="方正仿宋_GBK" w:cs="方正仿宋_GBK"/>
          <w:color w:val="auto"/>
          <w:sz w:val="32"/>
          <w:szCs w:val="32"/>
          <w:highlight w:val="none"/>
        </w:rPr>
        <w:t>（二）与精神障碍治疗有关的实验性临床医疗。</w:t>
      </w:r>
      <w:bookmarkEnd w:id="495"/>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实施前款第一项治疗措施，因情况紧急查找不到监护人的，应当取得本医疗机构负责人和伦理委员会批准。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禁止对精神障碍患者实施与治疗其精神障碍无关的实验性临床医疗。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第四十四条</w:t>
      </w:r>
      <w:r>
        <w:rPr>
          <w:rFonts w:hint="eastAsia" w:ascii="方正仿宋_GBK" w:hAnsi="方正仿宋_GBK" w:eastAsia="方正仿宋_GBK" w:cs="方正仿宋_GBK"/>
          <w:color w:val="auto"/>
          <w:sz w:val="32"/>
          <w:szCs w:val="32"/>
          <w:highlight w:val="none"/>
        </w:rPr>
        <w:t xml:space="preserve">  自愿住院治疗的精神障碍患者可以随时要求出院，医疗机构应当同意。</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对有本法第三十条第二款第一项情形的精神障碍患者实施住院治疗的，监护人可以随时要求患者出院，医疗机构应当同意。</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医疗机构认为前两款规定的精神障碍患者不宜出院的，应当告知不宜出院的理由；患者或者其监护人仍要求出院的，执业医师应当在病历资料中详细记录告知的过程，同时提出出院后的医学建议，患者或者其监护人应当签字确认。</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对有本法第三十条第二款第二项情形的精神障碍患者实施住院治疗，医疗机构认为患者可以出院的，应当立即告知患者及其监护人。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医疗机构应当根据精神障碍患者病情，及时组织精神科执业医师对依照本法第三十条第二款规定实施住院治疗的患者进行检查评估。评估结果表明患者不需要继续住院治疗的，医疗机构应当立即通知患者及其监护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第四十五条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精神障碍患者出院，本人没有能力办理出院手续的，监护人应当为其办理出院手续。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第四十六条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医疗机构及其医务人员应当尊重住院精神障碍患者的通讯和会见探访者等权利。除在急性发病期或者为了避免妨碍治疗可以暂时性限制外，不得限制患者的通讯和会见探访者等权利。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第四十七条</w:t>
      </w:r>
      <w:r>
        <w:rPr>
          <w:rFonts w:hint="eastAsia" w:ascii="方正仿宋_GBK" w:hAnsi="方正仿宋_GBK" w:eastAsia="方正仿宋_GBK" w:cs="方正仿宋_GBK"/>
          <w:color w:val="auto"/>
          <w:sz w:val="32"/>
          <w:szCs w:val="32"/>
          <w:highlight w:val="none"/>
        </w:rPr>
        <w:t xml:space="preserve">  医疗机构及其医务人员应当在病历资料中如实记录精神障碍患者的病情、治疗措施、用药情况、实施约束、隔离措施等内容，并如实告知患者或者其监护人。患者及其监护人可以查阅、复制病历资料；但是，患者查阅、复制病历资料可能对其治疗产生不利影响的除外。病历资料保存期限不得少于三十年。</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第四十八条</w:t>
      </w:r>
      <w:r>
        <w:rPr>
          <w:rFonts w:hint="eastAsia" w:ascii="方正仿宋_GBK" w:hAnsi="方正仿宋_GBK" w:eastAsia="方正仿宋_GBK" w:cs="方正仿宋_GBK"/>
          <w:color w:val="auto"/>
          <w:sz w:val="32"/>
          <w:szCs w:val="32"/>
          <w:highlight w:val="none"/>
        </w:rPr>
        <w:t xml:space="preserve">  医疗机构不得因就诊者是精神障碍患者，推诿或者拒绝为其治疗属于本医疗机构诊疗范围的其他疾病。</w:t>
      </w:r>
    </w:p>
    <w:p>
      <w:pPr>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第四十九条</w:t>
      </w:r>
      <w:r>
        <w:rPr>
          <w:rFonts w:hint="eastAsia" w:ascii="方正仿宋_GBK" w:hAnsi="方正仿宋_GBK" w:eastAsia="方正仿宋_GBK" w:cs="方正仿宋_GBK"/>
          <w:color w:val="auto"/>
          <w:sz w:val="32"/>
          <w:szCs w:val="32"/>
          <w:highlight w:val="none"/>
        </w:rPr>
        <w:t xml:space="preserve">  精神障碍患者的监护人应当妥善看护未住院治疗的患者，按照医嘱督促其按时服药、接受随访或者治疗。村民委员会、居民委员会、患者所在单位等应当依患者或者其监护人的请求，对监护人看护患者提供必要的帮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县级以上地方人民政府卫生行政部门应当定期就下列事项对本行政区域内从事精神障碍诊断、治疗的医疗机构进行检查：</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6" w:name="_Toc14738_WPSOffice_Level2"/>
      <w:r>
        <w:rPr>
          <w:rFonts w:hint="eastAsia" w:ascii="方正仿宋_GBK" w:hAnsi="方正仿宋_GBK" w:eastAsia="方正仿宋_GBK" w:cs="方正仿宋_GBK"/>
          <w:color w:val="auto"/>
          <w:sz w:val="32"/>
          <w:szCs w:val="32"/>
          <w:highlight w:val="none"/>
        </w:rPr>
        <w:t>（一）相关人员、设施、设备是否符合本法要求；</w:t>
      </w:r>
      <w:bookmarkEnd w:id="496"/>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7" w:name="_Toc23283_WPSOffice_Level2"/>
      <w:r>
        <w:rPr>
          <w:rFonts w:hint="eastAsia" w:ascii="方正仿宋_GBK" w:hAnsi="方正仿宋_GBK" w:eastAsia="方正仿宋_GBK" w:cs="方正仿宋_GBK"/>
          <w:color w:val="auto"/>
          <w:sz w:val="32"/>
          <w:szCs w:val="32"/>
          <w:highlight w:val="none"/>
        </w:rPr>
        <w:t>（二）诊疗行为是否符合本法以及诊断标准、治疗规范的规定；</w:t>
      </w:r>
      <w:bookmarkEnd w:id="497"/>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8" w:name="_Toc19263_WPSOffice_Level2"/>
      <w:r>
        <w:rPr>
          <w:rFonts w:hint="eastAsia" w:ascii="方正仿宋_GBK" w:hAnsi="方正仿宋_GBK" w:eastAsia="方正仿宋_GBK" w:cs="方正仿宋_GBK"/>
          <w:color w:val="auto"/>
          <w:sz w:val="32"/>
          <w:szCs w:val="32"/>
          <w:highlight w:val="none"/>
        </w:rPr>
        <w:t>（三）对精神障碍患者实施住院治疗的程序是否符合本法规定；</w:t>
      </w:r>
      <w:bookmarkEnd w:id="498"/>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bookmarkStart w:id="499" w:name="_Toc22273_WPSOffice_Level2"/>
      <w:r>
        <w:rPr>
          <w:rFonts w:hint="eastAsia" w:ascii="方正仿宋_GBK" w:hAnsi="方正仿宋_GBK" w:eastAsia="方正仿宋_GBK" w:cs="方正仿宋_GBK"/>
          <w:color w:val="auto"/>
          <w:sz w:val="32"/>
          <w:szCs w:val="32"/>
          <w:highlight w:val="none"/>
        </w:rPr>
        <w:t>（四）是否依法维护精神障碍患者的合法权益。</w:t>
      </w:r>
      <w:bookmarkEnd w:id="499"/>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县级以上地方人民政府卫生行政部门进行前款规定的检查，应当听取精神障碍患者及其监护人的意见；发现存在违反本法行为的，应当立即制止或者责令改正，并依法作出处理。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第五十一条</w:t>
      </w:r>
      <w:r>
        <w:rPr>
          <w:rFonts w:hint="eastAsia" w:ascii="方正仿宋_GBK" w:hAnsi="方正仿宋_GBK" w:eastAsia="方正仿宋_GBK" w:cs="方正仿宋_GBK"/>
          <w:color w:val="auto"/>
          <w:sz w:val="32"/>
          <w:szCs w:val="32"/>
          <w:highlight w:val="none"/>
        </w:rPr>
        <w:t xml:space="preserve">  心理治疗活动应当在医疗机构内开展。专门从事心理治疗的人员不得从事精神障碍的诊断，不得为精神障碍患者开具处方或者提供外科治疗。心理治疗的技术规范由国务院卫生行政部门制定。</w:t>
      </w: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第五十二条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监狱、强制隔离戒毒所等场所应当采取措施，保证患有精神障碍的服刑人员、强制隔离戒毒人员等获得治疗。</w:t>
      </w:r>
    </w:p>
    <w:p>
      <w:pPr>
        <w:spacing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第五十三条</w:t>
      </w:r>
      <w:r>
        <w:rPr>
          <w:rFonts w:hint="eastAsia" w:ascii="方正仿宋_GBK" w:hAnsi="方正仿宋_GBK" w:eastAsia="方正仿宋_GBK" w:cs="方正仿宋_GBK"/>
          <w:color w:val="auto"/>
          <w:sz w:val="32"/>
          <w:szCs w:val="32"/>
          <w:highlight w:val="none"/>
        </w:rPr>
        <w:t xml:space="preserve">  精神障碍患者违反治安管理处罚法或者触犯刑法的，依照有关法律的规定处理。</w:t>
      </w:r>
    </w:p>
    <w:p>
      <w:pPr>
        <w:spacing w:line="560" w:lineRule="exact"/>
        <w:jc w:val="center"/>
        <w:rPr>
          <w:rFonts w:ascii="方正黑体_GBK" w:hAnsi="方正黑体_GBK" w:eastAsia="方正黑体_GBK" w:cs="方正黑体_GBK"/>
          <w:b/>
          <w:bCs/>
          <w:color w:val="auto"/>
          <w:sz w:val="32"/>
          <w:szCs w:val="32"/>
          <w:highlight w:val="none"/>
        </w:rPr>
      </w:pPr>
    </w:p>
    <w:p>
      <w:pPr>
        <w:pStyle w:val="3"/>
        <w:spacing w:line="560" w:lineRule="exact"/>
        <w:rPr>
          <w:b/>
          <w:bCs/>
          <w:color w:val="auto"/>
          <w:highlight w:val="none"/>
        </w:rPr>
      </w:pPr>
      <w:bookmarkStart w:id="500" w:name="_Toc20864"/>
      <w:bookmarkStart w:id="501" w:name="_Toc15379256"/>
      <w:bookmarkStart w:id="502" w:name="_Toc11643_WPSOffice_Level1"/>
      <w:bookmarkStart w:id="503" w:name="_Toc5486"/>
      <w:r>
        <w:rPr>
          <w:rFonts w:hint="eastAsia"/>
          <w:b/>
          <w:bCs/>
          <w:color w:val="auto"/>
          <w:highlight w:val="none"/>
        </w:rPr>
        <w:t>第四章  精神障碍的康复</w:t>
      </w:r>
      <w:bookmarkEnd w:id="500"/>
      <w:bookmarkEnd w:id="501"/>
      <w:bookmarkEnd w:id="502"/>
      <w:bookmarkEnd w:id="503"/>
    </w:p>
    <w:p>
      <w:pPr>
        <w:pStyle w:val="35"/>
        <w:spacing w:line="560" w:lineRule="exact"/>
        <w:ind w:left="1320" w:firstLine="0" w:firstLineChars="0"/>
        <w:rPr>
          <w:rFonts w:ascii="方正仿宋_GBK" w:hAnsi="方正仿宋_GBK" w:eastAsia="方正仿宋_GBK" w:cs="方正仿宋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第五十四条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社区康复机构应当为需要康复的精神障碍患者提供场所和条件，对患者进行生活自理能力和社会适应能力等方面的康复训练。</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医疗机构应当为在家居住的严重精神障碍患者提供精神科基本药物维持治疗，并为社区康复机构提供有关精神障碍康复的技术指导和支持。</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社区卫生服务机构、乡镇卫生院、村卫生室应当建立严重精神障碍患者的健康档案，对在家居住的严重精神障碍患者进行定期随访，指导患者服药和开展康复训练，并对患者的监护人进行精神卫生知识和看护知识的培训。县级人民政府卫生行政部门应当为社区卫生服务机构、乡镇卫生院、村卫生室开展上述工作给予指导和培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第五十六条</w:t>
      </w:r>
      <w:r>
        <w:rPr>
          <w:rFonts w:hint="eastAsia" w:ascii="方正仿宋_GBK" w:hAnsi="方正仿宋_GBK" w:eastAsia="方正仿宋_GBK" w:cs="方正仿宋_GBK"/>
          <w:color w:val="auto"/>
          <w:sz w:val="32"/>
          <w:szCs w:val="32"/>
          <w:highlight w:val="none"/>
        </w:rPr>
        <w:t xml:space="preserve">  村民委员会、居民委员会应当为生活困难的精神障碍患者家庭提供帮助，并向所在地乡镇人民政府或者街道办事处以及县级人民政府有关部门反映患者及其家庭的情况和要求，帮助其解决实际困难，为患者融入社会创造条件。</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第五十七条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残疾人组织或者残疾人康复机构应当根据精神障碍患者康复的需要，组织患者参加康复活动。</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第五十八条</w:t>
      </w:r>
      <w:r>
        <w:rPr>
          <w:rFonts w:hint="eastAsia" w:ascii="方正仿宋_GBK" w:hAnsi="方正仿宋_GBK" w:eastAsia="方正仿宋_GBK" w:cs="方正仿宋_GBK"/>
          <w:color w:val="auto"/>
          <w:sz w:val="32"/>
          <w:szCs w:val="32"/>
          <w:highlight w:val="none"/>
        </w:rPr>
        <w:t xml:space="preserve">  用人单位应当根据精神障碍患者的实际情况，安排患者从事力所能及的工作，保障患者享有同等待遇，安排患者参加必要的职业技能培训，提高患者的就业能力，为患者创造适宜的工作环境，对患者在工作中取得的成绩予以鼓励。</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第五十九条</w:t>
      </w:r>
      <w:r>
        <w:rPr>
          <w:rFonts w:hint="eastAsia" w:ascii="方正仿宋_GBK" w:hAnsi="方正仿宋_GBK" w:eastAsia="方正仿宋_GBK" w:cs="方正仿宋_GBK"/>
          <w:color w:val="auto"/>
          <w:sz w:val="32"/>
          <w:szCs w:val="32"/>
          <w:highlight w:val="none"/>
        </w:rPr>
        <w:t xml:space="preserve">  精神障碍患者的监护人应当协助患者进行生活自理能力和社会适应能力等方面的康复训练。</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精神障碍患者的监护人在看护患者过程中需要技术指导的，社区卫生服务机构或者乡镇卫生院、村卫生室、社区康复机构应当提供。</w:t>
      </w:r>
    </w:p>
    <w:p>
      <w:pPr>
        <w:spacing w:line="560" w:lineRule="exact"/>
        <w:jc w:val="center"/>
        <w:rPr>
          <w:rFonts w:ascii="方正黑体_GBK" w:hAnsi="方正黑体_GBK" w:eastAsia="方正黑体_GBK" w:cs="方正黑体_GBK"/>
          <w:b w:val="0"/>
          <w:bCs w:val="0"/>
          <w:color w:val="auto"/>
          <w:sz w:val="32"/>
          <w:szCs w:val="32"/>
          <w:highlight w:val="none"/>
        </w:rPr>
      </w:pPr>
    </w:p>
    <w:p>
      <w:pPr>
        <w:pStyle w:val="3"/>
        <w:spacing w:line="560" w:lineRule="exact"/>
        <w:rPr>
          <w:b w:val="0"/>
          <w:bCs w:val="0"/>
          <w:color w:val="auto"/>
          <w:highlight w:val="none"/>
        </w:rPr>
      </w:pPr>
      <w:bookmarkStart w:id="504" w:name="_Toc7691"/>
      <w:bookmarkStart w:id="505" w:name="_Toc19433_WPSOffice_Level1"/>
      <w:bookmarkStart w:id="506" w:name="_Toc15379257"/>
      <w:bookmarkStart w:id="507" w:name="_Toc6642"/>
      <w:r>
        <w:rPr>
          <w:rFonts w:hint="eastAsia"/>
          <w:b w:val="0"/>
          <w:bCs w:val="0"/>
          <w:color w:val="auto"/>
          <w:highlight w:val="none"/>
        </w:rPr>
        <w:t>第五章  保障措施</w:t>
      </w:r>
      <w:bookmarkEnd w:id="504"/>
      <w:bookmarkEnd w:id="505"/>
      <w:bookmarkEnd w:id="506"/>
      <w:bookmarkEnd w:id="507"/>
    </w:p>
    <w:p>
      <w:pPr>
        <w:pStyle w:val="35"/>
        <w:spacing w:line="560" w:lineRule="exact"/>
        <w:ind w:left="1320" w:firstLine="0" w:firstLineChars="0"/>
        <w:rPr>
          <w:rFonts w:ascii="方正仿宋_GBK" w:hAnsi="方正仿宋_GBK" w:eastAsia="方正仿宋_GBK" w:cs="方正仿宋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 xml:space="preserve">第六十条 </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县级以上人民政府卫生行政部门会同有关部门依据国民经济和社会发展规划的要求，制定精神卫生工作规划并组织实施。</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精神卫生监测和专题调查结果应当作为制定精神卫生工作规划的依据。</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第六十一条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省、自治区、直辖市人民政府根据本行政区域的实际情况，统筹规划，整合资源，建设和完善精神卫生服务体系，加强精神障碍预防、治疗和康复服务能力建设。</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县级人民政府根据本行政区域的实际情况，统筹规划，建立精神障碍患者社区康复机构。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县级以上地方人民政府应当采取措施，鼓励和支持社会力量举办从事精神障碍诊断、治疗的医疗机构和精神障碍患者康复机构。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第六十二条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各级人民政府应当根据精神卫生工作需要，加大财政投入力度，保障精神卫生工作所需经费，将精神卫生工作经费列入本级财政预算。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第六十三条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国家加强基层精神卫生服务体系建设，扶持贫困地区、边远地区的精神卫生工作，保障城市社区、农村基层精神卫生工作所需经费。</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第六十四条</w:t>
      </w:r>
      <w:r>
        <w:rPr>
          <w:rFonts w:hint="eastAsia" w:ascii="方正仿宋_GBK" w:hAnsi="方正仿宋_GBK" w:eastAsia="方正仿宋_GBK" w:cs="方正仿宋_GBK"/>
          <w:color w:val="auto"/>
          <w:sz w:val="32"/>
          <w:szCs w:val="32"/>
          <w:highlight w:val="none"/>
        </w:rPr>
        <w:t xml:space="preserve">  医学院校应当加强精神医学的教学和研究，按照精神卫生工作的实际需要培养精神医学专门人才，为精神卫生工作提供人才保障。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第六十五条</w:t>
      </w:r>
      <w:r>
        <w:rPr>
          <w:rFonts w:hint="eastAsia" w:ascii="方正仿宋_GBK" w:hAnsi="方正仿宋_GBK" w:eastAsia="方正仿宋_GBK" w:cs="方正仿宋_GBK"/>
          <w:color w:val="auto"/>
          <w:sz w:val="32"/>
          <w:szCs w:val="32"/>
          <w:highlight w:val="none"/>
        </w:rPr>
        <w:t xml:space="preserve">  综合性医疗机构应当按照国务院卫生行政部门的规定开设精神科门诊或者心理治疗门诊，提高精神障碍预防、诊断、治疗能力。</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第六十六条</w:t>
      </w:r>
      <w:r>
        <w:rPr>
          <w:rFonts w:hint="eastAsia" w:ascii="方正仿宋_GBK" w:hAnsi="方正仿宋_GBK" w:eastAsia="方正仿宋_GBK" w:cs="方正仿宋_GBK"/>
          <w:color w:val="auto"/>
          <w:sz w:val="32"/>
          <w:szCs w:val="32"/>
          <w:highlight w:val="none"/>
        </w:rPr>
        <w:t xml:space="preserve">  医疗机构应当组织医务人员学习精神卫生知识和相关法律、法规、政策。</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从事精神障碍诊断、治疗、康复的机构应当定期组织医务人员、工作人员进行在岗培训，更新精神卫生知识。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县级以上人民政府卫生行政部门应当组织医务人员进行精神卫生知识培训，提高其识别精神障碍的能力。</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第六十七条</w:t>
      </w:r>
      <w:r>
        <w:rPr>
          <w:rFonts w:hint="eastAsia" w:ascii="方正仿宋_GBK" w:hAnsi="方正仿宋_GBK" w:eastAsia="方正仿宋_GBK" w:cs="方正仿宋_GBK"/>
          <w:color w:val="auto"/>
          <w:sz w:val="32"/>
          <w:szCs w:val="32"/>
          <w:highlight w:val="none"/>
        </w:rPr>
        <w:t xml:space="preserve">  师范院校应当为学生开设精神卫生课程；医学院校应当为非精神医学专业的学生开设精神卫生课程。</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县级以上人民政府教育行政部门对教师进行上岗前和在岗培训，应当有精神卫生的内容，并定期组织心理健康教育教师、辅导人员进行专业培训。</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第六十八条</w:t>
      </w:r>
      <w:r>
        <w:rPr>
          <w:rFonts w:hint="eastAsia" w:ascii="方正仿宋_GBK" w:hAnsi="方正仿宋_GBK" w:eastAsia="方正仿宋_GBK" w:cs="方正仿宋_GBK"/>
          <w:color w:val="auto"/>
          <w:sz w:val="32"/>
          <w:szCs w:val="32"/>
          <w:highlight w:val="none"/>
        </w:rPr>
        <w:t xml:space="preserve">  县级以上人民政府卫生行政部门应当组织医疗机构为严重精神障碍患者免费提供基本公共卫生服务。</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患者的医疗费用按照国家有关社会保险的规定由基本医疗保险基金支付。医疗保险经办机构应当按照国家有关规定将精神障碍患者纳入城镇职工基本医疗保险、城镇居民基本医疗保险或者新型农村合作医疗的保障范围。县级人民政府应当按照国家有关规定对家庭经济困难的严重精神障碍患者参加基本医疗保险给予资助。人力资源社会保障、卫生、民政、财政等部门应当加强协调，简化程序，实现属于基本医疗保险基金支付的医疗费用由医疗机构与医疗保险经办机构直接结算。</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精神障碍患者通过基本医疗保险支付医疗费用后仍有困难，或者不能通过基本医疗保险支付医疗费用的，民政部门应当优先给予医疗救助。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第六十九条</w:t>
      </w:r>
      <w:r>
        <w:rPr>
          <w:rFonts w:hint="eastAsia" w:ascii="方正仿宋_GBK" w:hAnsi="方正仿宋_GBK" w:eastAsia="方正仿宋_GBK" w:cs="方正仿宋_GBK"/>
          <w:color w:val="auto"/>
          <w:sz w:val="32"/>
          <w:szCs w:val="32"/>
          <w:highlight w:val="none"/>
        </w:rPr>
        <w:t xml:space="preserve">  对符合城乡最低生活保障条件的严重精神障碍患者，民政部门应当会同有关部门及时将其纳入最低生活保障。</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对属于农村五保供养对象的严重精神障碍患者，以及城市中无劳动能力、无生活来源且无法定赡养、抚养、扶养义务人，或者其法定赡养、抚养、扶养义务人无赡养、抚养、扶养能力的严重精神障碍患者，民政部门应当按照国家有关规定予以供养、救助。</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前两款规定以外的严重精神障碍患者确有困难的，民政部门可以采取临时救助等措施，帮助其解决生活困难。</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第七十条</w:t>
      </w:r>
      <w:r>
        <w:rPr>
          <w:rFonts w:hint="eastAsia" w:ascii="方正仿宋_GBK" w:hAnsi="方正仿宋_GBK" w:eastAsia="方正仿宋_GBK" w:cs="方正仿宋_GBK"/>
          <w:color w:val="auto"/>
          <w:sz w:val="32"/>
          <w:szCs w:val="32"/>
          <w:highlight w:val="none"/>
        </w:rPr>
        <w:t xml:space="preserve">  县级以上地方人民政府及其有关部门应当采取有效措施，保证患有精神障碍的适龄儿童、少年接受义务教育，扶持有劳动能力的精神障碍患者从事力所能及的劳动，并为已经康复的人员提供就业服务。</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国家对安排精神障碍患者就业的用人单位依法给予税收优惠，并在生产、经营、技术、资金、物资、场地等方面给予扶持。</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第七十一条</w:t>
      </w:r>
      <w:r>
        <w:rPr>
          <w:rFonts w:hint="eastAsia" w:ascii="方正仿宋_GBK" w:hAnsi="方正仿宋_GBK" w:eastAsia="方正仿宋_GBK" w:cs="方正仿宋_GBK"/>
          <w:color w:val="auto"/>
          <w:sz w:val="32"/>
          <w:szCs w:val="32"/>
          <w:highlight w:val="none"/>
        </w:rPr>
        <w:t xml:space="preserve">  精神卫生工作人员的人格尊严、人身安全不受侵犯，精神卫生工作人员依法履行职责受法律保护。全社会应当尊重精神卫生工作人员。</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县级以上人民政府及其有关部门、医疗机构、康复机构应当采取措施，加强对精神卫生工作人员的职业保护，提高精神卫生工作人员的待遇水平，并按照规定给予适当的津贴。精神卫生工作人员因工致伤、致残、死亡的，其工伤待遇以及抚恤按照国家有关规定执行。</w:t>
      </w:r>
    </w:p>
    <w:p>
      <w:pPr>
        <w:spacing w:line="560" w:lineRule="exact"/>
        <w:rPr>
          <w:rFonts w:ascii="方正黑体_GBK" w:hAnsi="方正黑体_GBK" w:eastAsia="方正黑体_GBK" w:cs="方正黑体_GBK"/>
          <w:color w:val="auto"/>
          <w:sz w:val="32"/>
          <w:szCs w:val="32"/>
          <w:highlight w:val="none"/>
        </w:rPr>
      </w:pPr>
    </w:p>
    <w:p>
      <w:pPr>
        <w:pStyle w:val="3"/>
        <w:spacing w:line="560" w:lineRule="exact"/>
        <w:rPr>
          <w:b/>
          <w:bCs w:val="0"/>
          <w:color w:val="auto"/>
          <w:highlight w:val="none"/>
        </w:rPr>
      </w:pPr>
      <w:bookmarkStart w:id="508" w:name="_Toc14916"/>
      <w:bookmarkStart w:id="509" w:name="_Toc15379258"/>
      <w:bookmarkStart w:id="510" w:name="_Toc19041_WPSOffice_Level1"/>
      <w:bookmarkStart w:id="511" w:name="_Toc18819"/>
      <w:r>
        <w:rPr>
          <w:rFonts w:hint="eastAsia"/>
          <w:b/>
          <w:bCs w:val="0"/>
          <w:color w:val="auto"/>
          <w:highlight w:val="none"/>
        </w:rPr>
        <w:t>第六章  法律责任</w:t>
      </w:r>
      <w:bookmarkEnd w:id="508"/>
      <w:bookmarkEnd w:id="509"/>
      <w:bookmarkEnd w:id="510"/>
      <w:bookmarkEnd w:id="511"/>
    </w:p>
    <w:p>
      <w:pPr>
        <w:pStyle w:val="35"/>
        <w:spacing w:line="560" w:lineRule="exact"/>
        <w:ind w:left="1320" w:firstLine="0" w:firstLineChars="0"/>
        <w:rPr>
          <w:rFonts w:ascii="方正仿宋_GBK" w:hAnsi="方正仿宋_GBK" w:eastAsia="方正仿宋_GBK" w:cs="方正仿宋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第七十二条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县级以上人民政府卫生行政部门和其他有关部门未依照本法规定履行精神卫生工作职责，或者滥用职权、玩忽职守、徇私舞弊的，由本级人民政府或者上一级人民政府有关部门责令改正，通报批评，对直接负责的主管人员和其他直接责任人员依法给予警告、记过或者记大过的处分；造成严重后果的，给予降级、撤职或者开除的处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第七十三条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第七十四条</w:t>
      </w:r>
      <w:r>
        <w:rPr>
          <w:rFonts w:hint="eastAsia" w:ascii="方正仿宋_GBK" w:hAnsi="方正仿宋_GBK" w:eastAsia="方正仿宋_GBK" w:cs="方正仿宋_GBK"/>
          <w:color w:val="auto"/>
          <w:sz w:val="32"/>
          <w:szCs w:val="32"/>
          <w:highlight w:val="none"/>
        </w:rPr>
        <w:t xml:space="preserve">  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（一）拒绝对送诊的疑似精神障碍患者作出诊断的；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（二）对依照本法第三十条第二款规定实施住院治疗的患者未及时进行检查评估或者未根据评估结果作出处理的。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第七十五条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医疗机构及其工作人员有下列行为之一的，由县级以上人民政府卫生行政部门责令改正，对直接负责的主管人员和其他直接责任人员依法给予或者责令给予降低岗位等级或者撤职的处分；对有关医务人员，暂停六个月以上一年以下执业活动；情节严重的，给予或者责令给予开除的处分，并吊销有关医务人员的执业证书：</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（一）违反本法规定实施约束、隔离等保护性医疗措施的；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（二）违反本法规定，强迫精神障碍患者劳动的；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（三）违反本法规定对精神障碍患者实施外科手术或者实验性临床医疗的；</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（四）违反本法规定，侵害精神障碍患者的通讯和会见探访者等权利的；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（五）违反精神障碍诊断标准，将非精神障碍患者诊断为精神障碍患者的。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第七十六条</w:t>
      </w:r>
      <w:r>
        <w:rPr>
          <w:rFonts w:hint="eastAsia" w:ascii="方正仿宋_GBK" w:hAnsi="方正仿宋_GBK" w:eastAsia="方正仿宋_GBK" w:cs="方正仿宋_GBK"/>
          <w:color w:val="auto"/>
          <w:sz w:val="32"/>
          <w:szCs w:val="32"/>
          <w:highlight w:val="none"/>
        </w:rPr>
        <w:t xml:space="preserve">  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（一）心理咨询人员从事心理治疗或者精神障碍的诊断、治疗的；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（二）从事心理治疗的人员在医疗机构以外开展心理治疗活动的；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（三）专门从事心理治疗的人员从事精神障碍的诊断的；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（四）专门从事心理治疗的人员为精神障碍患者开具处方或者提供外科治疗的。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心理咨询人员、专门从事心理治疗的人员在心理咨询、心理治疗活动中造成他人人身、财产或者其他损害的，依法承担民事责任。</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第七十七条</w:t>
      </w:r>
      <w:r>
        <w:rPr>
          <w:rFonts w:hint="eastAsia" w:ascii="方正仿宋_GBK" w:hAnsi="方正仿宋_GBK" w:eastAsia="方正仿宋_GBK" w:cs="方正仿宋_GBK"/>
          <w:color w:val="auto"/>
          <w:sz w:val="32"/>
          <w:szCs w:val="32"/>
          <w:highlight w:val="none"/>
        </w:rPr>
        <w:t xml:space="preserve">  有关单位和个人违反本法第四条第三款规定，给精神障碍患者造成损害的，依法承担赔偿责任；对单位直接负责的主管人员和其他直接责任人员，还应当依法给予处分。</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仿宋_GBK" w:hAnsi="方正仿宋_GBK" w:eastAsia="方正仿宋_GBK" w:cs="方正仿宋_GBK"/>
          <w:b/>
          <w:color w:val="auto"/>
          <w:sz w:val="32"/>
          <w:szCs w:val="32"/>
          <w:highlight w:val="none"/>
        </w:rPr>
        <w:t>　</w:t>
      </w:r>
      <w:r>
        <w:rPr>
          <w:rFonts w:hint="eastAsia" w:ascii="方正楷体_GBK" w:hAnsi="方正楷体_GBK" w:eastAsia="方正楷体_GBK" w:cs="方正楷体_GBK"/>
          <w:b/>
          <w:color w:val="auto"/>
          <w:sz w:val="32"/>
          <w:szCs w:val="32"/>
          <w:highlight w:val="none"/>
        </w:rPr>
        <w:t>第七十八条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违反本法规定，有下列情形之一，给精神障碍患者或者其他公民造成人身、财产或者其他损害的，依法承担赔偿责任：</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（一）将非精神障碍患者故意作为精神障碍患者送入医疗机构治疗的；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（二）精神障碍患者的监护人遗弃患者，或者有不履行监护职责的其他情形的；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（三）歧视、侮辱、虐待精神障碍患者，侵害患者的人格尊严、人身安全的；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（四）非法限制精神障碍患者人身自由的；</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（五）其他侵害精神障碍患者合法权益的情形。</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第七十九条</w:t>
      </w:r>
      <w:r>
        <w:rPr>
          <w:rFonts w:hint="eastAsia" w:ascii="方正仿宋_GBK" w:hAnsi="方正仿宋_GBK" w:eastAsia="方正仿宋_GBK" w:cs="方正仿宋_GBK"/>
          <w:color w:val="auto"/>
          <w:sz w:val="32"/>
          <w:szCs w:val="32"/>
          <w:highlight w:val="none"/>
        </w:rPr>
        <w:t xml:space="preserve">  医疗机构出具的诊断结论表明精神障碍患者应当住院治疗而其监护人拒绝，致使患者造成他人人身、财产损害的，或者患者有其他造成他人人身、财产损害情形的，其监护人依法承担民事责任。</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第八十条</w:t>
      </w:r>
      <w:r>
        <w:rPr>
          <w:rFonts w:hint="eastAsia" w:ascii="方正仿宋_GBK" w:hAnsi="方正仿宋_GBK" w:eastAsia="方正仿宋_GBK" w:cs="方正仿宋_GBK"/>
          <w:color w:val="auto"/>
          <w:sz w:val="32"/>
          <w:szCs w:val="32"/>
          <w:highlight w:val="none"/>
        </w:rPr>
        <w:t>　在精神障碍的诊断、治疗、鉴定过程中，寻衅滋事，阻挠有关工作人员依照本法的规定履行职责，扰乱医疗机构、鉴定机构工作秩序的，依法给予治安管理处罚。</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违反本法规定，有其他构成违反治安管理行为的，依法给予治安管理处罚。</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color w:val="auto"/>
          <w:sz w:val="32"/>
          <w:szCs w:val="32"/>
          <w:highlight w:val="none"/>
        </w:rPr>
        <w:t>　</w:t>
      </w:r>
      <w:r>
        <w:rPr>
          <w:rFonts w:hint="eastAsia" w:ascii="方正楷体_GBK" w:hAnsi="方正楷体_GBK" w:eastAsia="方正楷体_GBK" w:cs="方正楷体_GBK"/>
          <w:b/>
          <w:color w:val="auto"/>
          <w:sz w:val="32"/>
          <w:szCs w:val="32"/>
          <w:highlight w:val="none"/>
        </w:rPr>
        <w:t>第八十一条</w:t>
      </w:r>
      <w:r>
        <w:rPr>
          <w:rFonts w:hint="eastAsia" w:ascii="方正仿宋_GBK" w:hAnsi="方正仿宋_GBK" w:eastAsia="方正仿宋_GBK" w:cs="方正仿宋_GBK"/>
          <w:color w:val="auto"/>
          <w:sz w:val="32"/>
          <w:szCs w:val="32"/>
          <w:highlight w:val="none"/>
        </w:rPr>
        <w:t xml:space="preserve">  违反本法规定，构成犯罪的，依法追究刑事责任。</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 xml:space="preserve">第八十二条 </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精神障碍患者或者其监护人、近亲属认为行政机关、医疗机构或者其他有关单位和个人违反本法规定侵害患者合法权益的，可以依法提起诉讼。</w:t>
      </w:r>
    </w:p>
    <w:p>
      <w:pPr>
        <w:spacing w:line="560" w:lineRule="exact"/>
        <w:rPr>
          <w:rFonts w:ascii="方正仿宋_GBK" w:hAnsi="方正仿宋_GBK" w:eastAsia="方正仿宋_GBK" w:cs="方正仿宋_GBK"/>
          <w:color w:val="auto"/>
          <w:sz w:val="32"/>
          <w:szCs w:val="32"/>
          <w:highlight w:val="none"/>
        </w:rPr>
      </w:pPr>
    </w:p>
    <w:p>
      <w:pPr>
        <w:pStyle w:val="3"/>
        <w:spacing w:line="560" w:lineRule="exact"/>
        <w:rPr>
          <w:b/>
          <w:bCs w:val="0"/>
          <w:color w:val="auto"/>
          <w:highlight w:val="none"/>
        </w:rPr>
      </w:pPr>
      <w:bookmarkStart w:id="512" w:name="_Toc31586_WPSOffice_Level1"/>
      <w:bookmarkStart w:id="513" w:name="_Toc5696"/>
      <w:bookmarkStart w:id="514" w:name="_Toc15379259"/>
      <w:bookmarkStart w:id="515" w:name="_Toc20902"/>
      <w:r>
        <w:rPr>
          <w:rFonts w:hint="eastAsia"/>
          <w:b/>
          <w:bCs w:val="0"/>
          <w:color w:val="auto"/>
          <w:highlight w:val="none"/>
        </w:rPr>
        <w:t>第七章  附则</w:t>
      </w:r>
      <w:bookmarkEnd w:id="512"/>
      <w:bookmarkEnd w:id="513"/>
      <w:bookmarkEnd w:id="514"/>
      <w:bookmarkEnd w:id="515"/>
    </w:p>
    <w:p>
      <w:pPr>
        <w:pStyle w:val="35"/>
        <w:spacing w:line="560" w:lineRule="exact"/>
        <w:ind w:left="1320" w:firstLine="0" w:firstLineChars="0"/>
        <w:rPr>
          <w:rFonts w:ascii="方正黑体_GBK" w:hAnsi="方正黑体_GBK" w:eastAsia="方正黑体_GBK" w:cs="方正黑体_GBK"/>
          <w:color w:val="auto"/>
          <w:sz w:val="32"/>
          <w:szCs w:val="32"/>
          <w:highlight w:val="none"/>
        </w:rPr>
      </w:pP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第八十三条</w:t>
      </w:r>
      <w:r>
        <w:rPr>
          <w:rFonts w:hint="eastAsia" w:ascii="方正仿宋_GBK" w:hAnsi="方正仿宋_GBK" w:eastAsia="方正仿宋_GBK" w:cs="方正仿宋_GBK"/>
          <w:color w:val="auto"/>
          <w:sz w:val="32"/>
          <w:szCs w:val="32"/>
          <w:highlight w:val="none"/>
        </w:rPr>
        <w:t xml:space="preserve">  本法所称精神障碍，是指由各种原因引起的感知、情感和思维等精神活动的紊乱或者异常，导致患者明显的心理痛苦或者社会适应等功能损害。</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本法所称严重精神障碍，是指疾病症状严重，导致患者社会适应等功能严重损害、对自身健康状况或者客观现实不能完整认识，或者不能处理自身事务的精神障碍。</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本法所称精神障碍患者的监护人，是指依照民法通则的有关规定可以担任监护人的人。</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第八十四条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军队的精神卫生工作，由国务院和中央军事委员会依据本法制定管理办法。</w:t>
      </w:r>
    </w:p>
    <w:p>
      <w:pPr>
        <w:spacing w:line="560" w:lineRule="exac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w:t>
      </w:r>
      <w:r>
        <w:rPr>
          <w:rFonts w:hint="eastAsia" w:ascii="方正楷体_GBK" w:hAnsi="方正楷体_GBK" w:eastAsia="方正楷体_GBK" w:cs="方正楷体_GBK"/>
          <w:b/>
          <w:color w:val="auto"/>
          <w:sz w:val="32"/>
          <w:szCs w:val="32"/>
          <w:highlight w:val="none"/>
        </w:rPr>
        <w:t>第八十五条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本法自2013年５月１日起施行。</w:t>
      </w:r>
    </w:p>
    <w:p>
      <w:pPr>
        <w:spacing w:line="560" w:lineRule="exact"/>
        <w:ind w:firstLine="1285" w:firstLineChars="400"/>
        <w:jc w:val="both"/>
        <w:outlineLvl w:val="0"/>
        <w:rPr>
          <w:rFonts w:hint="eastAsia" w:ascii="方正小标宋_GBK" w:hAnsi="方正小标宋_GBK" w:eastAsia="方正小标宋_GBK" w:cs="方正小标宋_GBK"/>
          <w:b/>
          <w:color w:val="auto"/>
          <w:kern w:val="44"/>
          <w:sz w:val="32"/>
          <w:szCs w:val="32"/>
          <w:highlight w:val="none"/>
        </w:rPr>
      </w:pPr>
    </w:p>
    <w:p>
      <w:pPr>
        <w:spacing w:line="560" w:lineRule="exact"/>
        <w:ind w:firstLine="1446" w:firstLineChars="400"/>
        <w:jc w:val="both"/>
        <w:outlineLvl w:val="0"/>
        <w:rPr>
          <w:rFonts w:ascii="方正小标宋_GBK" w:hAnsi="方正小标宋_GBK" w:eastAsia="方正小标宋_GBK" w:cs="方正小标宋_GBK"/>
          <w:b/>
          <w:color w:val="auto"/>
          <w:kern w:val="44"/>
          <w:sz w:val="36"/>
          <w:szCs w:val="36"/>
          <w:highlight w:val="none"/>
        </w:rPr>
      </w:pPr>
      <w:bookmarkStart w:id="516" w:name="_Toc5460"/>
      <w:r>
        <w:rPr>
          <w:rFonts w:hint="eastAsia" w:ascii="方正小标宋_GBK" w:hAnsi="方正小标宋_GBK" w:eastAsia="方正小标宋_GBK" w:cs="方正小标宋_GBK"/>
          <w:b/>
          <w:color w:val="auto"/>
          <w:kern w:val="44"/>
          <w:sz w:val="36"/>
          <w:szCs w:val="36"/>
          <w:highlight w:val="none"/>
        </w:rPr>
        <w:t>云南省高校大学生征兵工作措施</w:t>
      </w:r>
      <w:bookmarkEnd w:id="516"/>
    </w:p>
    <w:p>
      <w:pPr>
        <w:spacing w:line="560" w:lineRule="exact"/>
        <w:jc w:val="center"/>
        <w:rPr>
          <w:rFonts w:ascii="方正楷体_GBK" w:hAnsi="方正楷体_GBK" w:eastAsia="方正楷体_GBK" w:cs="方正楷体_GBK"/>
          <w:b/>
          <w:color w:val="auto"/>
          <w:sz w:val="28"/>
          <w:szCs w:val="28"/>
          <w:highlight w:val="none"/>
        </w:rPr>
      </w:pPr>
      <w:bookmarkStart w:id="517" w:name="_Toc18598"/>
      <w:r>
        <w:rPr>
          <w:rFonts w:hint="eastAsia" w:ascii="方正楷体_GBK" w:hAnsi="方正楷体_GBK" w:eastAsia="方正楷体_GBK" w:cs="方正楷体_GBK"/>
          <w:b/>
          <w:color w:val="auto"/>
          <w:sz w:val="28"/>
          <w:szCs w:val="28"/>
          <w:highlight w:val="none"/>
        </w:rPr>
        <w:t>云征【2020】16号</w:t>
      </w:r>
      <w:bookmarkEnd w:id="517"/>
    </w:p>
    <w:p>
      <w:pPr>
        <w:spacing w:line="560" w:lineRule="exact"/>
        <w:ind w:firstLine="643" w:firstLineChars="200"/>
        <w:rPr>
          <w:rFonts w:ascii="方正楷体_GBK" w:hAnsi="楷体" w:eastAsia="方正楷体_GBK" w:cs="宋体"/>
          <w:b/>
          <w:color w:val="auto"/>
          <w:sz w:val="32"/>
          <w:szCs w:val="32"/>
          <w:highlight w:val="none"/>
        </w:rPr>
      </w:pP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为深入贯彻落实习近平强军思想，适应一年两次征兵两次退役改革需要，进一步加强高校大学生征兵工作，依据国家有关政策，结合我省实际，制定以下措施。</w:t>
      </w:r>
    </w:p>
    <w:p>
      <w:pPr>
        <w:spacing w:line="560" w:lineRule="exact"/>
        <w:ind w:firstLine="640" w:firstLineChars="200"/>
        <w:outlineLvl w:val="1"/>
        <w:rPr>
          <w:rFonts w:eastAsia="方正黑体_GBK" w:asciiTheme="majorHAnsi" w:hAnsiTheme="majorHAnsi" w:cstheme="majorBidi"/>
          <w:bCs/>
          <w:color w:val="auto"/>
          <w:sz w:val="32"/>
          <w:szCs w:val="32"/>
          <w:highlight w:val="none"/>
        </w:rPr>
      </w:pPr>
      <w:bookmarkStart w:id="518" w:name="_Toc16672"/>
      <w:r>
        <w:rPr>
          <w:rFonts w:hint="eastAsia" w:eastAsia="方正黑体_GBK" w:asciiTheme="majorHAnsi" w:hAnsiTheme="majorHAnsi" w:cstheme="majorBidi"/>
          <w:bCs/>
          <w:color w:val="auto"/>
          <w:sz w:val="32"/>
          <w:szCs w:val="32"/>
          <w:highlight w:val="none"/>
        </w:rPr>
        <w:t>一、进一步激励大学生参军</w:t>
      </w:r>
      <w:bookmarkEnd w:id="518"/>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 普通全日制高等学校在校生、新生和各类高校应（往）届毕业生被征集为义务兵的，按应往届毕业生参军入伍（含上半年毕业班学生）本科8000元/人、专科6000元/人给予奖励；在校生和新生按本科4000元/人、专科3000元/人给予奖励，在校硕士研究生按本科毕业生标准奖励。所需经费由省财政承担，每年11月底核准参军入伍人数，翌年6月底前逐级下拨到位。直招士官不再享受经济奖励政策。</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2. 高校可通过增加升学和奖励机会等形式，鼓励更多优秀大学生报名应征。要结合思想政治教育、国防教育，引导共产党员、入党积极分子、优秀班（团）干部、奖学金获得者等带头响应国家号召，积极报名参军。</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3. 对从高校所在地报名应征的外省（地）大学生，在以兵役机关为主统筹解决相关参军补助经费的基础上，有条件的高校可结合实际，给予适当的交通、住宿和生活补助；对批准入伍的本校大学生，有条件的高校可给予报销矫正视力、治疗精索静脉曲张等为应征而产生的医疗费用。</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4. 大学生士兵退役复学，可免修公共体育、军事课以及相关公共选修课程，具体课程以及课程赋分办法由各高校制定。进一步放宽退役大学生士兵转专业限制，复学后需转专业的，经学校同意并履行相关程序后，可转入其他专业学习。</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5. 具有免试推荐硕士研究生资格的高校，可将大学生服役经历以加分、加大单项指标权重等方式，计入硕士研究生考试综合素质测评指标体系及推免工作管理办法。高校要结合实际情况适当扩大“退役大学生士兵”专项硕士研究生招生计划规模，无专项计划的招生单位按规定程序申请增设专项计划。</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6. 对大学生士兵退役复学的，同等条件下高校应优先推荐评先评优、入党入团、安排勤工俭学岗位、享用高校众创空间等资源；高校每年招聘辅导员、管理人员时，同等条件下有服役经历的大学毕业生优先录用。医学类大学生退役后参加我省住院医师规范化培训招录考试，同等条件下优先录取。</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7. 对退役2年内未就业的高校毕业生（含入伍期间取得毕业证的），按规定落实相关就业创业扶持政策，对属于就业困难人员的，可通过公益性岗位安置等就业援助措施实施就业帮扶。</w:t>
      </w:r>
    </w:p>
    <w:p>
      <w:pPr>
        <w:spacing w:line="560" w:lineRule="exact"/>
        <w:ind w:firstLine="640" w:firstLineChars="200"/>
        <w:outlineLvl w:val="1"/>
        <w:rPr>
          <w:rFonts w:eastAsia="方正黑体_GBK" w:asciiTheme="majorHAnsi" w:hAnsiTheme="majorHAnsi" w:cstheme="majorBidi"/>
          <w:bCs/>
          <w:color w:val="auto"/>
          <w:sz w:val="32"/>
          <w:szCs w:val="32"/>
          <w:highlight w:val="none"/>
        </w:rPr>
      </w:pPr>
      <w:bookmarkStart w:id="519" w:name="_Toc10950"/>
      <w:r>
        <w:rPr>
          <w:rFonts w:hint="eastAsia" w:eastAsia="方正黑体_GBK" w:asciiTheme="majorHAnsi" w:hAnsiTheme="majorHAnsi" w:cstheme="majorBidi"/>
          <w:bCs/>
          <w:color w:val="auto"/>
          <w:sz w:val="32"/>
          <w:szCs w:val="32"/>
          <w:highlight w:val="none"/>
        </w:rPr>
        <w:t>二、进一步激励大学毕业生参军</w:t>
      </w:r>
      <w:bookmarkEnd w:id="519"/>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8. 凡体格检查和政治考核合格的大学毕业生全部定兵，全日制本科毕业生优先选择服役去向，临床医学类毕业生尽量安排到部队医疗系统服役。</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9. 鼓励毕业班学生上半年参军入伍。上半年参军的高职（专科）毕业班学生，完成专业理论课程学习并取得毕业规定所需学分、仅需再完成毕业实习即能够毕业的，部队服役经历等同于毕业实习，所在高校7月份颁发毕业证书。上半年参军的普通本科及以上毕业班学生，完成专业理论课程的学习与相关实习、仅需毕业设计和论文答辩评审合格即能毕业的，就读高校于3月初开辟上半年参军入伍学生毕业设计和论文答辩绿色通道，毕业班学生凭预定兵通知书参加评审，合格的7月份颁发毕业证书。以上两类毕业班学生均享受应届毕业生入伍有关优惠政策。</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10. 高校可采取增加奖励额度、评优评奖等措施，鼓励大学毕业生尤其是外省籍大学毕业生在滇应征入伍。外省籍高校毕业生在滇入伍同等享受省级出台的相关优惠政策，退役落户后可按照人才落户等政策在云南省任一城镇地区（含昆明主城区）“零门槛”办理户口迁移落户。</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11. 具有普通高职（专科）毕业学历的退役士兵，退役2年内且专业对口的，可推荐免试入读我省普通本科。参加专升本考试被录取的专科应届毕业生参军入伍，按规定保留入学资格，退役后2年内到录取高校办理入学手续。2022年起，高职（专科）毕业生及在校生（含高校新生）应征入伍，退役后在完成高职（专科）学业的前提下，可免试入读普通本科，或根据意愿入读成人本科。</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12. 高校毕业生被机关、团体、企业事业单位录用或者聘用的（含合同制人员），参加征兵体检、政治考核、役前教育训练期间，其所在单位应当保持其原有工资、奖金和福利待遇；被批准入伍的，应主动书面告知单位，服役期间单位为其保留人事关系或者劳动关系；退役后30日内向原单位提出复职复工申请，过期视为自动放弃，服现役年限计算为工龄。</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13. 已签订《全国普通高校毕业生就业协议》的高校毕业班学生，被批准入伍时，由县级兵役机关商本人、高校和用人单位签订延期2年执行协议的纪要，退役后30日内向用人单位报到，按原签订的三方协议执行。已签订定向培养协议的高校应届毕业生应征入伍，服义务兵役2年计算为工龄，抵扣2年协议义务期。义务兵役期满被选取为士官或提升为军官的，免除剩余协议义务，不作违约处理</w:t>
      </w:r>
      <w:r>
        <w:rPr>
          <w:rFonts w:hint="eastAsia" w:ascii="方正仿宋_GBK" w:hAnsi="方正仿宋_GBK" w:eastAsia="方正仿宋_GBK" w:cs="方正仿宋_GBK"/>
          <w:color w:val="auto"/>
          <w:kern w:val="0"/>
          <w:sz w:val="32"/>
          <w:szCs w:val="32"/>
          <w:highlight w:val="none"/>
          <w:lang w:eastAsia="zh-CN"/>
        </w:rPr>
        <w:t>，</w:t>
      </w:r>
      <w:r>
        <w:rPr>
          <w:rFonts w:hint="eastAsia" w:ascii="方正仿宋_GBK" w:hAnsi="方正仿宋_GBK" w:eastAsia="方正仿宋_GBK" w:cs="方正仿宋_GBK"/>
          <w:color w:val="auto"/>
          <w:kern w:val="0"/>
          <w:sz w:val="32"/>
          <w:szCs w:val="32"/>
          <w:highlight w:val="none"/>
        </w:rPr>
        <w:t>定向医学生按国卫科教发〔2019〕56号文件执行。</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14. 在军队服役5年以上的高校毕业生士兵，退役后3年内报考公务员，共享我省“三支一扶”等面向基层服务项目人员定向考录计划。鼓励和支持事业单位公开招聘时安排一定数量岗位定向招聘退役高校毕业生士兵，高校毕业生士兵退役后1年内，参加事业单位招考时享受应届毕业生待遇。乡镇专武干部主要面向符合条件的高校毕业生退役士兵招录。</w:t>
      </w:r>
    </w:p>
    <w:p>
      <w:pPr>
        <w:spacing w:line="560" w:lineRule="exact"/>
        <w:ind w:firstLine="640" w:firstLineChars="200"/>
        <w:outlineLvl w:val="1"/>
        <w:rPr>
          <w:rFonts w:eastAsia="方正黑体_GBK" w:asciiTheme="majorHAnsi" w:hAnsiTheme="majorHAnsi" w:cstheme="majorBidi"/>
          <w:bCs/>
          <w:color w:val="auto"/>
          <w:sz w:val="32"/>
          <w:szCs w:val="32"/>
          <w:highlight w:val="none"/>
        </w:rPr>
      </w:pPr>
      <w:bookmarkStart w:id="520" w:name="_Toc7555"/>
      <w:r>
        <w:rPr>
          <w:rFonts w:hint="eastAsia" w:eastAsia="方正黑体_GBK" w:asciiTheme="majorHAnsi" w:hAnsiTheme="majorHAnsi" w:cstheme="majorBidi"/>
          <w:bCs/>
          <w:color w:val="auto"/>
          <w:sz w:val="32"/>
          <w:szCs w:val="32"/>
          <w:highlight w:val="none"/>
        </w:rPr>
        <w:t>三、进一步强化目标责任落实</w:t>
      </w:r>
      <w:bookmarkEnd w:id="520"/>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15. 省委教育工委、省军区动员局将征兵工作纳入省属高校党管武装工作考评内容，分值权重不低于35%；省委教育工委将征兵工作纳入高校党建和思想政治工作评价体系，明确相应分值；省文明办、省委教育工委将高校征兵工作纳入文明校园创建活动管理办法，未完成年度任务的列入负面清单事项；省委教育工委、省教育厅、省人力资源和社会保障厅将高校应届毕业生入伍人数列入就业统计，并纳入高校就业创业工作目标责任考核。</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16. 省征兵办公室按照每征集1名大学生补助400元的标准给予高校专项补助。对完成年度大学生总征集任务的高校奖励1万元，对完成大学毕业生征集任务的再奖励1万元。以上经费纳入高校财务统一核算，专项用于征兵工作。各高校武装部完成任务较好的，可纳入高校内部或个人绩效考核内容，并作为加分项反映。高校征兵工作人员占用法定节假日工作，以及占用休息日工作又不能安排补休的，按《劳动法》有关规定支付工资报酬。</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17. 建立健全高校征兵工作与招生计划分配联动奖罚机制，动态调整全省各高校普通本、专科存量计划，未完成上年征兵任务的高校将按1：2扣减其存量计划，调整出的存量计划将用于奖励任务完成或超额完成，且符合计划调增条件的高校。</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18. 省委教育工委、省教育厅、省征兵办公室每年通报高校征兵工作完成情况，高校党委要把征兵工作纳入各级领导和工作人员年度工作绩效考核内容；各级兵役机关要积极支持属地高校完成任务指标，征兵开始前与高校商定从学校所在地入伍计划数，在学校合格人员充足的情况不得擅自调减计划或设置障碍。未完成年度征兵任务的高校，要在当年12月底前向省委教育工委、省教育厅和省征兵办公室作书面检查，党委书记（民办高校法定代表人）视情在全省大学生征兵工作会议上检讨，并酌情追究未完成任务高校所在地的县（市、区）兵役机关责任。</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ascii="方正仿宋_GBK" w:hAnsi="方正仿宋_GBK" w:eastAsia="方正仿宋_GBK" w:cs="方正仿宋_GBK"/>
          <w:color w:val="auto"/>
          <w:kern w:val="0"/>
          <w:sz w:val="32"/>
          <w:szCs w:val="32"/>
          <w:highlight w:val="none"/>
        </w:rPr>
        <w:t>征集大学生参军入伍是党中央、国务院、中央军委作出的重大战略决策。做好高校大学生征兵工作是全面建成世界一流军队的迫切需要，是提高部队战斗力的源头工程。各级各单位要广泛开展宣传教育，弘扬爱国主义主旋律</w:t>
      </w:r>
      <w:r>
        <w:rPr>
          <w:rFonts w:hint="eastAsia" w:ascii="方正仿宋_GBK" w:hAnsi="方正仿宋_GBK" w:eastAsia="方正仿宋_GBK" w:cs="方正仿宋_GBK"/>
          <w:color w:val="auto"/>
          <w:kern w:val="0"/>
          <w:sz w:val="32"/>
          <w:szCs w:val="32"/>
          <w:highlight w:val="none"/>
          <w:lang w:eastAsia="zh-CN"/>
        </w:rPr>
        <w:t>，</w:t>
      </w:r>
      <w:r>
        <w:rPr>
          <w:rFonts w:ascii="方正仿宋_GBK" w:hAnsi="方正仿宋_GBK" w:eastAsia="方正仿宋_GBK" w:cs="方正仿宋_GBK"/>
          <w:color w:val="auto"/>
          <w:kern w:val="0"/>
          <w:sz w:val="32"/>
          <w:szCs w:val="32"/>
          <w:highlight w:val="none"/>
        </w:rPr>
        <w:t>提振崇军尚武精气神</w:t>
      </w:r>
      <w:r>
        <w:rPr>
          <w:rFonts w:hint="eastAsia" w:ascii="方正仿宋_GBK" w:hAnsi="方正仿宋_GBK" w:eastAsia="方正仿宋_GBK" w:cs="方正仿宋_GBK"/>
          <w:color w:val="auto"/>
          <w:kern w:val="0"/>
          <w:sz w:val="32"/>
          <w:szCs w:val="32"/>
          <w:highlight w:val="none"/>
          <w:lang w:eastAsia="zh-CN"/>
        </w:rPr>
        <w:t>，</w:t>
      </w:r>
      <w:r>
        <w:rPr>
          <w:rFonts w:ascii="方正仿宋_GBK" w:hAnsi="方正仿宋_GBK" w:eastAsia="方正仿宋_GBK" w:cs="方正仿宋_GBK"/>
          <w:color w:val="auto"/>
          <w:kern w:val="0"/>
          <w:sz w:val="32"/>
          <w:szCs w:val="32"/>
          <w:highlight w:val="none"/>
        </w:rPr>
        <w:t>增强公民依法履行兵役义务的荣誉感和责任感。要不断健全完善本地区本部门本系统配套政策措施</w:t>
      </w:r>
      <w:r>
        <w:rPr>
          <w:rFonts w:hint="eastAsia" w:ascii="方正仿宋_GBK" w:hAnsi="方正仿宋_GBK" w:eastAsia="方正仿宋_GBK" w:cs="方正仿宋_GBK"/>
          <w:color w:val="auto"/>
          <w:kern w:val="0"/>
          <w:sz w:val="32"/>
          <w:szCs w:val="32"/>
          <w:highlight w:val="none"/>
          <w:lang w:eastAsia="zh-CN"/>
        </w:rPr>
        <w:t>，</w:t>
      </w:r>
      <w:r>
        <w:rPr>
          <w:rFonts w:ascii="方正仿宋_GBK" w:hAnsi="方正仿宋_GBK" w:eastAsia="方正仿宋_GBK" w:cs="方正仿宋_GBK"/>
          <w:color w:val="auto"/>
          <w:kern w:val="0"/>
          <w:sz w:val="32"/>
          <w:szCs w:val="32"/>
          <w:highlight w:val="none"/>
        </w:rPr>
        <w:t>切实为大学生参军入伍提供便利、搞好服务;要强化政策措施落地落实</w:t>
      </w:r>
      <w:r>
        <w:rPr>
          <w:rFonts w:hint="eastAsia" w:ascii="方正仿宋_GBK" w:hAnsi="方正仿宋_GBK" w:eastAsia="方正仿宋_GBK" w:cs="方正仿宋_GBK"/>
          <w:color w:val="auto"/>
          <w:kern w:val="0"/>
          <w:sz w:val="32"/>
          <w:szCs w:val="32"/>
          <w:highlight w:val="none"/>
          <w:lang w:eastAsia="zh-CN"/>
        </w:rPr>
        <w:t>，</w:t>
      </w:r>
      <w:r>
        <w:rPr>
          <w:rFonts w:ascii="方正仿宋_GBK" w:hAnsi="方正仿宋_GBK" w:eastAsia="方正仿宋_GBK" w:cs="方正仿宋_GBK"/>
          <w:color w:val="auto"/>
          <w:kern w:val="0"/>
          <w:sz w:val="32"/>
          <w:szCs w:val="32"/>
          <w:highlight w:val="none"/>
        </w:rPr>
        <w:t>让参军报国的广大青午</w:t>
      </w:r>
      <w:r>
        <w:rPr>
          <w:rFonts w:hint="eastAsia" w:ascii="方正仿宋_GBK" w:hAnsi="方正仿宋_GBK" w:eastAsia="方正仿宋_GBK" w:cs="方正仿宋_GBK"/>
          <w:color w:val="auto"/>
          <w:kern w:val="0"/>
          <w:sz w:val="32"/>
          <w:szCs w:val="32"/>
          <w:highlight w:val="none"/>
        </w:rPr>
        <w:t>真正得实惠、享</w:t>
      </w:r>
      <w:r>
        <w:rPr>
          <w:rFonts w:ascii="方正仿宋_GBK" w:hAnsi="方正仿宋_GBK" w:eastAsia="方正仿宋_GBK" w:cs="方正仿宋_GBK"/>
          <w:color w:val="auto"/>
          <w:kern w:val="0"/>
          <w:sz w:val="32"/>
          <w:szCs w:val="32"/>
          <w:highlight w:val="none"/>
        </w:rPr>
        <w:t>优待、受尊崇、有发展。</w:t>
      </w:r>
    </w:p>
    <w:p>
      <w:pPr>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本措施自印发之日起执行。省以往规定与本措施不一致的，以本措施为准。</w:t>
      </w:r>
    </w:p>
    <w:p>
      <w:pPr>
        <w:spacing w:line="560" w:lineRule="exact"/>
        <w:jc w:val="center"/>
        <w:outlineLvl w:val="0"/>
        <w:rPr>
          <w:rFonts w:hint="eastAsia" w:ascii="方正小标宋_GBK" w:hAnsi="方正小标宋_GBK" w:eastAsia="方正小标宋_GBK" w:cs="方正小标宋_GBK"/>
          <w:b/>
          <w:bCs/>
          <w:color w:val="auto"/>
          <w:sz w:val="32"/>
          <w:szCs w:val="32"/>
          <w:highlight w:val="none"/>
        </w:rPr>
      </w:pPr>
    </w:p>
    <w:p>
      <w:pPr>
        <w:spacing w:line="560" w:lineRule="exact"/>
        <w:jc w:val="center"/>
        <w:outlineLvl w:val="0"/>
        <w:rPr>
          <w:rFonts w:hint="eastAsia" w:ascii="方正公文黑体" w:hAnsi="方正公文黑体" w:eastAsia="方正公文黑体" w:cs="方正公文黑体"/>
          <w:b/>
          <w:bCs/>
          <w:color w:val="auto"/>
          <w:sz w:val="36"/>
          <w:szCs w:val="36"/>
          <w:highlight w:val="none"/>
        </w:rPr>
      </w:pPr>
      <w:bookmarkStart w:id="521" w:name="_Toc32732"/>
      <w:r>
        <w:rPr>
          <w:rFonts w:hint="eastAsia" w:ascii="方正公文黑体" w:hAnsi="方正公文黑体" w:eastAsia="方正公文黑体" w:cs="方正公文黑体"/>
          <w:b/>
          <w:bCs/>
          <w:color w:val="auto"/>
          <w:sz w:val="36"/>
          <w:szCs w:val="36"/>
          <w:highlight w:val="none"/>
        </w:rPr>
        <w:t>关于明确高校征兵工作几个事项的通知</w:t>
      </w:r>
      <w:bookmarkEnd w:id="521"/>
    </w:p>
    <w:p>
      <w:pPr>
        <w:spacing w:line="560" w:lineRule="exact"/>
        <w:jc w:val="center"/>
        <w:rPr>
          <w:rFonts w:hint="eastAsia" w:ascii="方正公文黑体" w:hAnsi="方正公文黑体" w:eastAsia="方正公文黑体" w:cs="方正公文黑体"/>
          <w:b/>
          <w:color w:val="auto"/>
          <w:sz w:val="28"/>
          <w:szCs w:val="28"/>
          <w:highlight w:val="none"/>
        </w:rPr>
      </w:pPr>
      <w:r>
        <w:rPr>
          <w:rFonts w:hint="eastAsia" w:ascii="方正公文黑体" w:hAnsi="方正公文黑体" w:eastAsia="方正公文黑体" w:cs="方正公文黑体"/>
          <w:b/>
          <w:color w:val="auto"/>
          <w:sz w:val="28"/>
          <w:szCs w:val="28"/>
          <w:highlight w:val="none"/>
        </w:rPr>
        <w:t>动【2021】25号</w:t>
      </w:r>
    </w:p>
    <w:p>
      <w:pPr>
        <w:spacing w:line="560" w:lineRule="exact"/>
        <w:jc w:val="center"/>
        <w:rPr>
          <w:rFonts w:ascii="方正小标宋_GBK" w:hAnsi="方正小标宋_GBK" w:eastAsia="方正小标宋_GBK" w:cs="方正小标宋_GBK"/>
          <w:color w:val="auto"/>
          <w:sz w:val="44"/>
          <w:szCs w:val="44"/>
          <w:highlight w:val="none"/>
        </w:rPr>
      </w:pP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为深入贯彻习近平强军思想，加强和改进兵役工作，进一步提升高校征兵工作质效，现就有关事项明确如下。</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一、突出大学毕业生征集。</w:t>
      </w:r>
      <w:r>
        <w:rPr>
          <w:rFonts w:hint="eastAsia" w:ascii="方正仿宋_GBK" w:hAnsi="方正仿宋_GBK" w:eastAsia="方正仿宋_GBK" w:cs="方正仿宋_GBK"/>
          <w:color w:val="auto"/>
          <w:sz w:val="32"/>
          <w:szCs w:val="32"/>
          <w:highlight w:val="none"/>
        </w:rPr>
        <w:t>适应国家重点征集大学毕业生形势，调整大学生征集有关政策。取消各高校大学在校生征集任务考核，2021年只考评高校大学毕业生征集任务完成情况，2021年下半年起，取消高校大学在校生征集补助。2022年起，不再下达大学在校生征集任务，同步取消大学在校生参军个人奖励;各高校完成大学毕业生征集任务补助和奖励﹐由省征兵办公室和省委教育工委在年度省级兵役征集专项经费预算总额内统筹安排。</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二、科学安排专科毕业班生实习。</w:t>
      </w:r>
      <w:r>
        <w:rPr>
          <w:rFonts w:hint="eastAsia" w:ascii="方正仿宋_GBK" w:hAnsi="方正仿宋_GBK" w:eastAsia="方正仿宋_GBK" w:cs="方正仿宋_GBK"/>
          <w:color w:val="auto"/>
          <w:sz w:val="32"/>
          <w:szCs w:val="32"/>
          <w:highlight w:val="none"/>
        </w:rPr>
        <w:t>对志愿上半年参军的专科毕业班生，高校要前移工作关口，在学生离校实习前完成身体初检、确定预征对象工作。对初检合格被确定为预征对象的，高校要结合毕业实习时段搞好分类指导，毕业实习从上学期开始的，要集中就近安排实习地点，建立联络机制，做好实习期思想跟踪和稳控工作；毕业实习从下学期开始的，按教育部文件规定入伍经历作为毕业实习经历（不含临床医学类)。</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三、精细服务本科毕业班生参军。</w:t>
      </w:r>
      <w:r>
        <w:rPr>
          <w:rFonts w:hint="eastAsia" w:ascii="方正仿宋_GBK" w:hAnsi="方正仿宋_GBK" w:eastAsia="方正仿宋_GBK" w:cs="方正仿宋_GBK"/>
          <w:color w:val="auto"/>
          <w:sz w:val="32"/>
          <w:szCs w:val="32"/>
          <w:highlight w:val="none"/>
        </w:rPr>
        <w:t>对上半年报名应征的本科毕业班生，属地县级征兵办公室要会同学校在寒假前完成体检，合格的发放预定兵通知书。高校负责指导已预定人员在寒假期间完成毕业设计和论文撰写，收假后及时开辟毕业绿色通道。</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四、严格审核毕业班生学历。</w:t>
      </w:r>
      <w:r>
        <w:rPr>
          <w:rFonts w:hint="eastAsia" w:ascii="方正仿宋_GBK" w:hAnsi="方正仿宋_GBK" w:eastAsia="方正仿宋_GBK" w:cs="方正仿宋_GBK"/>
          <w:color w:val="auto"/>
          <w:sz w:val="32"/>
          <w:szCs w:val="32"/>
          <w:highlight w:val="none"/>
        </w:rPr>
        <w:t>对于上半年参军的毕业班生，为卡准年龄条件、是否优先征集等，高校要对其能否如期毕业进行审核，在大学生预征对象登记表上给出鉴定意见:“(符合/不符合）毕业条件”。不符合毕业条件的，一律按大学在校生征集，避免出现超龄入伍等违规情况。</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五、统筹推行“一站式”服务。</w:t>
      </w:r>
      <w:r>
        <w:rPr>
          <w:rFonts w:hint="eastAsia" w:ascii="方正仿宋_GBK" w:hAnsi="方正仿宋_GBK" w:eastAsia="方正仿宋_GBK" w:cs="方正仿宋_GBK"/>
          <w:color w:val="auto"/>
          <w:sz w:val="32"/>
          <w:szCs w:val="32"/>
          <w:highlight w:val="none"/>
        </w:rPr>
        <w:t>征兵集中组织实施期间</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高校征兵工作站积极协调教务、财务、学生和档案管理等部门，开展“一站式”办理学生保留学籍、保留入学资格、学费补偿代偿、学历审核、提供党团材料等工作。</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六、及时发放入伍通知书</w:t>
      </w:r>
      <w:r>
        <w:rPr>
          <w:rFonts w:hint="eastAsia" w:ascii="方正仿宋_GBK" w:hAnsi="方正仿宋_GBK" w:eastAsia="方正仿宋_GBK" w:cs="方正仿宋_GBK"/>
          <w:color w:val="auto"/>
          <w:sz w:val="32"/>
          <w:szCs w:val="32"/>
          <w:highlight w:val="none"/>
        </w:rPr>
        <w:t>。县级征兵办公室在填写入伍批准书时一并将入伍通知书发放给新兵本人或家长，最晚于新兵起运前发放完毕。同时，提醒新兵及时将复印件提供高校武装部完善有关手续，家长持原件到户籍地乡（镇、街道)退役军人服务站做好信息采集。严禁缓发迟发入伍通知书，影响学生办理入学资格或学籍保留、学费补偿代偿等手续。入伍后被部队退回的，县级征兵办公室办理退兵手续时收缴入伍通知书，同时通知户籍地退役军人事务部门及时注销信息。</w:t>
      </w:r>
    </w:p>
    <w:p>
      <w:pPr>
        <w:spacing w:line="560" w:lineRule="exact"/>
        <w:ind w:firstLine="640" w:firstLineChars="200"/>
        <w:rPr>
          <w:rFonts w:ascii="方正仿宋_GBK" w:hAnsi="方正仿宋_GBK" w:eastAsia="方正仿宋_GBK" w:cs="方正仿宋_GBK"/>
          <w:color w:val="auto"/>
          <w:sz w:val="32"/>
          <w:szCs w:val="32"/>
          <w:highlight w:val="none"/>
        </w:rPr>
      </w:pPr>
      <w:r>
        <w:rPr>
          <w:rFonts w:hint="eastAsia" w:eastAsia="方正黑体_GBK" w:asciiTheme="majorHAnsi" w:hAnsiTheme="majorHAnsi" w:cstheme="majorBidi"/>
          <w:bCs/>
          <w:color w:val="auto"/>
          <w:sz w:val="32"/>
          <w:szCs w:val="32"/>
          <w:highlight w:val="none"/>
        </w:rPr>
        <w:t>七、做好高校学生退役复学。</w:t>
      </w:r>
      <w:r>
        <w:rPr>
          <w:rFonts w:hint="eastAsia" w:ascii="方正仿宋_GBK" w:hAnsi="方正仿宋_GBK" w:eastAsia="方正仿宋_GBK" w:cs="方正仿宋_GBK"/>
          <w:color w:val="auto"/>
          <w:sz w:val="32"/>
          <w:szCs w:val="32"/>
          <w:highlight w:val="none"/>
        </w:rPr>
        <w:t>上半年入伍的高校在校生退役后，可在3月份复学，或根据本人意愿翌年3月份复学；参加专项招生录取、春季入学的新生，退役后按此类学生年度入学计划组织复学；检疫复查期内淘汰退出的，应准其及时复学；因身体原因提前退役，连续离校时间未超过半年的，可办理本学期复学手续，连续离校时间超过半年的，一般顺延1学期或1学年办理复学手续。</w:t>
      </w:r>
    </w:p>
    <w:p>
      <w:pPr>
        <w:pStyle w:val="2"/>
        <w:spacing w:before="156"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156" w:line="560" w:lineRule="exact"/>
        <w:ind w:firstLine="0" w:firstLineChars="0"/>
        <w:rPr>
          <w:color w:val="auto"/>
          <w:highlight w:val="none"/>
        </w:rPr>
      </w:pPr>
      <w:bookmarkStart w:id="522" w:name="_Toc889"/>
      <w:r>
        <w:rPr>
          <w:rFonts w:hint="eastAsia" w:ascii="方正小标宋_GBK" w:hAnsi="方正小标宋_GBK" w:eastAsia="方正小标宋_GBK" w:cs="方正小标宋_GBK"/>
          <w:color w:val="auto"/>
          <w:highlight w:val="none"/>
        </w:rPr>
        <w:t>高等学校毕业生学费和国家助学贷款代偿暂行办法</w:t>
      </w:r>
      <w:bookmarkEnd w:id="522"/>
    </w:p>
    <w:p>
      <w:pPr>
        <w:spacing w:line="560" w:lineRule="exact"/>
        <w:jc w:val="center"/>
        <w:rPr>
          <w:rFonts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shd w:val="clear" w:color="auto" w:fill="FFFFFF"/>
        </w:rPr>
        <w:t>（财教〔2009〕15号）</w:t>
      </w:r>
    </w:p>
    <w:p>
      <w:pPr>
        <w:spacing w:line="560" w:lineRule="exact"/>
        <w:ind w:firstLine="643" w:firstLineChars="200"/>
        <w:jc w:val="left"/>
        <w:rPr>
          <w:rFonts w:ascii="方正楷体_GBK" w:eastAsia="方正楷体_GBK"/>
          <w:b/>
          <w:color w:val="auto"/>
          <w:sz w:val="32"/>
          <w:szCs w:val="32"/>
          <w:highlight w:val="none"/>
        </w:rPr>
      </w:pPr>
    </w:p>
    <w:p>
      <w:pPr>
        <w:spacing w:line="560" w:lineRule="exact"/>
        <w:ind w:firstLine="643" w:firstLineChars="200"/>
        <w:jc w:val="left"/>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第一条</w:t>
      </w:r>
      <w:r>
        <w:rPr>
          <w:rFonts w:hint="eastAsia" w:ascii="方正仿宋_GBK" w:eastAsia="方正仿宋_GBK"/>
          <w:color w:val="auto"/>
          <w:sz w:val="32"/>
          <w:szCs w:val="32"/>
          <w:highlight w:val="none"/>
        </w:rPr>
        <w:t xml:space="preserve">  为引导和鼓励高校毕业生面向中西部地区和艰苦边远地区基层单位就业，根据《中共中央关于推进农村改革发展若干重大问题的决定》（中发〔2008〕16号）和《国务院办公厅关于加强普通高等学校毕业生就业工作的通知》（国办发〔2009〕3号）有关精神，制定本办法。</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高校毕业生到中西部地区和艰苦边远地区基层单位就业、服务期在3年以上（含3年）的，其学费由国家实行代偿。在校学习期间获得国家助学贷款（含高校国家助学贷款和生源地信用助学贷款，下同）的，代偿的学费优先用于偿还国家助学贷款本金及其全部偿还之前产生的利息。</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本办法中高校毕业生是指中央部门所属普通高等学校中的全日制本专科生（含高职）、研究生、第二学士学位应届毕业生。定向、委培以及在校学习期间已享受免除学费政策的学生除外。</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第四条</w:t>
      </w:r>
      <w:r>
        <w:rPr>
          <w:rFonts w:hint="eastAsia" w:ascii="方正仿宋_GBK" w:eastAsia="方正仿宋_GBK"/>
          <w:color w:val="auto"/>
          <w:sz w:val="32"/>
          <w:szCs w:val="32"/>
          <w:highlight w:val="none"/>
        </w:rPr>
        <w:t xml:space="preserve">  本办法中，西部地区是指西藏、内蒙古、广西、重庆、四川、贵州、云南、陕西、甘肃、青海、宁夏、新疆等12个省（自治区、直辖市）。</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中部地区是指河北、山西、吉林、黑龙江、安徽、江西、河南、湖北、湖南、海南等10个省。</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艰苦边远地区是指除上述地区外，国务院规定的艰苦边远地区。</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本办法中的基层单位是指：</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（一）中西部地区和艰苦边远地区县以下机关、企事业单位，包括乡（镇）政府机关、农村中小学、国有农（牧、林）场、农业技术推广站、畜牧兽医站、乡镇卫生院、计划生育服务站、乡镇文化站等；</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（二）工作现场地处中西部地区和艰苦边远地区县以下的气象、地震、地质、水电施工、煤炭、石油、航海、核工业等中央单位艰苦行业生产第一线。</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第六条</w:t>
      </w:r>
      <w:r>
        <w:rPr>
          <w:rFonts w:hint="eastAsia" w:ascii="方正仿宋_GBK" w:eastAsia="方正仿宋_GBK"/>
          <w:color w:val="auto"/>
          <w:sz w:val="32"/>
          <w:szCs w:val="32"/>
          <w:highlight w:val="none"/>
        </w:rPr>
        <w:t xml:space="preserve">  凡符合以下全部条件的高校毕业生，可申请学费和国家助学贷款代偿：</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（一）拥护中国共产党的领导，热爱祖国，遵守宪法和法律；</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（二）在校期间遵守学校各项规章制度，诚实守信，道德品质良好，学习成绩合格；</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（三）毕业时自愿到中西部地区和艰苦边远地区基层单位工作、服务期在3年以上（含3年）。</w:t>
      </w:r>
    </w:p>
    <w:p>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第七条</w:t>
      </w:r>
      <w:r>
        <w:rPr>
          <w:rFonts w:hint="eastAsia" w:ascii="方正楷体_GBK" w:eastAsia="方正楷体_GBK"/>
          <w:sz w:val="32"/>
          <w:szCs w:val="32"/>
        </w:rPr>
        <w:t xml:space="preserve">  </w:t>
      </w:r>
      <w:r>
        <w:rPr>
          <w:rFonts w:hint="eastAsia" w:ascii="方正仿宋_GBK" w:eastAsia="方正仿宋_GBK"/>
          <w:sz w:val="32"/>
          <w:szCs w:val="32"/>
        </w:rPr>
        <w:t>每个高校毕业生每学年代偿学费和国家助学贷款的金额最高不超过</w:t>
      </w:r>
      <w:r>
        <w:rPr>
          <w:rFonts w:hint="eastAsia" w:ascii="方正仿宋_GBK" w:eastAsia="方正仿宋_GBK"/>
          <w:sz w:val="32"/>
          <w:szCs w:val="32"/>
          <w:highlight w:val="yellow"/>
          <w:lang w:val="en-US" w:eastAsia="zh-CN"/>
        </w:rPr>
        <w:t>12000</w:t>
      </w:r>
      <w:r>
        <w:rPr>
          <w:rFonts w:hint="eastAsia" w:ascii="方正仿宋_GBK" w:eastAsia="方正仿宋_GBK"/>
          <w:sz w:val="32"/>
          <w:szCs w:val="32"/>
        </w:rPr>
        <w:t>元。毕业生在校学习期间每年实际缴纳的学费或获得的国家助学贷款低于</w:t>
      </w:r>
      <w:r>
        <w:rPr>
          <w:rFonts w:hint="eastAsia" w:ascii="方正仿宋_GBK" w:eastAsia="方正仿宋_GBK"/>
          <w:sz w:val="32"/>
          <w:szCs w:val="32"/>
          <w:highlight w:val="yellow"/>
          <w:lang w:val="en-US" w:eastAsia="zh-CN"/>
        </w:rPr>
        <w:t>12000</w:t>
      </w:r>
      <w:r>
        <w:rPr>
          <w:rFonts w:hint="eastAsia" w:ascii="方正仿宋_GBK" w:eastAsia="方正仿宋_GBK"/>
          <w:sz w:val="32"/>
          <w:szCs w:val="32"/>
        </w:rPr>
        <w:t>元的，按照实际缴纳的学费或获得的国家助学贷款金额实行代偿。毕业生在校学习期间每年实际缴纳的学费或获得的国家助学贷款高于</w:t>
      </w:r>
      <w:r>
        <w:rPr>
          <w:rFonts w:hint="eastAsia" w:ascii="方正仿宋_GBK" w:eastAsia="方正仿宋_GBK"/>
          <w:sz w:val="32"/>
          <w:szCs w:val="32"/>
          <w:highlight w:val="yellow"/>
          <w:lang w:val="en-US" w:eastAsia="zh-CN"/>
        </w:rPr>
        <w:t>12000</w:t>
      </w:r>
      <w:r>
        <w:rPr>
          <w:rFonts w:hint="eastAsia" w:ascii="方正仿宋_GBK" w:eastAsia="方正仿宋_GBK"/>
          <w:sz w:val="32"/>
          <w:szCs w:val="32"/>
        </w:rPr>
        <w:t>元的，按照每年</w:t>
      </w:r>
      <w:r>
        <w:rPr>
          <w:rFonts w:hint="eastAsia" w:ascii="方正仿宋_GBK" w:eastAsia="方正仿宋_GBK"/>
          <w:sz w:val="32"/>
          <w:szCs w:val="32"/>
          <w:highlight w:val="yellow"/>
          <w:lang w:val="en-US" w:eastAsia="zh-CN"/>
        </w:rPr>
        <w:t>12000</w:t>
      </w:r>
      <w:r>
        <w:rPr>
          <w:rFonts w:hint="eastAsia" w:ascii="方正仿宋_GBK" w:eastAsia="方正仿宋_GBK"/>
          <w:sz w:val="32"/>
          <w:szCs w:val="32"/>
        </w:rPr>
        <w:t>元的金额实行代偿。</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本科、专科（高职）、研究生和第二学士学位毕业生代偿学费和国家助学贷款的年限，分别按照国家规定的相应学制计算。</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第八条</w:t>
      </w:r>
      <w:r>
        <w:rPr>
          <w:rFonts w:hint="eastAsia" w:ascii="方正仿宋_GBK" w:eastAsia="方正仿宋_GBK"/>
          <w:color w:val="auto"/>
          <w:sz w:val="32"/>
          <w:szCs w:val="32"/>
          <w:highlight w:val="none"/>
        </w:rPr>
        <w:t xml:space="preserve">  国家对到中西部地区和艰苦边远地区基层单位就业的获得学费和国家助学贷款代偿资格的高校毕业生采取分年度代偿的办法，学生毕业后每年代偿学费或国家助学贷款总额的1/3，3年代偿完毕。</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第九条</w:t>
      </w:r>
      <w:r>
        <w:rPr>
          <w:rFonts w:hint="eastAsia" w:ascii="方正仿宋_GBK" w:eastAsia="方正仿宋_GBK"/>
          <w:color w:val="auto"/>
          <w:sz w:val="32"/>
          <w:szCs w:val="32"/>
          <w:highlight w:val="none"/>
        </w:rPr>
        <w:t xml:space="preserve">  按本办法确定的学费和国家助学贷款代偿所需资金，由中央财政安排。</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第十条</w:t>
      </w:r>
      <w:r>
        <w:rPr>
          <w:rFonts w:hint="eastAsia" w:ascii="方正仿宋_GBK" w:eastAsia="方正仿宋_GBK"/>
          <w:color w:val="auto"/>
          <w:sz w:val="32"/>
          <w:szCs w:val="32"/>
          <w:highlight w:val="none"/>
        </w:rPr>
        <w:t xml:space="preserve">  符合条件的高校毕业生，按以下程序申请学费和国家助学贷款代偿：</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（一）高校毕业生本人在办理离校手续时向学校递交《学费和国家助学贷款代偿申请表》和毕业生本人、就业单位与学校三方签署的到中西部地区和艰苦边远地区基层单位服务3年以上的就业协议。</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（二）在校学习期间获得国家助学贷款的高校毕业生，在与国家助学贷款经办银行签订毕业后的还款计划书时，应注明已申请国家助学贷款代偿，如果获得国家助学贷款代偿资格，不需自行向银行还款。</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高校根据上述材料，按本办法规定，审查申请资格；在每年6月底前，将符合条件的高校毕业生相关材料集中报送全国学生资助管理中心审批。对存在“二次定岗”的毕业生，高校应在毕业生提交有关证明材料并经审查后，最迟于当年12月底前将申请材料集中报送全国学生资助管理中心审批。</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全国学生资助管理中心在收到高校申请材料后一个月内，将审批确定的获得学费和国家助学贷款代偿资格的学生名单通知有关高校及国家助学贷款经办银行，同时将有关审批文件报教育部、财政部备案。</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仿宋_GBK" w:eastAsia="方正仿宋_GBK"/>
          <w:color w:val="auto"/>
          <w:sz w:val="32"/>
          <w:szCs w:val="32"/>
          <w:highlight w:val="none"/>
        </w:rPr>
        <w:t xml:space="preserve">  高校需在每年6月30日前将获得学费和国家助学贷款代偿资格的高校毕业生当年在职在岗情况报送全国学生资助管理中心。</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高校毕业生所在高校要建立与就业单位和国家助学贷款经办银行定期联系制度。高校要专门为经资格审查合格的学费和国家助学贷款代偿的高校毕业生建立完整准确的档案，并将高校毕业生在本学段学习期间获得学费和国家助学贷款代偿情况书面通知毕业生本人、就业单位人事部门及国家助学贷款经办银行。同时，还应主动了解并定期向全国学生资助管理中心和国家助学贷款经办银行通报毕业生的工作情况，以便经办银行及时掌握借款学生的动态情况，做好国家助学贷款业务贷后管理工作。</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第十二条  </w:t>
      </w:r>
      <w:r>
        <w:rPr>
          <w:rFonts w:hint="eastAsia" w:ascii="方正仿宋_GBK" w:eastAsia="方正仿宋_GBK"/>
          <w:color w:val="auto"/>
          <w:sz w:val="32"/>
          <w:szCs w:val="32"/>
          <w:highlight w:val="none"/>
        </w:rPr>
        <w:t>除因正常调动、提拔、工作需要换岗而离开中西部地区和艰苦边远地区基层单位外，对于未满3年服务年限，提前离开中西部地区和艰苦边远地区基层单位的高校毕业生，就业单位人事部门应要求其及时向办理代偿的原高校申请取消学费和国家助学贷款代偿资格。</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对于取消学费代偿资格的毕业生，高校应及时将有关情况报送全国学生资助管理中心。全国学生资助管理中心从当年开始停止对其学费的代偿。</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取消国家助学贷款代偿资格的毕业生，改由其本人负责偿还余下的国家助学贷款本息。就业单位应当及时将有关情况通报给高校，并凭毕业生重新签订的国家助学贷款还款计划书为其办理离职手续。高校应将有关情况及时通知全国学生资助管理中心和国家助学贷款经办银行。</w:t>
      </w:r>
    </w:p>
    <w:p>
      <w:pPr>
        <w:spacing w:line="560" w:lineRule="exact"/>
        <w:ind w:firstLine="640" w:firstLineChars="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不及时向高校提出取消学费和国家助学贷款代偿资格申请、不与银行重新签订还款计划书、提前离岗的高校毕业生，一律视为严重违约，国家有关部门要将其不良信用记录及时录入国家金融业统一征信平台相关数据库。</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仿宋_GBK" w:eastAsia="方正仿宋_GBK"/>
          <w:color w:val="auto"/>
          <w:sz w:val="32"/>
          <w:szCs w:val="32"/>
          <w:highlight w:val="none"/>
        </w:rPr>
        <w:t xml:space="preserve">  学费和国家助学贷款代偿资格经全国学生资助管理中心审定后，有关部门（单位）应按照部门预算管理的有关规定，将学费和国家助学贷款代偿资助项目经费编入部门预算。财政部及时将代偿资金拨付给全国学生资助管理中心。全国学生资助管理中心应在收到财政部拨付的代偿资金15个工作日内，将代偿资金拨付给高校。高校应于15个工作日内将代偿资金代为偿还给高校毕业生国家助学贷款经办银行或返还给高校毕业生本人。</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第十四条</w:t>
      </w:r>
      <w:r>
        <w:rPr>
          <w:rFonts w:hint="eastAsia" w:ascii="方正仿宋_GBK" w:eastAsia="方正仿宋_GBK"/>
          <w:color w:val="auto"/>
          <w:sz w:val="32"/>
          <w:szCs w:val="32"/>
          <w:highlight w:val="none"/>
        </w:rPr>
        <w:t xml:space="preserve">  有关高校要严格执行国家相关财经法规和本办法的规定，对代偿资金实行分账核算，专款专用，不得截留、挤占、挪用，同时应接受财政、审计、纪检监察、主管机关等部门的检查和监督。</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第十五条</w:t>
      </w:r>
      <w:r>
        <w:rPr>
          <w:rFonts w:hint="eastAsia" w:ascii="方正仿宋_GBK" w:eastAsia="方正仿宋_GBK"/>
          <w:color w:val="auto"/>
          <w:sz w:val="32"/>
          <w:szCs w:val="32"/>
          <w:highlight w:val="none"/>
        </w:rPr>
        <w:t xml:space="preserve">  对于弄虚作假的高校和高校毕业生，一经查实，除收回国家代偿资金外，将按有关规定追究相关责任。</w:t>
      </w:r>
    </w:p>
    <w:p>
      <w:pPr>
        <w:spacing w:line="560" w:lineRule="exact"/>
        <w:ind w:firstLine="643" w:firstLineChars="200"/>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第十六条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各省（自治区、直辖市）要参照本办法规定的原则，制定吸引和鼓励高校毕业生面向本辖区艰苦边远地区基层单位就业的学费和国家助学贷款代偿办法。</w:t>
      </w:r>
    </w:p>
    <w:p>
      <w:pPr>
        <w:spacing w:line="560" w:lineRule="exact"/>
        <w:ind w:firstLine="643" w:firstLineChars="200"/>
        <w:rPr>
          <w:rFonts w:hint="eastAsia" w:ascii="方正仿宋_GBK" w:eastAsia="方正仿宋_GBK"/>
          <w:color w:val="auto"/>
          <w:sz w:val="32"/>
          <w:szCs w:val="32"/>
          <w:highlight w:val="none"/>
        </w:rPr>
      </w:pPr>
      <w:r>
        <w:rPr>
          <w:rFonts w:hint="eastAsia" w:ascii="方正楷体_GBK" w:eastAsia="方正楷体_GBK"/>
          <w:b/>
          <w:color w:val="auto"/>
          <w:sz w:val="32"/>
          <w:szCs w:val="32"/>
          <w:highlight w:val="none"/>
        </w:rPr>
        <w:t>第十七条</w:t>
      </w:r>
      <w:r>
        <w:rPr>
          <w:rFonts w:hint="eastAsia" w:ascii="方正仿宋_GBK" w:eastAsia="方正仿宋_GBK"/>
          <w:color w:val="auto"/>
          <w:sz w:val="32"/>
          <w:szCs w:val="32"/>
          <w:highlight w:val="none"/>
        </w:rPr>
        <w:t xml:space="preserve">  本办法自公布之日起施行。财政部、教育部印发的《高等学校毕业生国家助学贷款代偿资助暂行办法》（财教〔2006〕133号）同时废止。</w:t>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_GBK" w:hAnsi="方正小标宋_GBK" w:eastAsia="方正小标宋_GBK" w:cs="方正小标宋_GBK"/>
          <w:b/>
          <w:color w:val="auto"/>
          <w:kern w:val="44"/>
          <w:sz w:val="32"/>
          <w:szCs w:val="32"/>
          <w:highlight w:val="none"/>
          <w:lang w:val="en-US" w:eastAsia="zh-CN" w:bidi="ar-SA"/>
        </w:rPr>
      </w:pPr>
    </w:p>
    <w:p>
      <w:pPr>
        <w:spacing w:line="560" w:lineRule="exact"/>
        <w:jc w:val="center"/>
        <w:outlineLvl w:val="0"/>
        <w:rPr>
          <w:rFonts w:hint="eastAsia" w:ascii="方正公文小标宋" w:hAnsi="方正公文小标宋" w:eastAsia="方正公文小标宋" w:cs="方正公文小标宋"/>
          <w:b/>
          <w:bCs/>
          <w:color w:val="auto"/>
          <w:sz w:val="36"/>
          <w:szCs w:val="36"/>
          <w:highlight w:val="none"/>
        </w:rPr>
      </w:pPr>
      <w:bookmarkStart w:id="523" w:name="_Toc19184"/>
      <w:r>
        <w:rPr>
          <w:rFonts w:hint="eastAsia" w:ascii="方正公文小标宋" w:hAnsi="方正公文小标宋" w:eastAsia="方正公文小标宋" w:cs="方正公文小标宋"/>
          <w:b/>
          <w:bCs/>
          <w:color w:val="auto"/>
          <w:sz w:val="36"/>
          <w:szCs w:val="36"/>
          <w:highlight w:val="none"/>
          <w:lang w:val="en-US" w:eastAsia="zh-CN"/>
        </w:rPr>
        <w:t>教育部办公厅关于进一步做好普通高校毕业生就业统计与核查工作的通知</w:t>
      </w:r>
      <w:bookmarkEnd w:id="523"/>
    </w:p>
    <w:p>
      <w:pPr>
        <w:keepNext w:val="0"/>
        <w:keepLines w:val="0"/>
        <w:pageBreakBefore w:val="0"/>
        <w:widowControl w:val="0"/>
        <w:kinsoku/>
        <w:wordWrap/>
        <w:overflowPunct/>
        <w:topLinePunct w:val="0"/>
        <w:bidi w:val="0"/>
        <w:adjustRightInd/>
        <w:snapToGrid/>
        <w:spacing w:line="560" w:lineRule="exact"/>
        <w:jc w:val="righ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教学厅函〔2021〕19 号</w:t>
      </w:r>
    </w:p>
    <w:p>
      <w:pPr>
        <w:keepNext w:val="0"/>
        <w:keepLines w:val="0"/>
        <w:pageBreakBefore w:val="0"/>
        <w:widowControl w:val="0"/>
        <w:kinsoku/>
        <w:wordWrap/>
        <w:overflowPunct/>
        <w:topLinePunct w:val="0"/>
        <w:bidi w:val="0"/>
        <w:adjustRightInd/>
        <w:snapToGrid/>
        <w:spacing w:line="560" w:lineRule="exact"/>
        <w:textAlignment w:val="auto"/>
        <w:rPr>
          <w:rFonts w:hint="eastAsia" w:ascii="方正仿宋_GBK" w:hAnsi="方正仿宋_GBK" w:eastAsia="方正仿宋_GBK" w:cs="方正仿宋_GBK"/>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各省、自治区、直辖市教育厅（教委），新疆生产建设兵团教育局，有关省、自治区人力资源社会保障厅，部属各高等学校、部省合建各高等学校：</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就业统计是高校毕业生就业工作的重要内容，对及时掌握毕业生就业进展、服务政府宏观调控和科学决策具有关键意义。为进一步健全和完善高校毕业生就业统计与核查机制，确保毕业生就业数据真实准确，现就有关要求通知如下。</w:t>
      </w:r>
    </w:p>
    <w:p>
      <w:pPr>
        <w:keepNext w:val="0"/>
        <w:keepLines w:val="0"/>
        <w:pageBreakBefore w:val="0"/>
        <w:widowControl w:val="0"/>
        <w:kinsoku/>
        <w:wordWrap/>
        <w:overflowPunct/>
        <w:topLinePunct w:val="0"/>
        <w:bidi w:val="0"/>
        <w:adjustRightInd/>
        <w:snapToGrid/>
        <w:spacing w:line="560" w:lineRule="exact"/>
        <w:ind w:firstLine="643"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一、准确把握就业统计指标。</w:t>
      </w:r>
      <w:r>
        <w:rPr>
          <w:rFonts w:hint="eastAsia" w:ascii="方正仿宋_GBK" w:hAnsi="方正仿宋_GBK" w:eastAsia="方正仿宋_GBK" w:cs="方正仿宋_GBK"/>
          <w:color w:val="auto"/>
          <w:sz w:val="32"/>
          <w:szCs w:val="32"/>
          <w:highlight w:val="none"/>
        </w:rPr>
        <w:t>就业统计对象是普通高等学校、科研院所具有普通高等教育学籍且取得毕业资格的所有本科、专科（高职）学生和研究生，包含定向、委培等。为更加准确反映高校毕业生升学、就业等毕业去向情况，从 2021 届起，将“就业率”改为“毕业去向落实率”。针对高校毕业生就业出现的新情况，教育部对就业统计指标进行了修订（见附件 1、附件 2），各地各高校要在就业统计工作中严格执行新指标要求。</w:t>
      </w:r>
    </w:p>
    <w:p>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二、定期报送就业进展情况。</w:t>
      </w:r>
      <w:r>
        <w:rPr>
          <w:rFonts w:hint="eastAsia" w:ascii="方正仿宋_GBK" w:hAnsi="方正仿宋_GBK" w:eastAsia="方正仿宋_GBK" w:cs="方正仿宋_GBK"/>
          <w:color w:val="auto"/>
          <w:sz w:val="32"/>
          <w:szCs w:val="32"/>
          <w:highlight w:val="none"/>
        </w:rPr>
        <w:t>每年 12 月至次年 8 月为就业进展情况定期报送时间，分为“年报”“月报”“周报”和“日报”。 “年报”时间是 8 月 31 日，为毕业生初次就业情况报送截止时间，各高校通过全国高校毕业生就业管理系统报送就业数据，各地要在当日 24 时前对高校报送的就业数据予以确认。“月报”时间是 12 月至次年 3 月，各高校在每月 1 日前完成就业数据报送。“周报”时间是 4 月至 8 月，各地各高校报送就业数据，各地报送各级各类招聘活动场次岗位情况和政策性岗位开发情况（报送方式另行通知），在每周五 17 时前完成。“日报”时间是 4 月至8 月，100 所布点监测高校在每个工作日 17 时前完成就业数据报送。</w:t>
      </w:r>
    </w:p>
    <w:p>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三、严格落实就业统计责任制。</w:t>
      </w:r>
      <w:r>
        <w:rPr>
          <w:rFonts w:hint="eastAsia" w:ascii="方正仿宋_GBK" w:hAnsi="方正仿宋_GBK" w:eastAsia="方正仿宋_GBK" w:cs="方正仿宋_GBK"/>
          <w:color w:val="auto"/>
          <w:sz w:val="32"/>
          <w:szCs w:val="32"/>
          <w:highlight w:val="none"/>
        </w:rPr>
        <w:t>各省级教育部门、有关省级人力资源社会保障部门（以下简称各省级就业工作部门）要切实承担本地高校毕业生就业统计工作主体责任，各高校要承担本校毕业生就业统计工作第一责任。在每年 4 月至 8 月“周报”期间， 各省级就业工作部门分管厅（委、局）领导要在毕业去向落实情况统计表签字确认（见附件 3），由各省级就业工作部门存档备查；各高校分管校领导要在毕业去向落实情况统计表签字确认（见附件 3），报省级就业工作部门备案。各省级就业工作部门在对外公开本省毕业生毕业去向落实率之前，须与教育部高校学生司核实数据，未经核实不得擅自公开。各高校未经省级就业工作部门同意，不得向其他部门、机构等提供本校就业数据。</w:t>
      </w:r>
    </w:p>
    <w:p>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四、强化就业数据抽查核查。</w:t>
      </w:r>
      <w:r>
        <w:rPr>
          <w:rFonts w:hint="eastAsia" w:ascii="方正仿宋_GBK" w:hAnsi="方正仿宋_GBK" w:eastAsia="方正仿宋_GBK" w:cs="方正仿宋_GBK"/>
          <w:color w:val="auto"/>
          <w:sz w:val="32"/>
          <w:szCs w:val="32"/>
          <w:highlight w:val="none"/>
        </w:rPr>
        <w:t>每年 9 月初，教育部委托国家统计局开展毕业生就业状况抽样调查，结果将向各地通报。教育部开展就业数据核查，与国家相关部门的企事业单位数据库进行比对，并委托第三方机构进行抽查。各省级就业工作部门在每年8 月 31 日前要对本地高校毕业生就业数据进行核查。各高校在数据报送前要做好全面自查，严格审核每个毕业生的就业材料， 相关纸质或电子材料要在校级就业部门存档备查，存档时间为 3—5 年。</w:t>
      </w:r>
    </w:p>
    <w:p>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五、严格落实“四不准”要求。</w:t>
      </w:r>
      <w:r>
        <w:rPr>
          <w:rFonts w:hint="eastAsia" w:ascii="方正仿宋_GBK" w:hAnsi="方正仿宋_GBK" w:eastAsia="方正仿宋_GBK" w:cs="方正仿宋_GBK"/>
          <w:color w:val="auto"/>
          <w:sz w:val="32"/>
          <w:szCs w:val="32"/>
          <w:highlight w:val="none"/>
        </w:rPr>
        <w:t>各地各高校要严格执行就业工作“四不准”规定，不准以任何方式强迫毕业生签订就业协议和劳动合同，不准将毕业证书、学位证书发放与毕业生签约挂钩， 不准以户档托管为由劝说毕业生签订虚假就业协议，不准将毕业生顶岗实习、见习证明材料作为就业证明材料。教育部和各地对违反“四不准”要求的高校和相关人员，要严肃查处通报，并纳入负面清单，在招生计划安排、学科专业申报、教学评估、评奖评优、领导班子考核等工作中作为负面因素重点参考，原则上应取消相关增量安排、评奖评优评先等资格。</w:t>
      </w:r>
    </w:p>
    <w:p>
      <w:pPr>
        <w:keepNext w:val="0"/>
        <w:keepLines w:val="0"/>
        <w:pageBreakBefore w:val="0"/>
        <w:widowControl w:val="0"/>
        <w:kinsoku/>
        <w:wordWrap/>
        <w:overflowPunct/>
        <w:topLinePunct w:val="0"/>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六、加强就业统计组织管理。</w:t>
      </w:r>
      <w:r>
        <w:rPr>
          <w:rFonts w:hint="eastAsia" w:ascii="方正仿宋_GBK" w:hAnsi="方正仿宋_GBK" w:eastAsia="方正仿宋_GBK" w:cs="方正仿宋_GBK"/>
          <w:color w:val="auto"/>
          <w:sz w:val="32"/>
          <w:szCs w:val="32"/>
          <w:highlight w:val="none"/>
        </w:rPr>
        <w:t>各地各高校要统一思想，提高认识，高度重视就业统计工作，专门制定就业统计工作方案，在人员、经费等方面给予保障，开展统计工作培训。各省级就业工作部门要会同教育督导部门，共同做好本地高校就业统计指导、督查工作。</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联系人及电话：应</w:t>
      </w:r>
      <w:r>
        <w:rPr>
          <w:rFonts w:hint="eastAsia" w:ascii="方正仿宋_GBK" w:hAnsi="方正仿宋_GBK" w:eastAsia="方正仿宋_GBK" w:cs="方正仿宋_GBK"/>
          <w:color w:val="auto"/>
          <w:sz w:val="32"/>
          <w:szCs w:val="32"/>
          <w:highlight w:val="none"/>
        </w:rPr>
        <w:tab/>
      </w:r>
      <w:r>
        <w:rPr>
          <w:rFonts w:hint="eastAsia" w:ascii="方正仿宋_GBK" w:hAnsi="方正仿宋_GBK" w:eastAsia="方正仿宋_GBK" w:cs="方正仿宋_GBK"/>
          <w:color w:val="auto"/>
          <w:sz w:val="32"/>
          <w:szCs w:val="32"/>
          <w:highlight w:val="none"/>
        </w:rPr>
        <w:t>好</w:t>
      </w:r>
      <w:r>
        <w:rPr>
          <w:rFonts w:hint="eastAsia" w:ascii="方正仿宋_GBK" w:hAnsi="方正仿宋_GBK" w:eastAsia="方正仿宋_GBK" w:cs="方正仿宋_GBK"/>
          <w:color w:val="auto"/>
          <w:sz w:val="32"/>
          <w:szCs w:val="32"/>
          <w:highlight w:val="none"/>
        </w:rPr>
        <w:tab/>
      </w:r>
      <w:r>
        <w:rPr>
          <w:rFonts w:hint="eastAsia" w:ascii="方正仿宋_GBK" w:hAnsi="方正仿宋_GBK" w:eastAsia="方正仿宋_GBK" w:cs="方正仿宋_GBK"/>
          <w:color w:val="auto"/>
          <w:sz w:val="32"/>
          <w:szCs w:val="32"/>
          <w:highlight w:val="none"/>
        </w:rPr>
        <w:t>盖思远 010-66097865</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邮</w:t>
      </w:r>
      <w:r>
        <w:rPr>
          <w:rFonts w:hint="eastAsia" w:ascii="方正仿宋_GBK" w:hAnsi="方正仿宋_GBK" w:eastAsia="方正仿宋_GBK" w:cs="方正仿宋_GBK"/>
          <w:color w:val="auto"/>
          <w:sz w:val="32"/>
          <w:szCs w:val="32"/>
          <w:highlight w:val="none"/>
        </w:rPr>
        <w:tab/>
      </w:r>
      <w:r>
        <w:rPr>
          <w:rFonts w:hint="eastAsia" w:ascii="方正仿宋_GBK" w:hAnsi="方正仿宋_GBK" w:eastAsia="方正仿宋_GBK" w:cs="方正仿宋_GBK"/>
          <w:color w:val="auto"/>
          <w:sz w:val="32"/>
          <w:szCs w:val="32"/>
          <w:highlight w:val="none"/>
        </w:rPr>
        <w:t>箱：xssjyc@moe.edu.cn</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附件：1.高校毕业生毕业去向统计分类</w:t>
      </w: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2.高校毕业生毕业去向界定及标准</w:t>
      </w: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3.高校毕业生毕业去向落实情况统计表</w:t>
      </w: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rPr>
      </w:pP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rPr>
      </w:pPr>
    </w:p>
    <w:p>
      <w:pPr>
        <w:keepNext w:val="0"/>
        <w:keepLines w:val="0"/>
        <w:pageBreakBefore w:val="0"/>
        <w:widowControl w:val="0"/>
        <w:kinsoku/>
        <w:wordWrap/>
        <w:overflowPunct/>
        <w:topLinePunct w:val="0"/>
        <w:bidi w:val="0"/>
        <w:adjustRightInd/>
        <w:snapToGrid/>
        <w:spacing w:line="560" w:lineRule="exact"/>
        <w:textAlignment w:val="auto"/>
        <w:rPr>
          <w:rFonts w:hint="eastAsia" w:ascii="方正仿宋_GBK" w:hAnsi="方正仿宋_GBK" w:eastAsia="方正仿宋_GBK" w:cs="方正仿宋_GBK"/>
          <w:color w:val="auto"/>
          <w:sz w:val="32"/>
          <w:szCs w:val="32"/>
          <w:highlight w:val="none"/>
        </w:rPr>
      </w:pP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lang w:eastAsia="zh-CN"/>
        </w:rPr>
      </w:pPr>
    </w:p>
    <w:p>
      <w:pPr>
        <w:keepNext w:val="0"/>
        <w:keepLines w:val="0"/>
        <w:pageBreakBefore w:val="0"/>
        <w:widowControl w:val="0"/>
        <w:kinsoku/>
        <w:wordWrap/>
        <w:overflowPunct/>
        <w:topLinePunct w:val="0"/>
        <w:bidi w:val="0"/>
        <w:adjustRightInd/>
        <w:snapToGrid/>
        <w:spacing w:line="560" w:lineRule="exact"/>
        <w:ind w:firstLine="1600" w:firstLineChars="500"/>
        <w:textAlignment w:val="auto"/>
        <w:rPr>
          <w:rFonts w:hint="eastAsia" w:ascii="方正仿宋_GBK" w:hAnsi="方正仿宋_GBK" w:eastAsia="方正仿宋_GBK" w:cs="方正仿宋_GBK"/>
          <w:color w:val="auto"/>
          <w:sz w:val="32"/>
          <w:szCs w:val="32"/>
          <w:highlight w:val="none"/>
          <w:lang w:eastAsia="zh-CN"/>
        </w:rPr>
        <w:sectPr>
          <w:footerReference r:id="rId6" w:type="default"/>
          <w:pgSz w:w="11906" w:h="16838"/>
          <w:pgMar w:top="1400" w:right="1800" w:bottom="1984" w:left="1800" w:header="851" w:footer="992" w:gutter="0"/>
          <w:pgNumType w:fmt="decimal"/>
          <w:cols w:space="425" w:num="1"/>
          <w:rtlGutter w:val="0"/>
          <w:docGrid w:type="lines" w:linePitch="312" w:charSpace="0"/>
        </w:sectPr>
      </w:pPr>
    </w:p>
    <w:p>
      <w:pPr>
        <w:pStyle w:val="6"/>
        <w:spacing w:before="54"/>
        <w:ind w:left="554"/>
        <w:rPr>
          <w:rFonts w:hint="eastAsia" w:ascii="黑体" w:eastAsia="黑体"/>
          <w:color w:val="auto"/>
          <w:highlight w:val="none"/>
        </w:rPr>
      </w:pPr>
      <w:r>
        <w:rPr>
          <w:rFonts w:hint="eastAsia" w:ascii="黑体" w:eastAsia="黑体"/>
          <w:color w:val="auto"/>
          <w:spacing w:val="-26"/>
          <w:highlight w:val="none"/>
        </w:rPr>
        <w:t xml:space="preserve">附件 </w:t>
      </w:r>
      <w:r>
        <w:rPr>
          <w:rFonts w:hint="eastAsia" w:ascii="黑体" w:eastAsia="黑体"/>
          <w:color w:val="auto"/>
          <w:highlight w:val="none"/>
        </w:rPr>
        <w:t>1</w:t>
      </w:r>
    </w:p>
    <w:p>
      <w:pPr>
        <w:pStyle w:val="6"/>
        <w:spacing w:before="7"/>
        <w:rPr>
          <w:rFonts w:ascii="黑体"/>
          <w:color w:val="auto"/>
          <w:sz w:val="40"/>
          <w:highlight w:val="none"/>
        </w:rPr>
      </w:pPr>
      <w:r>
        <w:rPr>
          <w:color w:val="auto"/>
          <w:highlight w:val="none"/>
        </w:rPr>
        <w:br w:type="column"/>
      </w:r>
    </w:p>
    <w:p>
      <w:pPr>
        <w:pStyle w:val="2"/>
        <w:jc w:val="both"/>
        <w:rPr>
          <w:color w:val="auto"/>
          <w:highlight w:val="none"/>
        </w:rPr>
      </w:pPr>
      <w:bookmarkStart w:id="524" w:name="_Toc16827"/>
      <w:bookmarkStart w:id="525" w:name="_Toc27091"/>
      <w:bookmarkStart w:id="526" w:name="_Toc5142"/>
      <w:r>
        <w:rPr>
          <w:color w:val="auto"/>
          <w:highlight w:val="none"/>
        </w:rPr>
        <w:t>高校毕业生毕业去向统计分类</w:t>
      </w:r>
      <w:bookmarkEnd w:id="524"/>
      <w:bookmarkEnd w:id="525"/>
      <w:bookmarkEnd w:id="526"/>
    </w:p>
    <w:p>
      <w:pPr>
        <w:spacing w:after="0"/>
        <w:rPr>
          <w:color w:val="auto"/>
          <w:highlight w:val="none"/>
        </w:rPr>
        <w:sectPr>
          <w:pgSz w:w="16840" w:h="11910" w:orient="landscape"/>
          <w:pgMar w:top="1400" w:right="1260" w:bottom="1984" w:left="1260" w:header="720" w:footer="720" w:gutter="0"/>
          <w:pgNumType w:fmt="decimal"/>
          <w:cols w:equalWidth="0" w:num="2">
            <w:col w:w="1477" w:space="2267"/>
            <w:col w:w="10576"/>
          </w:cols>
          <w:rtlGutter w:val="0"/>
        </w:sectPr>
      </w:pPr>
    </w:p>
    <w:tbl>
      <w:tblPr>
        <w:tblStyle w:val="22"/>
        <w:tblW w:w="0" w:type="auto"/>
        <w:tblInd w:w="2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6"/>
        <w:gridCol w:w="2126"/>
        <w:gridCol w:w="4537"/>
        <w:gridCol w:w="2976"/>
        <w:gridCol w:w="2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416" w:type="dxa"/>
          </w:tcPr>
          <w:p>
            <w:pPr>
              <w:pStyle w:val="44"/>
              <w:spacing w:before="104"/>
              <w:ind w:left="284" w:right="279"/>
              <w:jc w:val="center"/>
              <w:rPr>
                <w:rFonts w:hint="eastAsia" w:ascii="黑体" w:eastAsia="黑体"/>
                <w:color w:val="auto"/>
                <w:sz w:val="32"/>
                <w:highlight w:val="none"/>
              </w:rPr>
            </w:pPr>
            <w:r>
              <w:rPr>
                <w:rFonts w:hint="eastAsia" w:ascii="黑体" w:eastAsia="黑体"/>
                <w:color w:val="auto"/>
                <w:sz w:val="32"/>
                <w:highlight w:val="none"/>
              </w:rPr>
              <w:t>分类</w:t>
            </w:r>
          </w:p>
        </w:tc>
        <w:tc>
          <w:tcPr>
            <w:tcW w:w="2126" w:type="dxa"/>
          </w:tcPr>
          <w:p>
            <w:pPr>
              <w:pStyle w:val="44"/>
              <w:spacing w:before="104"/>
              <w:ind w:left="422"/>
              <w:rPr>
                <w:rFonts w:hint="eastAsia" w:ascii="黑体" w:eastAsia="黑体"/>
                <w:color w:val="auto"/>
                <w:sz w:val="32"/>
                <w:highlight w:val="none"/>
              </w:rPr>
            </w:pPr>
            <w:r>
              <w:rPr>
                <w:rFonts w:hint="eastAsia" w:ascii="黑体" w:eastAsia="黑体"/>
                <w:color w:val="auto"/>
                <w:sz w:val="32"/>
                <w:highlight w:val="none"/>
              </w:rPr>
              <w:t>包含内容</w:t>
            </w:r>
          </w:p>
        </w:tc>
        <w:tc>
          <w:tcPr>
            <w:tcW w:w="4537" w:type="dxa"/>
          </w:tcPr>
          <w:p>
            <w:pPr>
              <w:pStyle w:val="44"/>
              <w:spacing w:before="104"/>
              <w:ind w:left="1148"/>
              <w:rPr>
                <w:rFonts w:hint="eastAsia" w:ascii="黑体" w:eastAsia="黑体"/>
                <w:color w:val="auto"/>
                <w:sz w:val="32"/>
                <w:highlight w:val="none"/>
              </w:rPr>
            </w:pPr>
            <w:r>
              <w:rPr>
                <w:rFonts w:hint="eastAsia" w:ascii="黑体" w:eastAsia="黑体"/>
                <w:color w:val="auto"/>
                <w:sz w:val="32"/>
                <w:highlight w:val="none"/>
              </w:rPr>
              <w:t>包含的毕业去向</w:t>
            </w:r>
          </w:p>
        </w:tc>
        <w:tc>
          <w:tcPr>
            <w:tcW w:w="5708" w:type="dxa"/>
            <w:gridSpan w:val="2"/>
          </w:tcPr>
          <w:p>
            <w:pPr>
              <w:pStyle w:val="44"/>
              <w:spacing w:before="104"/>
              <w:ind w:left="1994" w:right="1984"/>
              <w:jc w:val="center"/>
              <w:rPr>
                <w:rFonts w:hint="eastAsia" w:ascii="黑体" w:eastAsia="黑体"/>
                <w:color w:val="auto"/>
                <w:sz w:val="32"/>
                <w:highlight w:val="none"/>
              </w:rPr>
            </w:pPr>
            <w:r>
              <w:rPr>
                <w:rFonts w:hint="eastAsia" w:ascii="黑体" w:eastAsia="黑体"/>
                <w:color w:val="auto"/>
                <w:sz w:val="32"/>
                <w:highlight w:val="none"/>
              </w:rPr>
              <w:t xml:space="preserve">统计 </w:t>
            </w:r>
            <w:r>
              <w:rPr>
                <w:rFonts w:ascii="Times New Roman" w:eastAsia="Times New Roman"/>
                <w:color w:val="auto"/>
                <w:sz w:val="32"/>
                <w:highlight w:val="none"/>
              </w:rPr>
              <w:t xml:space="preserve">7 </w:t>
            </w:r>
            <w:r>
              <w:rPr>
                <w:rFonts w:hint="eastAsia" w:ascii="黑体" w:eastAsia="黑体"/>
                <w:color w:val="auto"/>
                <w:sz w:val="32"/>
                <w:highlight w:val="none"/>
              </w:rPr>
              <w:t>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0" w:hRule="atLeast"/>
        </w:trPr>
        <w:tc>
          <w:tcPr>
            <w:tcW w:w="1416" w:type="dxa"/>
            <w:vMerge w:val="restart"/>
          </w:tcPr>
          <w:p>
            <w:pPr>
              <w:pStyle w:val="44"/>
              <w:rPr>
                <w:rFonts w:ascii="方正小标宋_GBK"/>
                <w:color w:val="auto"/>
                <w:sz w:val="32"/>
                <w:highlight w:val="none"/>
              </w:rPr>
            </w:pPr>
          </w:p>
          <w:p>
            <w:pPr>
              <w:pStyle w:val="44"/>
              <w:rPr>
                <w:rFonts w:ascii="方正小标宋_GBK"/>
                <w:color w:val="auto"/>
                <w:sz w:val="32"/>
                <w:highlight w:val="none"/>
              </w:rPr>
            </w:pPr>
          </w:p>
          <w:p>
            <w:pPr>
              <w:pStyle w:val="44"/>
              <w:spacing w:before="15"/>
              <w:rPr>
                <w:rFonts w:ascii="方正小标宋_GBK"/>
                <w:color w:val="auto"/>
                <w:sz w:val="20"/>
                <w:highlight w:val="none"/>
              </w:rPr>
            </w:pPr>
          </w:p>
          <w:p>
            <w:pPr>
              <w:pStyle w:val="44"/>
              <w:ind w:left="304"/>
              <w:rPr>
                <w:rFonts w:hint="eastAsia" w:ascii="黑体" w:eastAsia="黑体"/>
                <w:color w:val="auto"/>
                <w:sz w:val="32"/>
                <w:highlight w:val="none"/>
              </w:rPr>
            </w:pPr>
            <w:r>
              <w:rPr>
                <w:rFonts w:hint="eastAsia" w:ascii="黑体" w:eastAsia="黑体"/>
                <w:color w:val="auto"/>
                <w:sz w:val="32"/>
                <w:highlight w:val="none"/>
              </w:rPr>
              <w:t>就 业</w:t>
            </w:r>
          </w:p>
        </w:tc>
        <w:tc>
          <w:tcPr>
            <w:tcW w:w="2126" w:type="dxa"/>
          </w:tcPr>
          <w:p>
            <w:pPr>
              <w:pStyle w:val="44"/>
              <w:spacing w:before="12"/>
              <w:rPr>
                <w:rFonts w:ascii="方正小标宋_GBK"/>
                <w:color w:val="auto"/>
                <w:sz w:val="38"/>
                <w:highlight w:val="none"/>
              </w:rPr>
            </w:pPr>
          </w:p>
          <w:p>
            <w:pPr>
              <w:pStyle w:val="44"/>
              <w:spacing w:line="228" w:lineRule="auto"/>
              <w:ind w:left="108" w:right="604"/>
              <w:rPr>
                <w:color w:val="auto"/>
                <w:sz w:val="28"/>
                <w:highlight w:val="none"/>
              </w:rPr>
            </w:pPr>
            <w:r>
              <w:rPr>
                <w:color w:val="auto"/>
                <w:sz w:val="28"/>
                <w:highlight w:val="none"/>
              </w:rPr>
              <w:t>协议和合同就业</w:t>
            </w:r>
          </w:p>
        </w:tc>
        <w:tc>
          <w:tcPr>
            <w:tcW w:w="4537" w:type="dxa"/>
          </w:tcPr>
          <w:p>
            <w:pPr>
              <w:pStyle w:val="44"/>
              <w:spacing w:before="5" w:line="228" w:lineRule="auto"/>
              <w:ind w:left="108" w:right="424"/>
              <w:jc w:val="both"/>
              <w:rPr>
                <w:color w:val="auto"/>
                <w:sz w:val="28"/>
                <w:highlight w:val="none"/>
              </w:rPr>
            </w:pPr>
            <w:r>
              <w:rPr>
                <w:color w:val="auto"/>
                <w:spacing w:val="-3"/>
                <w:sz w:val="28"/>
                <w:highlight w:val="none"/>
              </w:rPr>
              <w:t>签就业协议形式就业</w:t>
            </w:r>
            <w:r>
              <w:rPr>
                <w:color w:val="auto"/>
                <w:sz w:val="28"/>
                <w:highlight w:val="none"/>
              </w:rPr>
              <w:t>（</w:t>
            </w:r>
            <w:r>
              <w:rPr>
                <w:color w:val="auto"/>
                <w:spacing w:val="-20"/>
                <w:sz w:val="28"/>
                <w:highlight w:val="none"/>
              </w:rPr>
              <w:t xml:space="preserve">编码 </w:t>
            </w:r>
            <w:r>
              <w:rPr>
                <w:rFonts w:ascii="Times New Roman" w:eastAsia="Times New Roman"/>
                <w:color w:val="auto"/>
                <w:spacing w:val="-7"/>
                <w:sz w:val="28"/>
                <w:highlight w:val="none"/>
              </w:rPr>
              <w:t>10</w:t>
            </w:r>
            <w:r>
              <w:rPr>
                <w:color w:val="auto"/>
                <w:spacing w:val="-7"/>
                <w:sz w:val="28"/>
                <w:highlight w:val="none"/>
              </w:rPr>
              <w:t xml:space="preserve">） </w:t>
            </w:r>
            <w:r>
              <w:rPr>
                <w:color w:val="auto"/>
                <w:spacing w:val="-3"/>
                <w:sz w:val="28"/>
                <w:highlight w:val="none"/>
              </w:rPr>
              <w:t>签劳动合同形式就业</w:t>
            </w:r>
            <w:r>
              <w:rPr>
                <w:color w:val="auto"/>
                <w:sz w:val="28"/>
                <w:highlight w:val="none"/>
              </w:rPr>
              <w:t>（</w:t>
            </w:r>
            <w:r>
              <w:rPr>
                <w:color w:val="auto"/>
                <w:spacing w:val="-20"/>
                <w:sz w:val="28"/>
                <w:highlight w:val="none"/>
              </w:rPr>
              <w:t xml:space="preserve">编码 </w:t>
            </w:r>
            <w:r>
              <w:rPr>
                <w:rFonts w:ascii="Times New Roman" w:eastAsia="Times New Roman"/>
                <w:color w:val="auto"/>
                <w:spacing w:val="-7"/>
                <w:sz w:val="28"/>
                <w:highlight w:val="none"/>
              </w:rPr>
              <w:t>11</w:t>
            </w:r>
            <w:r>
              <w:rPr>
                <w:color w:val="auto"/>
                <w:spacing w:val="-7"/>
                <w:sz w:val="28"/>
                <w:highlight w:val="none"/>
              </w:rPr>
              <w:t xml:space="preserve">） </w:t>
            </w:r>
            <w:r>
              <w:rPr>
                <w:color w:val="auto"/>
                <w:spacing w:val="-1"/>
                <w:sz w:val="28"/>
                <w:highlight w:val="none"/>
              </w:rPr>
              <w:t>应征义务兵</w:t>
            </w:r>
            <w:r>
              <w:rPr>
                <w:color w:val="auto"/>
                <w:sz w:val="28"/>
                <w:highlight w:val="none"/>
              </w:rPr>
              <w:t>（</w:t>
            </w:r>
            <w:r>
              <w:rPr>
                <w:color w:val="auto"/>
                <w:spacing w:val="-24"/>
                <w:sz w:val="28"/>
                <w:highlight w:val="none"/>
              </w:rPr>
              <w:t xml:space="preserve">编码 </w:t>
            </w:r>
            <w:r>
              <w:rPr>
                <w:rFonts w:ascii="Times New Roman" w:eastAsia="Times New Roman"/>
                <w:color w:val="auto"/>
                <w:spacing w:val="-2"/>
                <w:sz w:val="28"/>
                <w:highlight w:val="none"/>
              </w:rPr>
              <w:t>46</w:t>
            </w:r>
            <w:r>
              <w:rPr>
                <w:color w:val="auto"/>
                <w:spacing w:val="-2"/>
                <w:sz w:val="28"/>
                <w:highlight w:val="none"/>
              </w:rPr>
              <w:t>）</w:t>
            </w:r>
          </w:p>
          <w:p>
            <w:pPr>
              <w:pStyle w:val="44"/>
              <w:spacing w:line="228" w:lineRule="auto"/>
              <w:ind w:left="108" w:right="-29"/>
              <w:rPr>
                <w:color w:val="auto"/>
                <w:sz w:val="28"/>
                <w:highlight w:val="none"/>
              </w:rPr>
            </w:pPr>
            <w:r>
              <w:rPr>
                <w:color w:val="auto"/>
                <w:spacing w:val="-22"/>
                <w:sz w:val="28"/>
                <w:highlight w:val="none"/>
              </w:rPr>
              <w:t>科研助理、管理助理</w:t>
            </w:r>
            <w:r>
              <w:rPr>
                <w:color w:val="auto"/>
                <w:spacing w:val="-20"/>
                <w:sz w:val="28"/>
                <w:highlight w:val="none"/>
              </w:rPr>
              <w:t>（</w:t>
            </w:r>
            <w:r>
              <w:rPr>
                <w:color w:val="auto"/>
                <w:spacing w:val="-22"/>
                <w:sz w:val="28"/>
                <w:highlight w:val="none"/>
              </w:rPr>
              <w:t>区分具体情况</w:t>
            </w:r>
            <w:r>
              <w:rPr>
                <w:color w:val="auto"/>
                <w:sz w:val="28"/>
                <w:highlight w:val="none"/>
              </w:rPr>
              <w:t xml:space="preserve">） </w:t>
            </w:r>
            <w:r>
              <w:rPr>
                <w:color w:val="auto"/>
                <w:spacing w:val="-1"/>
                <w:sz w:val="28"/>
                <w:highlight w:val="none"/>
              </w:rPr>
              <w:t>国家基层项目</w:t>
            </w:r>
            <w:r>
              <w:rPr>
                <w:color w:val="auto"/>
                <w:spacing w:val="-3"/>
                <w:sz w:val="28"/>
                <w:highlight w:val="none"/>
              </w:rPr>
              <w:t>（区分具体情况</w:t>
            </w:r>
            <w:r>
              <w:rPr>
                <w:color w:val="auto"/>
                <w:sz w:val="28"/>
                <w:highlight w:val="none"/>
              </w:rPr>
              <w:t>）</w:t>
            </w:r>
          </w:p>
          <w:p>
            <w:pPr>
              <w:pStyle w:val="44"/>
              <w:spacing w:line="313" w:lineRule="exact"/>
              <w:ind w:left="108"/>
              <w:rPr>
                <w:color w:val="auto"/>
                <w:sz w:val="28"/>
                <w:highlight w:val="none"/>
              </w:rPr>
            </w:pPr>
            <w:r>
              <w:rPr>
                <w:color w:val="auto"/>
                <w:spacing w:val="-1"/>
                <w:sz w:val="28"/>
                <w:highlight w:val="none"/>
              </w:rPr>
              <w:t>地方基层项目</w:t>
            </w:r>
            <w:r>
              <w:rPr>
                <w:color w:val="auto"/>
                <w:spacing w:val="-3"/>
                <w:sz w:val="28"/>
                <w:highlight w:val="none"/>
              </w:rPr>
              <w:t>（区分具体情况</w:t>
            </w:r>
            <w:r>
              <w:rPr>
                <w:color w:val="auto"/>
                <w:sz w:val="28"/>
                <w:highlight w:val="none"/>
              </w:rPr>
              <w:t>）</w:t>
            </w:r>
          </w:p>
        </w:tc>
        <w:tc>
          <w:tcPr>
            <w:tcW w:w="2976" w:type="dxa"/>
          </w:tcPr>
          <w:p>
            <w:pPr>
              <w:pStyle w:val="44"/>
              <w:spacing w:before="1"/>
              <w:rPr>
                <w:rFonts w:ascii="方正小标宋_GBK"/>
                <w:color w:val="auto"/>
                <w:sz w:val="29"/>
                <w:highlight w:val="none"/>
              </w:rPr>
            </w:pPr>
          </w:p>
          <w:p>
            <w:pPr>
              <w:pStyle w:val="44"/>
              <w:spacing w:line="228" w:lineRule="auto"/>
              <w:ind w:left="108" w:right="167"/>
              <w:rPr>
                <w:color w:val="auto"/>
                <w:sz w:val="28"/>
                <w:highlight w:val="none"/>
              </w:rPr>
            </w:pPr>
            <w:r>
              <w:rPr>
                <w:b/>
                <w:color w:val="auto"/>
                <w:sz w:val="28"/>
                <w:highlight w:val="none"/>
              </w:rPr>
              <w:t>协议和合同就业率</w:t>
            </w:r>
            <w:r>
              <w:rPr>
                <w:rFonts w:ascii="Times New Roman" w:eastAsia="Times New Roman"/>
                <w:color w:val="auto"/>
                <w:sz w:val="28"/>
                <w:highlight w:val="none"/>
              </w:rPr>
              <w:t>=</w:t>
            </w:r>
            <w:r>
              <w:rPr>
                <w:color w:val="auto"/>
                <w:sz w:val="28"/>
                <w:highlight w:val="none"/>
              </w:rPr>
              <w:t>协议和合同就业数</w:t>
            </w:r>
            <w:r>
              <w:rPr>
                <w:rFonts w:ascii="Times New Roman" w:eastAsia="Times New Roman"/>
                <w:color w:val="auto"/>
                <w:sz w:val="28"/>
                <w:highlight w:val="none"/>
              </w:rPr>
              <w:t>/</w:t>
            </w:r>
            <w:r>
              <w:rPr>
                <w:color w:val="auto"/>
                <w:sz w:val="28"/>
                <w:highlight w:val="none"/>
              </w:rPr>
              <w:t>毕业生总数</w:t>
            </w:r>
          </w:p>
        </w:tc>
        <w:tc>
          <w:tcPr>
            <w:tcW w:w="2732" w:type="dxa"/>
            <w:vMerge w:val="restart"/>
          </w:tcPr>
          <w:p>
            <w:pPr>
              <w:pStyle w:val="44"/>
              <w:rPr>
                <w:rFonts w:ascii="方正小标宋_GBK"/>
                <w:color w:val="auto"/>
                <w:sz w:val="28"/>
                <w:highlight w:val="none"/>
              </w:rPr>
            </w:pPr>
          </w:p>
          <w:p>
            <w:pPr>
              <w:pStyle w:val="44"/>
              <w:rPr>
                <w:rFonts w:ascii="方正小标宋_GBK"/>
                <w:color w:val="auto"/>
                <w:sz w:val="28"/>
                <w:highlight w:val="none"/>
              </w:rPr>
            </w:pPr>
          </w:p>
          <w:p>
            <w:pPr>
              <w:pStyle w:val="44"/>
              <w:spacing w:before="15"/>
              <w:rPr>
                <w:rFonts w:ascii="方正小标宋_GBK"/>
                <w:color w:val="auto"/>
                <w:sz w:val="19"/>
                <w:highlight w:val="none"/>
              </w:rPr>
            </w:pPr>
          </w:p>
          <w:p>
            <w:pPr>
              <w:pStyle w:val="44"/>
              <w:ind w:left="108" w:right="203"/>
              <w:rPr>
                <w:color w:val="auto"/>
                <w:sz w:val="28"/>
                <w:highlight w:val="none"/>
              </w:rPr>
            </w:pPr>
            <w:r>
              <w:rPr>
                <w:b/>
                <w:color w:val="auto"/>
                <w:sz w:val="28"/>
                <w:highlight w:val="none"/>
              </w:rPr>
              <w:t>毕业去向落实率</w:t>
            </w:r>
            <w:r>
              <w:rPr>
                <w:rFonts w:ascii="Times New Roman" w:eastAsia="Times New Roman"/>
                <w:color w:val="auto"/>
                <w:sz w:val="28"/>
                <w:highlight w:val="none"/>
              </w:rPr>
              <w:t>=</w:t>
            </w:r>
            <w:r>
              <w:rPr>
                <w:color w:val="auto"/>
                <w:sz w:val="28"/>
                <w:highlight w:val="none"/>
              </w:rPr>
              <w:t>协议和合同就业率</w:t>
            </w:r>
            <w:r>
              <w:rPr>
                <w:rFonts w:ascii="Times New Roman" w:eastAsia="Times New Roman"/>
                <w:color w:val="auto"/>
                <w:sz w:val="28"/>
                <w:highlight w:val="none"/>
              </w:rPr>
              <w:t>+</w:t>
            </w:r>
            <w:r>
              <w:rPr>
                <w:color w:val="auto"/>
                <w:sz w:val="28"/>
                <w:highlight w:val="none"/>
              </w:rPr>
              <w:t>创业率</w:t>
            </w:r>
            <w:r>
              <w:rPr>
                <w:rFonts w:ascii="Times New Roman" w:eastAsia="Times New Roman"/>
                <w:color w:val="auto"/>
                <w:sz w:val="28"/>
                <w:highlight w:val="none"/>
              </w:rPr>
              <w:t>+</w:t>
            </w:r>
            <w:r>
              <w:rPr>
                <w:color w:val="auto"/>
                <w:sz w:val="28"/>
                <w:highlight w:val="none"/>
              </w:rPr>
              <w:t>灵活就业率</w:t>
            </w:r>
            <w:r>
              <w:rPr>
                <w:rFonts w:ascii="Times New Roman" w:eastAsia="Times New Roman"/>
                <w:color w:val="auto"/>
                <w:sz w:val="28"/>
                <w:highlight w:val="none"/>
              </w:rPr>
              <w:t xml:space="preserve">+ </w:t>
            </w:r>
            <w:r>
              <w:rPr>
                <w:color w:val="auto"/>
                <w:sz w:val="28"/>
                <w:highlight w:val="none"/>
              </w:rPr>
              <w:t>升学率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1416" w:type="dxa"/>
            <w:vMerge w:val="continue"/>
            <w:tcBorders>
              <w:top w:val="nil"/>
            </w:tcBorders>
          </w:tcPr>
          <w:p>
            <w:pPr>
              <w:rPr>
                <w:color w:val="auto"/>
                <w:sz w:val="2"/>
                <w:szCs w:val="2"/>
                <w:highlight w:val="none"/>
              </w:rPr>
            </w:pPr>
          </w:p>
        </w:tc>
        <w:tc>
          <w:tcPr>
            <w:tcW w:w="2126" w:type="dxa"/>
          </w:tcPr>
          <w:p>
            <w:pPr>
              <w:pStyle w:val="44"/>
              <w:spacing w:before="161"/>
              <w:ind w:left="108"/>
              <w:rPr>
                <w:color w:val="auto"/>
                <w:sz w:val="28"/>
                <w:highlight w:val="none"/>
              </w:rPr>
            </w:pPr>
            <w:r>
              <w:rPr>
                <w:color w:val="auto"/>
                <w:sz w:val="28"/>
                <w:highlight w:val="none"/>
              </w:rPr>
              <w:t>自主创业</w:t>
            </w:r>
          </w:p>
        </w:tc>
        <w:tc>
          <w:tcPr>
            <w:tcW w:w="4537" w:type="dxa"/>
          </w:tcPr>
          <w:p>
            <w:pPr>
              <w:pStyle w:val="44"/>
              <w:spacing w:before="161"/>
              <w:ind w:left="108"/>
              <w:rPr>
                <w:color w:val="auto"/>
                <w:sz w:val="28"/>
                <w:highlight w:val="none"/>
              </w:rPr>
            </w:pPr>
            <w:r>
              <w:rPr>
                <w:color w:val="auto"/>
                <w:sz w:val="28"/>
                <w:highlight w:val="none"/>
              </w:rPr>
              <w:t xml:space="preserve">自主创业（编码 </w:t>
            </w:r>
            <w:r>
              <w:rPr>
                <w:rFonts w:ascii="Times New Roman" w:eastAsia="Times New Roman"/>
                <w:color w:val="auto"/>
                <w:sz w:val="28"/>
                <w:highlight w:val="none"/>
              </w:rPr>
              <w:t>75</w:t>
            </w:r>
            <w:r>
              <w:rPr>
                <w:color w:val="auto"/>
                <w:sz w:val="28"/>
                <w:highlight w:val="none"/>
              </w:rPr>
              <w:t>）</w:t>
            </w:r>
          </w:p>
        </w:tc>
        <w:tc>
          <w:tcPr>
            <w:tcW w:w="2976" w:type="dxa"/>
          </w:tcPr>
          <w:p>
            <w:pPr>
              <w:pStyle w:val="44"/>
              <w:spacing w:line="341" w:lineRule="exact"/>
              <w:ind w:left="108"/>
              <w:rPr>
                <w:color w:val="auto"/>
                <w:sz w:val="28"/>
                <w:highlight w:val="none"/>
              </w:rPr>
            </w:pPr>
            <w:r>
              <w:rPr>
                <w:b/>
                <w:color w:val="auto"/>
                <w:sz w:val="28"/>
                <w:highlight w:val="none"/>
              </w:rPr>
              <w:t>创业率</w:t>
            </w:r>
            <w:r>
              <w:rPr>
                <w:rFonts w:ascii="Times New Roman" w:eastAsia="Times New Roman"/>
                <w:color w:val="auto"/>
                <w:sz w:val="28"/>
                <w:highlight w:val="none"/>
              </w:rPr>
              <w:t>=</w:t>
            </w:r>
            <w:r>
              <w:rPr>
                <w:color w:val="auto"/>
                <w:sz w:val="28"/>
                <w:highlight w:val="none"/>
              </w:rPr>
              <w:t>自主创业数</w:t>
            </w:r>
            <w:r>
              <w:rPr>
                <w:rFonts w:ascii="Times New Roman" w:eastAsia="Times New Roman"/>
                <w:color w:val="auto"/>
                <w:sz w:val="28"/>
                <w:highlight w:val="none"/>
              </w:rPr>
              <w:t>/</w:t>
            </w:r>
            <w:r>
              <w:rPr>
                <w:color w:val="auto"/>
                <w:sz w:val="28"/>
                <w:highlight w:val="none"/>
              </w:rPr>
              <w:t>毕</w:t>
            </w:r>
          </w:p>
          <w:p>
            <w:pPr>
              <w:pStyle w:val="44"/>
              <w:spacing w:line="318" w:lineRule="exact"/>
              <w:ind w:left="108"/>
              <w:rPr>
                <w:color w:val="auto"/>
                <w:sz w:val="28"/>
                <w:highlight w:val="none"/>
              </w:rPr>
            </w:pPr>
            <w:r>
              <w:rPr>
                <w:color w:val="auto"/>
                <w:sz w:val="28"/>
                <w:highlight w:val="none"/>
              </w:rPr>
              <w:t>业生总数</w:t>
            </w:r>
          </w:p>
        </w:tc>
        <w:tc>
          <w:tcPr>
            <w:tcW w:w="2732"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416" w:type="dxa"/>
            <w:vMerge w:val="continue"/>
            <w:tcBorders>
              <w:top w:val="nil"/>
            </w:tcBorders>
          </w:tcPr>
          <w:p>
            <w:pPr>
              <w:rPr>
                <w:color w:val="auto"/>
                <w:sz w:val="2"/>
                <w:szCs w:val="2"/>
                <w:highlight w:val="none"/>
              </w:rPr>
            </w:pPr>
          </w:p>
        </w:tc>
        <w:tc>
          <w:tcPr>
            <w:tcW w:w="2126" w:type="dxa"/>
          </w:tcPr>
          <w:p>
            <w:pPr>
              <w:pStyle w:val="44"/>
              <w:spacing w:before="161"/>
              <w:ind w:left="108"/>
              <w:rPr>
                <w:color w:val="auto"/>
                <w:sz w:val="28"/>
                <w:highlight w:val="none"/>
              </w:rPr>
            </w:pPr>
            <w:r>
              <w:rPr>
                <w:color w:val="auto"/>
                <w:sz w:val="28"/>
                <w:highlight w:val="none"/>
              </w:rPr>
              <w:t>灵活就业</w:t>
            </w:r>
          </w:p>
        </w:tc>
        <w:tc>
          <w:tcPr>
            <w:tcW w:w="4537" w:type="dxa"/>
          </w:tcPr>
          <w:p>
            <w:pPr>
              <w:pStyle w:val="44"/>
              <w:spacing w:before="3" w:line="338" w:lineRule="exact"/>
              <w:ind w:left="108" w:right="632"/>
              <w:rPr>
                <w:color w:val="auto"/>
                <w:sz w:val="28"/>
                <w:highlight w:val="none"/>
              </w:rPr>
            </w:pPr>
            <w:r>
              <w:rPr>
                <w:color w:val="auto"/>
                <w:sz w:val="28"/>
                <w:highlight w:val="none"/>
              </w:rPr>
              <w:t xml:space="preserve">其他录用形式就业（编码 </w:t>
            </w:r>
            <w:r>
              <w:rPr>
                <w:rFonts w:ascii="Times New Roman" w:eastAsia="Times New Roman"/>
                <w:color w:val="auto"/>
                <w:sz w:val="28"/>
                <w:highlight w:val="none"/>
              </w:rPr>
              <w:t>12</w:t>
            </w:r>
            <w:r>
              <w:rPr>
                <w:color w:val="auto"/>
                <w:sz w:val="28"/>
                <w:highlight w:val="none"/>
              </w:rPr>
              <w:t xml:space="preserve">） 自由职业（编码 </w:t>
            </w:r>
            <w:r>
              <w:rPr>
                <w:rFonts w:ascii="Times New Roman" w:eastAsia="Times New Roman"/>
                <w:color w:val="auto"/>
                <w:sz w:val="28"/>
                <w:highlight w:val="none"/>
              </w:rPr>
              <w:t>76</w:t>
            </w:r>
            <w:r>
              <w:rPr>
                <w:color w:val="auto"/>
                <w:sz w:val="28"/>
                <w:highlight w:val="none"/>
              </w:rPr>
              <w:t>）</w:t>
            </w:r>
          </w:p>
        </w:tc>
        <w:tc>
          <w:tcPr>
            <w:tcW w:w="2976" w:type="dxa"/>
          </w:tcPr>
          <w:p>
            <w:pPr>
              <w:pStyle w:val="44"/>
              <w:spacing w:before="3" w:line="338" w:lineRule="exact"/>
              <w:ind w:left="108" w:right="172"/>
              <w:rPr>
                <w:color w:val="auto"/>
                <w:sz w:val="28"/>
                <w:highlight w:val="none"/>
              </w:rPr>
            </w:pPr>
            <w:r>
              <w:rPr>
                <w:b/>
                <w:color w:val="auto"/>
                <w:sz w:val="28"/>
                <w:highlight w:val="none"/>
              </w:rPr>
              <w:t>灵活就业率</w:t>
            </w:r>
            <w:r>
              <w:rPr>
                <w:rFonts w:ascii="Times New Roman" w:eastAsia="Times New Roman"/>
                <w:color w:val="auto"/>
                <w:sz w:val="28"/>
                <w:highlight w:val="none"/>
              </w:rPr>
              <w:t>=</w:t>
            </w:r>
            <w:r>
              <w:rPr>
                <w:color w:val="auto"/>
                <w:sz w:val="28"/>
                <w:highlight w:val="none"/>
              </w:rPr>
              <w:t>灵活就业数</w:t>
            </w:r>
            <w:r>
              <w:rPr>
                <w:rFonts w:ascii="Times New Roman" w:eastAsia="Times New Roman"/>
                <w:color w:val="auto"/>
                <w:sz w:val="28"/>
                <w:highlight w:val="none"/>
              </w:rPr>
              <w:t>/</w:t>
            </w:r>
            <w:r>
              <w:rPr>
                <w:color w:val="auto"/>
                <w:sz w:val="28"/>
                <w:highlight w:val="none"/>
              </w:rPr>
              <w:t>毕业生总数</w:t>
            </w:r>
          </w:p>
        </w:tc>
        <w:tc>
          <w:tcPr>
            <w:tcW w:w="2732"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1416" w:type="dxa"/>
          </w:tcPr>
          <w:p>
            <w:pPr>
              <w:pStyle w:val="44"/>
              <w:spacing w:before="133"/>
              <w:ind w:left="284" w:right="282"/>
              <w:jc w:val="center"/>
              <w:rPr>
                <w:rFonts w:hint="eastAsia" w:ascii="黑体" w:eastAsia="黑体"/>
                <w:color w:val="auto"/>
                <w:sz w:val="32"/>
                <w:highlight w:val="none"/>
              </w:rPr>
            </w:pPr>
            <w:r>
              <w:rPr>
                <w:rFonts w:hint="eastAsia" w:ascii="黑体" w:eastAsia="黑体"/>
                <w:color w:val="auto"/>
                <w:sz w:val="32"/>
                <w:highlight w:val="none"/>
              </w:rPr>
              <w:t>升 学</w:t>
            </w:r>
          </w:p>
        </w:tc>
        <w:tc>
          <w:tcPr>
            <w:tcW w:w="2126" w:type="dxa"/>
          </w:tcPr>
          <w:p>
            <w:pPr>
              <w:pStyle w:val="44"/>
              <w:spacing w:before="161"/>
              <w:ind w:left="108"/>
              <w:rPr>
                <w:color w:val="auto"/>
                <w:sz w:val="28"/>
                <w:highlight w:val="none"/>
              </w:rPr>
            </w:pPr>
            <w:r>
              <w:rPr>
                <w:color w:val="auto"/>
                <w:sz w:val="28"/>
                <w:highlight w:val="none"/>
              </w:rPr>
              <w:t>升学</w:t>
            </w:r>
          </w:p>
        </w:tc>
        <w:tc>
          <w:tcPr>
            <w:tcW w:w="4537" w:type="dxa"/>
          </w:tcPr>
          <w:p>
            <w:pPr>
              <w:pStyle w:val="44"/>
              <w:spacing w:line="341" w:lineRule="exact"/>
              <w:ind w:left="108"/>
              <w:rPr>
                <w:color w:val="auto"/>
                <w:sz w:val="28"/>
                <w:highlight w:val="none"/>
              </w:rPr>
            </w:pPr>
            <w:r>
              <w:rPr>
                <w:color w:val="auto"/>
                <w:sz w:val="28"/>
                <w:highlight w:val="none"/>
              </w:rPr>
              <w:t>升学（区分具体情况）</w:t>
            </w:r>
          </w:p>
          <w:p>
            <w:pPr>
              <w:pStyle w:val="44"/>
              <w:spacing w:line="318" w:lineRule="exact"/>
              <w:ind w:left="108"/>
              <w:rPr>
                <w:color w:val="auto"/>
                <w:sz w:val="28"/>
                <w:highlight w:val="none"/>
              </w:rPr>
            </w:pPr>
            <w:r>
              <w:rPr>
                <w:color w:val="auto"/>
                <w:sz w:val="28"/>
                <w:highlight w:val="none"/>
              </w:rPr>
              <w:t xml:space="preserve">出国、出境（编码 </w:t>
            </w:r>
            <w:r>
              <w:rPr>
                <w:rFonts w:ascii="Times New Roman" w:eastAsia="Times New Roman"/>
                <w:color w:val="auto"/>
                <w:sz w:val="28"/>
                <w:highlight w:val="none"/>
              </w:rPr>
              <w:t>85</w:t>
            </w:r>
            <w:r>
              <w:rPr>
                <w:color w:val="auto"/>
                <w:sz w:val="28"/>
                <w:highlight w:val="none"/>
              </w:rPr>
              <w:t>）</w:t>
            </w:r>
          </w:p>
        </w:tc>
        <w:tc>
          <w:tcPr>
            <w:tcW w:w="2976" w:type="dxa"/>
          </w:tcPr>
          <w:p>
            <w:pPr>
              <w:pStyle w:val="44"/>
              <w:spacing w:line="341" w:lineRule="exact"/>
              <w:ind w:left="108"/>
              <w:rPr>
                <w:color w:val="auto"/>
                <w:sz w:val="28"/>
                <w:highlight w:val="none"/>
              </w:rPr>
            </w:pPr>
            <w:r>
              <w:rPr>
                <w:b/>
                <w:color w:val="auto"/>
                <w:sz w:val="28"/>
                <w:highlight w:val="none"/>
              </w:rPr>
              <w:t>升学率</w:t>
            </w:r>
            <w:r>
              <w:rPr>
                <w:rFonts w:ascii="Times New Roman" w:eastAsia="Times New Roman"/>
                <w:color w:val="auto"/>
                <w:sz w:val="28"/>
                <w:highlight w:val="none"/>
              </w:rPr>
              <w:t>=</w:t>
            </w:r>
            <w:r>
              <w:rPr>
                <w:color w:val="auto"/>
                <w:sz w:val="28"/>
                <w:highlight w:val="none"/>
              </w:rPr>
              <w:t>升学数</w:t>
            </w:r>
            <w:r>
              <w:rPr>
                <w:rFonts w:ascii="Times New Roman" w:eastAsia="Times New Roman"/>
                <w:color w:val="auto"/>
                <w:sz w:val="28"/>
                <w:highlight w:val="none"/>
              </w:rPr>
              <w:t>/</w:t>
            </w:r>
            <w:r>
              <w:rPr>
                <w:color w:val="auto"/>
                <w:sz w:val="28"/>
                <w:highlight w:val="none"/>
              </w:rPr>
              <w:t>毕业生</w:t>
            </w:r>
          </w:p>
          <w:p>
            <w:pPr>
              <w:pStyle w:val="44"/>
              <w:spacing w:line="318" w:lineRule="exact"/>
              <w:ind w:left="108"/>
              <w:rPr>
                <w:color w:val="auto"/>
                <w:sz w:val="28"/>
                <w:highlight w:val="none"/>
              </w:rPr>
            </w:pPr>
            <w:r>
              <w:rPr>
                <w:color w:val="auto"/>
                <w:sz w:val="28"/>
                <w:highlight w:val="none"/>
              </w:rPr>
              <w:t>总数</w:t>
            </w:r>
          </w:p>
        </w:tc>
        <w:tc>
          <w:tcPr>
            <w:tcW w:w="2732"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416" w:type="dxa"/>
            <w:vMerge w:val="restart"/>
          </w:tcPr>
          <w:p>
            <w:pPr>
              <w:pStyle w:val="44"/>
              <w:spacing w:before="1"/>
              <w:rPr>
                <w:rFonts w:ascii="方正小标宋_GBK"/>
                <w:color w:val="auto"/>
                <w:sz w:val="27"/>
                <w:highlight w:val="none"/>
              </w:rPr>
            </w:pPr>
          </w:p>
          <w:p>
            <w:pPr>
              <w:pStyle w:val="44"/>
              <w:ind w:left="225"/>
              <w:rPr>
                <w:rFonts w:hint="eastAsia" w:ascii="黑体" w:eastAsia="黑体"/>
                <w:color w:val="auto"/>
                <w:sz w:val="32"/>
                <w:highlight w:val="none"/>
              </w:rPr>
            </w:pPr>
            <w:r>
              <w:rPr>
                <w:rFonts w:hint="eastAsia" w:ascii="黑体" w:eastAsia="黑体"/>
                <w:color w:val="auto"/>
                <w:sz w:val="32"/>
                <w:highlight w:val="none"/>
              </w:rPr>
              <w:t>未就业</w:t>
            </w:r>
          </w:p>
        </w:tc>
        <w:tc>
          <w:tcPr>
            <w:tcW w:w="2126" w:type="dxa"/>
          </w:tcPr>
          <w:p>
            <w:pPr>
              <w:pStyle w:val="44"/>
              <w:spacing w:before="161"/>
              <w:ind w:left="108"/>
              <w:rPr>
                <w:color w:val="auto"/>
                <w:sz w:val="28"/>
                <w:highlight w:val="none"/>
              </w:rPr>
            </w:pPr>
            <w:r>
              <w:rPr>
                <w:color w:val="auto"/>
                <w:sz w:val="28"/>
                <w:highlight w:val="none"/>
              </w:rPr>
              <w:t>暂不就业</w:t>
            </w:r>
          </w:p>
        </w:tc>
        <w:tc>
          <w:tcPr>
            <w:tcW w:w="4537" w:type="dxa"/>
          </w:tcPr>
          <w:p>
            <w:pPr>
              <w:pStyle w:val="44"/>
              <w:spacing w:line="342" w:lineRule="exact"/>
              <w:ind w:left="108"/>
              <w:rPr>
                <w:color w:val="auto"/>
                <w:sz w:val="28"/>
                <w:highlight w:val="none"/>
              </w:rPr>
            </w:pPr>
            <w:r>
              <w:rPr>
                <w:color w:val="auto"/>
                <w:sz w:val="28"/>
                <w:highlight w:val="none"/>
              </w:rPr>
              <w:t xml:space="preserve">不就业拟升学（编码 </w:t>
            </w:r>
            <w:r>
              <w:rPr>
                <w:rFonts w:ascii="Times New Roman" w:eastAsia="Times New Roman"/>
                <w:color w:val="auto"/>
                <w:sz w:val="28"/>
                <w:highlight w:val="none"/>
              </w:rPr>
              <w:t>71</w:t>
            </w:r>
            <w:r>
              <w:rPr>
                <w:color w:val="auto"/>
                <w:sz w:val="28"/>
                <w:highlight w:val="none"/>
              </w:rPr>
              <w:t>）</w:t>
            </w:r>
          </w:p>
          <w:p>
            <w:pPr>
              <w:pStyle w:val="44"/>
              <w:spacing w:line="319" w:lineRule="exact"/>
              <w:ind w:left="108"/>
              <w:rPr>
                <w:color w:val="auto"/>
                <w:sz w:val="28"/>
                <w:highlight w:val="none"/>
              </w:rPr>
            </w:pPr>
            <w:r>
              <w:rPr>
                <w:color w:val="auto"/>
                <w:sz w:val="28"/>
                <w:highlight w:val="none"/>
              </w:rPr>
              <w:t>其他暂不就业（区分具体情况）</w:t>
            </w:r>
          </w:p>
        </w:tc>
        <w:tc>
          <w:tcPr>
            <w:tcW w:w="2976" w:type="dxa"/>
          </w:tcPr>
          <w:p>
            <w:pPr>
              <w:pStyle w:val="44"/>
              <w:spacing w:before="3" w:line="338" w:lineRule="exact"/>
              <w:ind w:left="108" w:right="170"/>
              <w:rPr>
                <w:color w:val="auto"/>
                <w:sz w:val="28"/>
                <w:highlight w:val="none"/>
              </w:rPr>
            </w:pPr>
            <w:r>
              <w:rPr>
                <w:b/>
                <w:color w:val="auto"/>
                <w:sz w:val="28"/>
                <w:highlight w:val="none"/>
              </w:rPr>
              <w:t>暂不就业率</w:t>
            </w:r>
            <w:r>
              <w:rPr>
                <w:rFonts w:ascii="Times New Roman" w:eastAsia="Times New Roman"/>
                <w:b/>
                <w:color w:val="auto"/>
                <w:sz w:val="28"/>
                <w:highlight w:val="none"/>
              </w:rPr>
              <w:t>=</w:t>
            </w:r>
            <w:r>
              <w:rPr>
                <w:color w:val="auto"/>
                <w:sz w:val="28"/>
                <w:highlight w:val="none"/>
              </w:rPr>
              <w:t>暂不就业数</w:t>
            </w:r>
            <w:r>
              <w:rPr>
                <w:rFonts w:ascii="Times New Roman" w:eastAsia="Times New Roman"/>
                <w:color w:val="auto"/>
                <w:sz w:val="28"/>
                <w:highlight w:val="none"/>
              </w:rPr>
              <w:t>/</w:t>
            </w:r>
            <w:r>
              <w:rPr>
                <w:color w:val="auto"/>
                <w:sz w:val="28"/>
                <w:highlight w:val="none"/>
              </w:rPr>
              <w:t>毕业生总数</w:t>
            </w:r>
          </w:p>
        </w:tc>
        <w:tc>
          <w:tcPr>
            <w:tcW w:w="2732" w:type="dxa"/>
          </w:tcPr>
          <w:p>
            <w:pPr>
              <w:pStyle w:val="44"/>
              <w:rPr>
                <w:rFonts w:ascii="Times New Roman"/>
                <w:color w:val="auto"/>
                <w:sz w:val="26"/>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416" w:type="dxa"/>
            <w:vMerge w:val="continue"/>
            <w:tcBorders>
              <w:top w:val="nil"/>
            </w:tcBorders>
          </w:tcPr>
          <w:p>
            <w:pPr>
              <w:rPr>
                <w:color w:val="auto"/>
                <w:sz w:val="2"/>
                <w:szCs w:val="2"/>
                <w:highlight w:val="none"/>
              </w:rPr>
            </w:pPr>
          </w:p>
        </w:tc>
        <w:tc>
          <w:tcPr>
            <w:tcW w:w="2126" w:type="dxa"/>
          </w:tcPr>
          <w:p>
            <w:pPr>
              <w:pStyle w:val="44"/>
              <w:spacing w:before="161"/>
              <w:ind w:left="108"/>
              <w:rPr>
                <w:color w:val="auto"/>
                <w:sz w:val="28"/>
                <w:highlight w:val="none"/>
              </w:rPr>
            </w:pPr>
            <w:r>
              <w:rPr>
                <w:color w:val="auto"/>
                <w:sz w:val="28"/>
                <w:highlight w:val="none"/>
              </w:rPr>
              <w:t>待就业</w:t>
            </w:r>
          </w:p>
        </w:tc>
        <w:tc>
          <w:tcPr>
            <w:tcW w:w="4537" w:type="dxa"/>
          </w:tcPr>
          <w:p>
            <w:pPr>
              <w:pStyle w:val="44"/>
              <w:spacing w:before="161"/>
              <w:ind w:left="108"/>
              <w:rPr>
                <w:color w:val="auto"/>
                <w:sz w:val="28"/>
                <w:highlight w:val="none"/>
              </w:rPr>
            </w:pPr>
            <w:r>
              <w:rPr>
                <w:color w:val="auto"/>
                <w:sz w:val="28"/>
                <w:highlight w:val="none"/>
              </w:rPr>
              <w:t>待就业（区分具体情况）</w:t>
            </w:r>
          </w:p>
        </w:tc>
        <w:tc>
          <w:tcPr>
            <w:tcW w:w="2976" w:type="dxa"/>
          </w:tcPr>
          <w:p>
            <w:pPr>
              <w:pStyle w:val="44"/>
              <w:spacing w:line="341" w:lineRule="exact"/>
              <w:ind w:left="108"/>
              <w:rPr>
                <w:rFonts w:ascii="Times New Roman" w:eastAsia="Times New Roman"/>
                <w:color w:val="auto"/>
                <w:sz w:val="28"/>
                <w:highlight w:val="none"/>
              </w:rPr>
            </w:pPr>
            <w:r>
              <w:rPr>
                <w:b/>
                <w:color w:val="auto"/>
                <w:sz w:val="28"/>
                <w:highlight w:val="none"/>
              </w:rPr>
              <w:t>待就业率</w:t>
            </w:r>
            <w:r>
              <w:rPr>
                <w:rFonts w:ascii="Times New Roman" w:eastAsia="Times New Roman"/>
                <w:color w:val="auto"/>
                <w:sz w:val="28"/>
                <w:highlight w:val="none"/>
              </w:rPr>
              <w:t>=</w:t>
            </w:r>
            <w:r>
              <w:rPr>
                <w:color w:val="auto"/>
                <w:sz w:val="28"/>
                <w:highlight w:val="none"/>
              </w:rPr>
              <w:t>待就业数</w:t>
            </w:r>
            <w:r>
              <w:rPr>
                <w:rFonts w:ascii="Times New Roman" w:eastAsia="Times New Roman"/>
                <w:color w:val="auto"/>
                <w:sz w:val="28"/>
                <w:highlight w:val="none"/>
              </w:rPr>
              <w:t>/</w:t>
            </w:r>
          </w:p>
          <w:p>
            <w:pPr>
              <w:pStyle w:val="44"/>
              <w:spacing w:line="320" w:lineRule="exact"/>
              <w:ind w:left="108"/>
              <w:rPr>
                <w:color w:val="auto"/>
                <w:sz w:val="28"/>
                <w:highlight w:val="none"/>
              </w:rPr>
            </w:pPr>
            <w:r>
              <w:rPr>
                <w:color w:val="auto"/>
                <w:sz w:val="28"/>
                <w:highlight w:val="none"/>
              </w:rPr>
              <w:t>毕业生总数</w:t>
            </w:r>
          </w:p>
        </w:tc>
        <w:tc>
          <w:tcPr>
            <w:tcW w:w="2732" w:type="dxa"/>
          </w:tcPr>
          <w:p>
            <w:pPr>
              <w:pStyle w:val="44"/>
              <w:rPr>
                <w:rFonts w:ascii="Times New Roman"/>
                <w:color w:val="auto"/>
                <w:sz w:val="26"/>
                <w:highlight w:val="none"/>
              </w:rPr>
            </w:pPr>
          </w:p>
        </w:tc>
      </w:tr>
    </w:tbl>
    <w:p>
      <w:pPr>
        <w:spacing w:before="36"/>
        <w:ind w:left="554" w:right="0" w:firstLine="0"/>
        <w:jc w:val="left"/>
        <w:rPr>
          <w:b/>
          <w:color w:val="auto"/>
          <w:sz w:val="20"/>
          <w:highlight w:val="none"/>
        </w:rPr>
      </w:pPr>
      <w:r>
        <w:rPr>
          <w:b/>
          <w:color w:val="auto"/>
          <w:sz w:val="20"/>
          <w:highlight w:val="none"/>
        </w:rPr>
        <w:t>修订说明：</w:t>
      </w:r>
    </w:p>
    <w:p>
      <w:pPr>
        <w:pStyle w:val="35"/>
        <w:numPr>
          <w:ilvl w:val="0"/>
          <w:numId w:val="21"/>
        </w:numPr>
        <w:tabs>
          <w:tab w:val="left" w:pos="867"/>
        </w:tabs>
        <w:spacing w:before="56" w:after="0" w:line="240" w:lineRule="auto"/>
        <w:ind w:left="866" w:right="0" w:hanging="313"/>
        <w:jc w:val="left"/>
        <w:rPr>
          <w:color w:val="auto"/>
          <w:sz w:val="20"/>
          <w:highlight w:val="none"/>
        </w:rPr>
      </w:pPr>
      <w:r>
        <w:rPr>
          <w:color w:val="auto"/>
          <w:spacing w:val="-6"/>
          <w:sz w:val="20"/>
          <w:highlight w:val="none"/>
        </w:rPr>
        <w:t>“就业率”变更为“毕业去向落实率”。</w:t>
      </w:r>
    </w:p>
    <w:p>
      <w:pPr>
        <w:pStyle w:val="35"/>
        <w:numPr>
          <w:ilvl w:val="0"/>
          <w:numId w:val="21"/>
        </w:numPr>
        <w:tabs>
          <w:tab w:val="left" w:pos="867"/>
        </w:tabs>
        <w:spacing w:before="56" w:after="0" w:line="240" w:lineRule="auto"/>
        <w:ind w:left="866" w:right="0" w:hanging="313"/>
        <w:jc w:val="left"/>
        <w:rPr>
          <w:color w:val="auto"/>
          <w:sz w:val="20"/>
          <w:highlight w:val="none"/>
        </w:rPr>
      </w:pPr>
      <w:r>
        <w:rPr>
          <w:color w:val="auto"/>
          <w:spacing w:val="-25"/>
          <w:w w:val="99"/>
          <w:sz w:val="20"/>
          <w:highlight w:val="none"/>
        </w:rPr>
        <w:t>“科研助理、管理助理”“国家基层项目”“地方基层项目”“升学”“其他暂不就业”“待就业”区分具体情况并增加相应编码。</w:t>
      </w:r>
    </w:p>
    <w:p>
      <w:pPr>
        <w:spacing w:after="0" w:line="240" w:lineRule="auto"/>
        <w:jc w:val="left"/>
        <w:rPr>
          <w:color w:val="auto"/>
          <w:sz w:val="20"/>
          <w:highlight w:val="none"/>
        </w:rPr>
        <w:sectPr>
          <w:type w:val="continuous"/>
          <w:pgSz w:w="16840" w:h="11910" w:orient="landscape"/>
          <w:pgMar w:top="1400" w:right="1260" w:bottom="1984" w:left="1260" w:header="720" w:footer="720" w:gutter="0"/>
          <w:pgNumType w:fmt="decimal"/>
          <w:cols w:space="720" w:num="1"/>
          <w:rtlGutter w:val="0"/>
        </w:sectPr>
      </w:pPr>
    </w:p>
    <w:p>
      <w:pPr>
        <w:pStyle w:val="6"/>
        <w:spacing w:before="11"/>
        <w:rPr>
          <w:color w:val="auto"/>
          <w:sz w:val="28"/>
          <w:highlight w:val="none"/>
        </w:rPr>
      </w:pPr>
    </w:p>
    <w:p>
      <w:pPr>
        <w:spacing w:after="0"/>
        <w:rPr>
          <w:color w:val="auto"/>
          <w:sz w:val="28"/>
          <w:highlight w:val="none"/>
        </w:rPr>
        <w:sectPr>
          <w:pgSz w:w="16840" w:h="11910" w:orient="landscape"/>
          <w:pgMar w:top="1400" w:right="1260" w:bottom="1984" w:left="1260" w:header="0" w:footer="1704" w:gutter="0"/>
          <w:pgNumType w:fmt="decimal"/>
          <w:cols w:space="720" w:num="1"/>
          <w:rtlGutter w:val="0"/>
        </w:sectPr>
      </w:pPr>
    </w:p>
    <w:p>
      <w:pPr>
        <w:pStyle w:val="6"/>
        <w:spacing w:before="54"/>
        <w:ind w:left="554"/>
        <w:rPr>
          <w:rFonts w:hint="eastAsia" w:ascii="黑体" w:eastAsia="黑体"/>
          <w:color w:val="auto"/>
          <w:highlight w:val="none"/>
        </w:rPr>
      </w:pPr>
      <w:r>
        <w:rPr>
          <w:rFonts w:hint="eastAsia" w:ascii="黑体" w:eastAsia="黑体"/>
          <w:color w:val="auto"/>
          <w:spacing w:val="-26"/>
          <w:highlight w:val="none"/>
        </w:rPr>
        <w:t xml:space="preserve">附件 </w:t>
      </w:r>
      <w:r>
        <w:rPr>
          <w:rFonts w:hint="eastAsia" w:ascii="黑体" w:eastAsia="黑体"/>
          <w:color w:val="auto"/>
          <w:highlight w:val="none"/>
        </w:rPr>
        <w:t>2</w:t>
      </w:r>
    </w:p>
    <w:p>
      <w:pPr>
        <w:pStyle w:val="6"/>
        <w:spacing w:before="9"/>
        <w:rPr>
          <w:rFonts w:ascii="黑体"/>
          <w:color w:val="auto"/>
          <w:sz w:val="41"/>
          <w:highlight w:val="none"/>
        </w:rPr>
      </w:pPr>
      <w:r>
        <w:rPr>
          <w:color w:val="auto"/>
          <w:highlight w:val="none"/>
        </w:rPr>
        <w:br w:type="column"/>
      </w:r>
    </w:p>
    <w:p>
      <w:pPr>
        <w:pStyle w:val="2"/>
        <w:jc w:val="both"/>
        <w:rPr>
          <w:color w:val="auto"/>
          <w:highlight w:val="none"/>
        </w:rPr>
      </w:pPr>
      <w:bookmarkStart w:id="527" w:name="_Toc20351"/>
      <w:bookmarkStart w:id="528" w:name="_Toc10434"/>
      <w:bookmarkStart w:id="529" w:name="_Toc26587"/>
      <w:r>
        <w:rPr>
          <w:color w:val="auto"/>
          <w:highlight w:val="none"/>
        </w:rPr>
        <w:t>高校毕业生毕业去向界定及标准</w:t>
      </w:r>
      <w:bookmarkEnd w:id="527"/>
      <w:bookmarkEnd w:id="528"/>
      <w:bookmarkEnd w:id="529"/>
    </w:p>
    <w:p>
      <w:pPr>
        <w:spacing w:after="0"/>
        <w:jc w:val="center"/>
        <w:rPr>
          <w:color w:val="auto"/>
          <w:highlight w:val="none"/>
        </w:rPr>
        <w:sectPr>
          <w:type w:val="continuous"/>
          <w:pgSz w:w="16840" w:h="11910" w:orient="landscape"/>
          <w:pgMar w:top="1400" w:right="1260" w:bottom="1984" w:left="1260" w:header="720" w:footer="720" w:gutter="0"/>
          <w:pgNumType w:fmt="decimal"/>
          <w:cols w:equalWidth="0" w:num="2">
            <w:col w:w="1477" w:space="2046"/>
            <w:col w:w="10797"/>
          </w:cols>
          <w:rtlGutter w:val="0"/>
        </w:sectPr>
      </w:pPr>
    </w:p>
    <w:p>
      <w:pPr>
        <w:pStyle w:val="6"/>
        <w:spacing w:before="8"/>
        <w:rPr>
          <w:rFonts w:ascii="方正小标宋_GBK"/>
          <w:color w:val="auto"/>
          <w:sz w:val="4"/>
          <w:highlight w:val="none"/>
        </w:rPr>
      </w:pPr>
    </w:p>
    <w:tbl>
      <w:tblPr>
        <w:tblStyle w:val="22"/>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9"/>
        <w:gridCol w:w="2369"/>
        <w:gridCol w:w="5701"/>
        <w:gridCol w:w="4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788" w:type="dxa"/>
            <w:gridSpan w:val="2"/>
          </w:tcPr>
          <w:p>
            <w:pPr>
              <w:pStyle w:val="44"/>
              <w:spacing w:before="104"/>
              <w:ind w:left="1553" w:right="1544"/>
              <w:jc w:val="center"/>
              <w:rPr>
                <w:rFonts w:hint="eastAsia" w:ascii="黑体" w:eastAsia="黑体"/>
                <w:color w:val="auto"/>
                <w:sz w:val="32"/>
                <w:highlight w:val="none"/>
              </w:rPr>
            </w:pPr>
            <w:r>
              <w:rPr>
                <w:rFonts w:hint="eastAsia" w:ascii="黑体" w:eastAsia="黑体"/>
                <w:color w:val="auto"/>
                <w:sz w:val="32"/>
                <w:highlight w:val="none"/>
              </w:rPr>
              <w:t>分类</w:t>
            </w:r>
          </w:p>
        </w:tc>
        <w:tc>
          <w:tcPr>
            <w:tcW w:w="5701" w:type="dxa"/>
          </w:tcPr>
          <w:p>
            <w:pPr>
              <w:pStyle w:val="44"/>
              <w:spacing w:before="104"/>
              <w:ind w:left="2189" w:right="2181"/>
              <w:jc w:val="center"/>
              <w:rPr>
                <w:rFonts w:hint="eastAsia" w:ascii="黑体" w:eastAsia="黑体"/>
                <w:color w:val="auto"/>
                <w:sz w:val="32"/>
                <w:highlight w:val="none"/>
              </w:rPr>
            </w:pPr>
            <w:r>
              <w:rPr>
                <w:rFonts w:hint="eastAsia" w:ascii="黑体" w:eastAsia="黑体"/>
                <w:color w:val="auto"/>
                <w:sz w:val="32"/>
                <w:highlight w:val="none"/>
              </w:rPr>
              <w:t>分类界定</w:t>
            </w:r>
          </w:p>
        </w:tc>
        <w:tc>
          <w:tcPr>
            <w:tcW w:w="4597" w:type="dxa"/>
          </w:tcPr>
          <w:p>
            <w:pPr>
              <w:pStyle w:val="44"/>
              <w:spacing w:before="104"/>
              <w:ind w:left="1637" w:right="1630"/>
              <w:jc w:val="center"/>
              <w:rPr>
                <w:rFonts w:hint="eastAsia" w:ascii="黑体" w:eastAsia="黑体"/>
                <w:color w:val="auto"/>
                <w:sz w:val="32"/>
                <w:highlight w:val="none"/>
              </w:rPr>
            </w:pPr>
            <w:r>
              <w:rPr>
                <w:rFonts w:hint="eastAsia" w:ascii="黑体" w:eastAsia="黑体"/>
                <w:color w:val="auto"/>
                <w:sz w:val="32"/>
                <w:highlight w:val="none"/>
              </w:rPr>
              <w:t>审核依据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1419" w:type="dxa"/>
            <w:vMerge w:val="restart"/>
          </w:tcPr>
          <w:p>
            <w:pPr>
              <w:pStyle w:val="44"/>
              <w:rPr>
                <w:rFonts w:ascii="方正小标宋_GBK"/>
                <w:color w:val="auto"/>
                <w:sz w:val="32"/>
                <w:highlight w:val="none"/>
              </w:rPr>
            </w:pPr>
          </w:p>
          <w:p>
            <w:pPr>
              <w:pStyle w:val="44"/>
              <w:rPr>
                <w:rFonts w:ascii="方正小标宋_GBK"/>
                <w:color w:val="auto"/>
                <w:sz w:val="32"/>
                <w:highlight w:val="none"/>
              </w:rPr>
            </w:pPr>
          </w:p>
          <w:p>
            <w:pPr>
              <w:pStyle w:val="44"/>
              <w:rPr>
                <w:rFonts w:ascii="方正小标宋_GBK"/>
                <w:color w:val="auto"/>
                <w:sz w:val="32"/>
                <w:highlight w:val="none"/>
              </w:rPr>
            </w:pPr>
          </w:p>
          <w:p>
            <w:pPr>
              <w:pStyle w:val="44"/>
              <w:rPr>
                <w:rFonts w:ascii="方正小标宋_GBK"/>
                <w:color w:val="auto"/>
                <w:sz w:val="32"/>
                <w:highlight w:val="none"/>
              </w:rPr>
            </w:pPr>
          </w:p>
          <w:p>
            <w:pPr>
              <w:pStyle w:val="44"/>
              <w:rPr>
                <w:rFonts w:ascii="方正小标宋_GBK"/>
                <w:color w:val="auto"/>
                <w:sz w:val="32"/>
                <w:highlight w:val="none"/>
              </w:rPr>
            </w:pPr>
          </w:p>
          <w:p>
            <w:pPr>
              <w:pStyle w:val="44"/>
              <w:spacing w:before="16"/>
              <w:rPr>
                <w:rFonts w:ascii="方正小标宋_GBK"/>
                <w:color w:val="auto"/>
                <w:sz w:val="23"/>
                <w:highlight w:val="none"/>
              </w:rPr>
            </w:pPr>
          </w:p>
          <w:p>
            <w:pPr>
              <w:pStyle w:val="44"/>
              <w:tabs>
                <w:tab w:val="left" w:pos="866"/>
              </w:tabs>
              <w:ind w:left="227"/>
              <w:rPr>
                <w:rFonts w:hint="eastAsia" w:ascii="黑体" w:eastAsia="黑体"/>
                <w:color w:val="auto"/>
                <w:sz w:val="32"/>
                <w:highlight w:val="none"/>
              </w:rPr>
            </w:pPr>
            <w:r>
              <w:rPr>
                <w:rFonts w:hint="eastAsia" w:ascii="黑体" w:eastAsia="黑体"/>
                <w:color w:val="auto"/>
                <w:sz w:val="32"/>
                <w:highlight w:val="none"/>
              </w:rPr>
              <w:t>就</w:t>
            </w:r>
            <w:r>
              <w:rPr>
                <w:rFonts w:hint="eastAsia" w:ascii="黑体" w:eastAsia="黑体"/>
                <w:color w:val="auto"/>
                <w:sz w:val="32"/>
                <w:highlight w:val="none"/>
              </w:rPr>
              <w:tab/>
            </w:r>
            <w:r>
              <w:rPr>
                <w:rFonts w:hint="eastAsia" w:ascii="黑体" w:eastAsia="黑体"/>
                <w:color w:val="auto"/>
                <w:sz w:val="32"/>
                <w:highlight w:val="none"/>
              </w:rPr>
              <w:t>业</w:t>
            </w:r>
          </w:p>
        </w:tc>
        <w:tc>
          <w:tcPr>
            <w:tcW w:w="2369" w:type="dxa"/>
            <w:vMerge w:val="restart"/>
          </w:tcPr>
          <w:p>
            <w:pPr>
              <w:pStyle w:val="44"/>
              <w:rPr>
                <w:rFonts w:ascii="方正小标宋_GBK"/>
                <w:color w:val="auto"/>
                <w:sz w:val="30"/>
                <w:highlight w:val="none"/>
              </w:rPr>
            </w:pPr>
          </w:p>
          <w:p>
            <w:pPr>
              <w:pStyle w:val="44"/>
              <w:rPr>
                <w:rFonts w:ascii="方正小标宋_GBK"/>
                <w:color w:val="auto"/>
                <w:sz w:val="30"/>
                <w:highlight w:val="none"/>
              </w:rPr>
            </w:pPr>
          </w:p>
          <w:p>
            <w:pPr>
              <w:pStyle w:val="44"/>
              <w:rPr>
                <w:rFonts w:ascii="方正小标宋_GBK"/>
                <w:color w:val="auto"/>
                <w:sz w:val="30"/>
                <w:highlight w:val="none"/>
              </w:rPr>
            </w:pPr>
          </w:p>
          <w:p>
            <w:pPr>
              <w:pStyle w:val="44"/>
              <w:rPr>
                <w:rFonts w:ascii="方正小标宋_GBK"/>
                <w:color w:val="auto"/>
                <w:sz w:val="30"/>
                <w:highlight w:val="none"/>
              </w:rPr>
            </w:pPr>
          </w:p>
          <w:p>
            <w:pPr>
              <w:pStyle w:val="44"/>
              <w:spacing w:before="16"/>
              <w:rPr>
                <w:rFonts w:ascii="方正小标宋_GBK"/>
                <w:color w:val="auto"/>
                <w:sz w:val="15"/>
                <w:highlight w:val="none"/>
              </w:rPr>
            </w:pPr>
          </w:p>
          <w:p>
            <w:pPr>
              <w:pStyle w:val="44"/>
              <w:spacing w:line="201" w:lineRule="auto"/>
              <w:ind w:left="107" w:right="-44"/>
              <w:rPr>
                <w:color w:val="auto"/>
                <w:sz w:val="28"/>
                <w:highlight w:val="none"/>
              </w:rPr>
            </w:pPr>
            <w:r>
              <w:rPr>
                <w:rFonts w:ascii="Times New Roman" w:eastAsia="Times New Roman"/>
                <w:color w:val="auto"/>
                <w:sz w:val="28"/>
                <w:highlight w:val="none"/>
              </w:rPr>
              <w:t>1</w:t>
            </w:r>
            <w:r>
              <w:rPr>
                <w:rFonts w:ascii="Times New Roman" w:eastAsia="Times New Roman"/>
                <w:color w:val="auto"/>
                <w:spacing w:val="-14"/>
                <w:sz w:val="28"/>
                <w:highlight w:val="none"/>
              </w:rPr>
              <w:t xml:space="preserve">. </w:t>
            </w:r>
            <w:r>
              <w:rPr>
                <w:color w:val="auto"/>
                <w:spacing w:val="43"/>
                <w:sz w:val="28"/>
                <w:highlight w:val="none"/>
              </w:rPr>
              <w:t>签就业协议形</w:t>
            </w:r>
            <w:r>
              <w:rPr>
                <w:color w:val="auto"/>
                <w:spacing w:val="-6"/>
                <w:sz w:val="28"/>
                <w:highlight w:val="none"/>
              </w:rPr>
              <w:t>式就业</w:t>
            </w:r>
            <w:r>
              <w:rPr>
                <w:color w:val="auto"/>
                <w:spacing w:val="-3"/>
                <w:sz w:val="28"/>
                <w:highlight w:val="none"/>
              </w:rPr>
              <w:t>（</w:t>
            </w:r>
            <w:r>
              <w:rPr>
                <w:color w:val="auto"/>
                <w:spacing w:val="-21"/>
                <w:sz w:val="28"/>
                <w:highlight w:val="none"/>
              </w:rPr>
              <w:t xml:space="preserve">编码 </w:t>
            </w:r>
            <w:r>
              <w:rPr>
                <w:rFonts w:ascii="Times New Roman" w:eastAsia="Times New Roman"/>
                <w:color w:val="auto"/>
                <w:spacing w:val="-8"/>
                <w:sz w:val="28"/>
                <w:highlight w:val="none"/>
              </w:rPr>
              <w:t>10</w:t>
            </w:r>
            <w:r>
              <w:rPr>
                <w:color w:val="auto"/>
                <w:spacing w:val="-8"/>
                <w:sz w:val="28"/>
                <w:highlight w:val="none"/>
              </w:rPr>
              <w:t>）</w:t>
            </w:r>
          </w:p>
        </w:tc>
        <w:tc>
          <w:tcPr>
            <w:tcW w:w="5701" w:type="dxa"/>
          </w:tcPr>
          <w:p>
            <w:pPr>
              <w:pStyle w:val="44"/>
              <w:spacing w:before="8"/>
              <w:ind w:left="107" w:right="-29"/>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）与就业单位签订省级就业部门统一制定</w:t>
            </w:r>
          </w:p>
          <w:p>
            <w:pPr>
              <w:pStyle w:val="44"/>
              <w:spacing w:line="360" w:lineRule="atLeast"/>
              <w:ind w:left="107" w:right="-29"/>
              <w:rPr>
                <w:color w:val="auto"/>
                <w:sz w:val="28"/>
                <w:highlight w:val="none"/>
              </w:rPr>
            </w:pPr>
            <w:r>
              <w:rPr>
                <w:color w:val="auto"/>
                <w:spacing w:val="-3"/>
                <w:sz w:val="28"/>
                <w:highlight w:val="none"/>
              </w:rPr>
              <w:t>的就业协议书，且盖有单位人力资源</w:t>
            </w:r>
            <w:r>
              <w:rPr>
                <w:color w:val="auto"/>
                <w:sz w:val="28"/>
                <w:highlight w:val="none"/>
              </w:rPr>
              <w:t>（</w:t>
            </w:r>
            <w:r>
              <w:rPr>
                <w:color w:val="auto"/>
                <w:spacing w:val="-2"/>
                <w:sz w:val="28"/>
                <w:highlight w:val="none"/>
              </w:rPr>
              <w:t>人事</w:t>
            </w:r>
            <w:r>
              <w:rPr>
                <w:color w:val="auto"/>
                <w:sz w:val="28"/>
                <w:highlight w:val="none"/>
              </w:rPr>
              <w:t xml:space="preserve">） </w:t>
            </w:r>
            <w:r>
              <w:rPr>
                <w:color w:val="auto"/>
                <w:spacing w:val="-3"/>
                <w:sz w:val="28"/>
                <w:highlight w:val="none"/>
              </w:rPr>
              <w:t>部门公章或单位行政公章</w:t>
            </w:r>
          </w:p>
        </w:tc>
        <w:tc>
          <w:tcPr>
            <w:tcW w:w="4597" w:type="dxa"/>
          </w:tcPr>
          <w:p>
            <w:pPr>
              <w:pStyle w:val="44"/>
              <w:spacing w:before="188"/>
              <w:ind w:left="107" w:right="85"/>
              <w:rPr>
                <w:color w:val="auto"/>
                <w:sz w:val="28"/>
                <w:highlight w:val="none"/>
              </w:rPr>
            </w:pPr>
            <w:r>
              <w:rPr>
                <w:color w:val="auto"/>
                <w:sz w:val="28"/>
                <w:highlight w:val="none"/>
              </w:rPr>
              <w:t>依据签订的省级就业部门统一制定的就业协议书或相关制式协议书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2"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line="360" w:lineRule="atLeast"/>
              <w:ind w:left="107" w:right="95"/>
              <w:jc w:val="both"/>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w:t>
            </w:r>
            <w:r>
              <w:rPr>
                <w:color w:val="auto"/>
                <w:spacing w:val="-3"/>
                <w:sz w:val="28"/>
                <w:highlight w:val="none"/>
              </w:rPr>
              <w:t>具有人事调配权限的单位出具的接收毕</w:t>
            </w:r>
            <w:r>
              <w:rPr>
                <w:color w:val="auto"/>
                <w:spacing w:val="-8"/>
                <w:sz w:val="28"/>
                <w:highlight w:val="none"/>
              </w:rPr>
              <w:t>业生及其人事关系</w:t>
            </w:r>
            <w:r>
              <w:rPr>
                <w:color w:val="auto"/>
                <w:sz w:val="28"/>
                <w:highlight w:val="none"/>
              </w:rPr>
              <w:t>（</w:t>
            </w:r>
            <w:r>
              <w:rPr>
                <w:color w:val="auto"/>
                <w:spacing w:val="-12"/>
                <w:sz w:val="28"/>
                <w:highlight w:val="none"/>
              </w:rPr>
              <w:t>档案、户口、党团组织关</w:t>
            </w:r>
            <w:r>
              <w:rPr>
                <w:color w:val="auto"/>
                <w:sz w:val="28"/>
                <w:highlight w:val="none"/>
              </w:rPr>
              <w:t>系等）</w:t>
            </w:r>
            <w:r>
              <w:rPr>
                <w:color w:val="auto"/>
                <w:spacing w:val="-3"/>
                <w:sz w:val="28"/>
                <w:highlight w:val="none"/>
              </w:rPr>
              <w:t>的录用接收函</w:t>
            </w:r>
          </w:p>
        </w:tc>
        <w:tc>
          <w:tcPr>
            <w:tcW w:w="4597" w:type="dxa"/>
          </w:tcPr>
          <w:p>
            <w:pPr>
              <w:pStyle w:val="44"/>
              <w:spacing w:before="7"/>
              <w:rPr>
                <w:rFonts w:ascii="方正小标宋_GBK"/>
                <w:color w:val="auto"/>
                <w:sz w:val="20"/>
                <w:highlight w:val="none"/>
              </w:rPr>
            </w:pPr>
          </w:p>
          <w:p>
            <w:pPr>
              <w:pStyle w:val="44"/>
              <w:ind w:left="107"/>
              <w:rPr>
                <w:color w:val="auto"/>
                <w:sz w:val="28"/>
                <w:highlight w:val="none"/>
              </w:rPr>
            </w:pPr>
            <w:r>
              <w:rPr>
                <w:color w:val="auto"/>
                <w:sz w:val="28"/>
                <w:highlight w:val="none"/>
              </w:rPr>
              <w:t>依据用人单位出具的录用接收函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81"/>
              <w:ind w:left="107" w:right="119"/>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）定向、委托培养毕业生回原定向、委托培养单位就业</w:t>
            </w:r>
          </w:p>
        </w:tc>
        <w:tc>
          <w:tcPr>
            <w:tcW w:w="4597" w:type="dxa"/>
          </w:tcPr>
          <w:p>
            <w:pPr>
              <w:pStyle w:val="44"/>
              <w:spacing w:before="1"/>
              <w:ind w:left="107" w:right="92"/>
              <w:rPr>
                <w:color w:val="auto"/>
                <w:sz w:val="28"/>
                <w:highlight w:val="none"/>
              </w:rPr>
            </w:pPr>
            <w:r>
              <w:rPr>
                <w:color w:val="auto"/>
                <w:spacing w:val="-3"/>
                <w:sz w:val="28"/>
                <w:highlight w:val="none"/>
              </w:rPr>
              <w:t>依据毕业生与定向委培单位签订的</w:t>
            </w:r>
            <w:r>
              <w:rPr>
                <w:color w:val="auto"/>
                <w:spacing w:val="-14"/>
                <w:sz w:val="28"/>
                <w:highlight w:val="none"/>
              </w:rPr>
              <w:t>定向、委培协议或回原定向、委托培</w:t>
            </w:r>
          </w:p>
          <w:p>
            <w:pPr>
              <w:pStyle w:val="44"/>
              <w:spacing w:before="2" w:line="332" w:lineRule="exact"/>
              <w:ind w:left="107"/>
              <w:rPr>
                <w:color w:val="auto"/>
                <w:sz w:val="28"/>
                <w:highlight w:val="none"/>
              </w:rPr>
            </w:pPr>
            <w:r>
              <w:rPr>
                <w:color w:val="auto"/>
                <w:sz w:val="28"/>
                <w:highlight w:val="none"/>
              </w:rPr>
              <w:t>养单位就业的报到证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7"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4</w:t>
            </w:r>
            <w:r>
              <w:rPr>
                <w:color w:val="auto"/>
                <w:sz w:val="28"/>
                <w:highlight w:val="none"/>
              </w:rPr>
              <w:t>）部队招收士官或文职人员</w:t>
            </w:r>
          </w:p>
        </w:tc>
        <w:tc>
          <w:tcPr>
            <w:tcW w:w="4597" w:type="dxa"/>
          </w:tcPr>
          <w:p>
            <w:pPr>
              <w:pStyle w:val="44"/>
              <w:spacing w:before="7" w:line="332" w:lineRule="exact"/>
              <w:ind w:left="107"/>
              <w:rPr>
                <w:color w:val="auto"/>
                <w:sz w:val="28"/>
                <w:highlight w:val="none"/>
              </w:rPr>
            </w:pPr>
            <w:r>
              <w:rPr>
                <w:color w:val="auto"/>
                <w:sz w:val="28"/>
                <w:highlight w:val="none"/>
              </w:rPr>
              <w:t>依据招收士官或文职人员协议书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0"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5</w:t>
            </w:r>
            <w:r>
              <w:rPr>
                <w:color w:val="auto"/>
                <w:sz w:val="28"/>
                <w:highlight w:val="none"/>
              </w:rPr>
              <w:t>）医学规培生</w:t>
            </w:r>
          </w:p>
        </w:tc>
        <w:tc>
          <w:tcPr>
            <w:tcW w:w="4597" w:type="dxa"/>
          </w:tcPr>
          <w:p>
            <w:pPr>
              <w:pStyle w:val="44"/>
              <w:spacing w:before="10" w:line="332" w:lineRule="exact"/>
              <w:ind w:left="107"/>
              <w:rPr>
                <w:color w:val="auto"/>
                <w:sz w:val="28"/>
                <w:highlight w:val="none"/>
              </w:rPr>
            </w:pPr>
            <w:r>
              <w:rPr>
                <w:color w:val="auto"/>
                <w:sz w:val="28"/>
                <w:highlight w:val="none"/>
              </w:rPr>
              <w:t>依据与规培基地签订的协议书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6</w:t>
            </w:r>
            <w:r>
              <w:rPr>
                <w:color w:val="auto"/>
                <w:sz w:val="28"/>
                <w:highlight w:val="none"/>
              </w:rPr>
              <w:t>）国际组织任职</w:t>
            </w:r>
          </w:p>
        </w:tc>
        <w:tc>
          <w:tcPr>
            <w:tcW w:w="4597" w:type="dxa"/>
          </w:tcPr>
          <w:p>
            <w:pPr>
              <w:pStyle w:val="44"/>
              <w:spacing w:before="8" w:line="332" w:lineRule="exact"/>
              <w:ind w:left="107"/>
              <w:rPr>
                <w:color w:val="auto"/>
                <w:sz w:val="28"/>
                <w:highlight w:val="none"/>
              </w:rPr>
            </w:pPr>
            <w:r>
              <w:rPr>
                <w:color w:val="auto"/>
                <w:sz w:val="28"/>
                <w:highlight w:val="none"/>
              </w:rPr>
              <w:t>依据国际组织出具的接收材料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87"/>
              <w:ind w:left="107"/>
              <w:rPr>
                <w:color w:val="auto"/>
                <w:sz w:val="28"/>
                <w:highlight w:val="none"/>
              </w:rPr>
            </w:pPr>
            <w:r>
              <w:rPr>
                <w:color w:val="auto"/>
                <w:sz w:val="28"/>
                <w:highlight w:val="none"/>
              </w:rPr>
              <w:t>（</w:t>
            </w:r>
            <w:r>
              <w:rPr>
                <w:rFonts w:ascii="Times New Roman" w:eastAsia="Times New Roman"/>
                <w:color w:val="auto"/>
                <w:sz w:val="28"/>
                <w:highlight w:val="none"/>
              </w:rPr>
              <w:t>7</w:t>
            </w:r>
            <w:r>
              <w:rPr>
                <w:color w:val="auto"/>
                <w:sz w:val="28"/>
                <w:highlight w:val="none"/>
              </w:rPr>
              <w:t>）出国、出境就业</w:t>
            </w:r>
          </w:p>
        </w:tc>
        <w:tc>
          <w:tcPr>
            <w:tcW w:w="4597" w:type="dxa"/>
          </w:tcPr>
          <w:p>
            <w:pPr>
              <w:pStyle w:val="44"/>
              <w:spacing w:before="6" w:line="360" w:lineRule="atLeast"/>
              <w:ind w:left="107" w:right="95"/>
              <w:rPr>
                <w:color w:val="auto"/>
                <w:sz w:val="28"/>
                <w:highlight w:val="none"/>
              </w:rPr>
            </w:pPr>
            <w:r>
              <w:rPr>
                <w:color w:val="auto"/>
                <w:spacing w:val="-17"/>
                <w:sz w:val="28"/>
                <w:highlight w:val="none"/>
              </w:rPr>
              <w:t>依据国</w:t>
            </w:r>
            <w:r>
              <w:rPr>
                <w:color w:val="auto"/>
                <w:sz w:val="28"/>
                <w:highlight w:val="none"/>
              </w:rPr>
              <w:t>（</w:t>
            </w:r>
            <w:r>
              <w:rPr>
                <w:color w:val="auto"/>
                <w:spacing w:val="-3"/>
                <w:sz w:val="28"/>
                <w:highlight w:val="none"/>
              </w:rPr>
              <w:t>境</w:t>
            </w:r>
            <w:r>
              <w:rPr>
                <w:color w:val="auto"/>
                <w:spacing w:val="-51"/>
                <w:sz w:val="28"/>
                <w:highlight w:val="none"/>
              </w:rPr>
              <w:t>）</w:t>
            </w:r>
            <w:r>
              <w:rPr>
                <w:color w:val="auto"/>
                <w:spacing w:val="-5"/>
                <w:sz w:val="28"/>
                <w:highlight w:val="none"/>
              </w:rPr>
              <w:t>外用人单位出具的接收</w:t>
            </w:r>
            <w:r>
              <w:rPr>
                <w:color w:val="auto"/>
                <w:spacing w:val="-3"/>
                <w:sz w:val="28"/>
                <w:highlight w:val="none"/>
              </w:rPr>
              <w:t>证明或出国签证文件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419" w:type="dxa"/>
            <w:vMerge w:val="continue"/>
            <w:tcBorders>
              <w:top w:val="nil"/>
            </w:tcBorders>
          </w:tcPr>
          <w:p>
            <w:pPr>
              <w:rPr>
                <w:color w:val="auto"/>
                <w:sz w:val="2"/>
                <w:szCs w:val="2"/>
                <w:highlight w:val="none"/>
              </w:rPr>
            </w:pPr>
          </w:p>
        </w:tc>
        <w:tc>
          <w:tcPr>
            <w:tcW w:w="2369" w:type="dxa"/>
          </w:tcPr>
          <w:p>
            <w:pPr>
              <w:pStyle w:val="44"/>
              <w:spacing w:before="58" w:line="201" w:lineRule="auto"/>
              <w:ind w:left="107" w:right="-44"/>
              <w:rPr>
                <w:color w:val="auto"/>
                <w:sz w:val="28"/>
                <w:highlight w:val="none"/>
              </w:rPr>
            </w:pPr>
            <w:r>
              <w:rPr>
                <w:rFonts w:ascii="Times New Roman" w:eastAsia="Times New Roman"/>
                <w:color w:val="auto"/>
                <w:sz w:val="28"/>
                <w:highlight w:val="none"/>
              </w:rPr>
              <w:t>2</w:t>
            </w:r>
            <w:r>
              <w:rPr>
                <w:rFonts w:ascii="Times New Roman" w:eastAsia="Times New Roman"/>
                <w:color w:val="auto"/>
                <w:spacing w:val="-14"/>
                <w:sz w:val="28"/>
                <w:highlight w:val="none"/>
              </w:rPr>
              <w:t xml:space="preserve">. </w:t>
            </w:r>
            <w:r>
              <w:rPr>
                <w:color w:val="auto"/>
                <w:spacing w:val="43"/>
                <w:sz w:val="28"/>
                <w:highlight w:val="none"/>
              </w:rPr>
              <w:t>签劳动合同形</w:t>
            </w:r>
            <w:r>
              <w:rPr>
                <w:color w:val="auto"/>
                <w:spacing w:val="-6"/>
                <w:sz w:val="28"/>
                <w:highlight w:val="none"/>
              </w:rPr>
              <w:t>式就业</w:t>
            </w:r>
            <w:r>
              <w:rPr>
                <w:color w:val="auto"/>
                <w:spacing w:val="-3"/>
                <w:sz w:val="28"/>
                <w:highlight w:val="none"/>
              </w:rPr>
              <w:t>（</w:t>
            </w:r>
            <w:r>
              <w:rPr>
                <w:color w:val="auto"/>
                <w:spacing w:val="-21"/>
                <w:sz w:val="28"/>
                <w:highlight w:val="none"/>
              </w:rPr>
              <w:t xml:space="preserve">编码 </w:t>
            </w:r>
            <w:r>
              <w:rPr>
                <w:rFonts w:ascii="Times New Roman" w:eastAsia="Times New Roman"/>
                <w:color w:val="auto"/>
                <w:spacing w:val="-8"/>
                <w:sz w:val="28"/>
                <w:highlight w:val="none"/>
              </w:rPr>
              <w:t>11</w:t>
            </w:r>
            <w:r>
              <w:rPr>
                <w:color w:val="auto"/>
                <w:spacing w:val="-8"/>
                <w:sz w:val="28"/>
                <w:highlight w:val="none"/>
              </w:rPr>
              <w:t>）</w:t>
            </w:r>
          </w:p>
        </w:tc>
        <w:tc>
          <w:tcPr>
            <w:tcW w:w="5701" w:type="dxa"/>
          </w:tcPr>
          <w:p>
            <w:pPr>
              <w:pStyle w:val="44"/>
              <w:spacing w:before="182"/>
              <w:ind w:left="107"/>
              <w:rPr>
                <w:color w:val="auto"/>
                <w:sz w:val="28"/>
                <w:highlight w:val="none"/>
              </w:rPr>
            </w:pPr>
            <w:r>
              <w:rPr>
                <w:color w:val="auto"/>
                <w:sz w:val="28"/>
                <w:highlight w:val="none"/>
              </w:rPr>
              <w:t>毕业生与用人单位签订劳动合同</w:t>
            </w:r>
          </w:p>
        </w:tc>
        <w:tc>
          <w:tcPr>
            <w:tcW w:w="4597" w:type="dxa"/>
          </w:tcPr>
          <w:p>
            <w:pPr>
              <w:pStyle w:val="44"/>
              <w:spacing w:before="1"/>
              <w:ind w:left="107"/>
              <w:rPr>
                <w:color w:val="auto"/>
                <w:sz w:val="28"/>
                <w:highlight w:val="none"/>
              </w:rPr>
            </w:pPr>
            <w:r>
              <w:rPr>
                <w:color w:val="auto"/>
                <w:sz w:val="28"/>
                <w:highlight w:val="none"/>
              </w:rPr>
              <w:t>劳动合同相关解释参见《中华人民共</w:t>
            </w:r>
          </w:p>
          <w:p>
            <w:pPr>
              <w:pStyle w:val="44"/>
              <w:spacing w:before="2" w:line="332" w:lineRule="exact"/>
              <w:ind w:left="107"/>
              <w:rPr>
                <w:color w:val="auto"/>
                <w:sz w:val="28"/>
                <w:highlight w:val="none"/>
              </w:rPr>
            </w:pPr>
            <w:r>
              <w:rPr>
                <w:color w:val="auto"/>
                <w:sz w:val="28"/>
                <w:highlight w:val="none"/>
              </w:rPr>
              <w:t>和国劳动法》十六、十八、十九条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419" w:type="dxa"/>
            <w:vMerge w:val="continue"/>
            <w:tcBorders>
              <w:top w:val="nil"/>
            </w:tcBorders>
          </w:tcPr>
          <w:p>
            <w:pPr>
              <w:rPr>
                <w:color w:val="auto"/>
                <w:sz w:val="2"/>
                <w:szCs w:val="2"/>
                <w:highlight w:val="none"/>
              </w:rPr>
            </w:pPr>
          </w:p>
        </w:tc>
        <w:tc>
          <w:tcPr>
            <w:tcW w:w="2369" w:type="dxa"/>
          </w:tcPr>
          <w:p>
            <w:pPr>
              <w:pStyle w:val="44"/>
              <w:spacing w:before="39"/>
              <w:ind w:left="107"/>
              <w:rPr>
                <w:color w:val="auto"/>
                <w:sz w:val="28"/>
                <w:highlight w:val="none"/>
              </w:rPr>
            </w:pPr>
            <w:r>
              <w:rPr>
                <w:rFonts w:ascii="Times New Roman" w:eastAsia="Times New Roman"/>
                <w:color w:val="auto"/>
                <w:sz w:val="28"/>
                <w:highlight w:val="none"/>
              </w:rPr>
              <w:t>3.</w:t>
            </w:r>
            <w:r>
              <w:rPr>
                <w:color w:val="auto"/>
                <w:sz w:val="28"/>
                <w:highlight w:val="none"/>
              </w:rPr>
              <w:t>科研助理、管理</w:t>
            </w:r>
          </w:p>
        </w:tc>
        <w:tc>
          <w:tcPr>
            <w:tcW w:w="10298" w:type="dxa"/>
            <w:gridSpan w:val="2"/>
          </w:tcPr>
          <w:p>
            <w:pPr>
              <w:pStyle w:val="44"/>
              <w:spacing w:before="55"/>
              <w:ind w:left="107"/>
              <w:rPr>
                <w:color w:val="auto"/>
                <w:sz w:val="28"/>
                <w:highlight w:val="none"/>
              </w:rPr>
            </w:pPr>
            <w:r>
              <w:rPr>
                <w:color w:val="auto"/>
                <w:sz w:val="28"/>
                <w:highlight w:val="none"/>
              </w:rPr>
              <w:t>指被高校、科研机构或企业聘用作为博士后、科研辅助研究、实验技术、技术经理</w:t>
            </w:r>
          </w:p>
        </w:tc>
      </w:tr>
    </w:tbl>
    <w:p>
      <w:pPr>
        <w:spacing w:after="0"/>
        <w:rPr>
          <w:color w:val="auto"/>
          <w:sz w:val="28"/>
          <w:highlight w:val="none"/>
        </w:rPr>
        <w:sectPr>
          <w:type w:val="continuous"/>
          <w:pgSz w:w="16840" w:h="11910" w:orient="landscape"/>
          <w:pgMar w:top="1400" w:right="1260" w:bottom="1984" w:left="1260" w:header="720" w:footer="720" w:gutter="0"/>
          <w:pgNumType w:fmt="decimal"/>
          <w:cols w:space="720" w:num="1"/>
          <w:rtlGutter w:val="0"/>
        </w:sectPr>
      </w:pPr>
    </w:p>
    <w:p>
      <w:pPr>
        <w:pStyle w:val="6"/>
        <w:rPr>
          <w:rFonts w:ascii="Times New Roman"/>
          <w:color w:val="auto"/>
          <w:sz w:val="20"/>
          <w:highlight w:val="none"/>
        </w:rPr>
      </w:pPr>
    </w:p>
    <w:p>
      <w:pPr>
        <w:pStyle w:val="6"/>
        <w:spacing w:before="11"/>
        <w:rPr>
          <w:rFonts w:ascii="Times New Roman"/>
          <w:color w:val="auto"/>
          <w:sz w:val="16"/>
          <w:highlight w:val="none"/>
        </w:rPr>
      </w:pPr>
    </w:p>
    <w:tbl>
      <w:tblPr>
        <w:tblStyle w:val="22"/>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9"/>
        <w:gridCol w:w="2369"/>
        <w:gridCol w:w="5701"/>
        <w:gridCol w:w="4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788" w:type="dxa"/>
            <w:gridSpan w:val="2"/>
          </w:tcPr>
          <w:p>
            <w:pPr>
              <w:pStyle w:val="44"/>
              <w:spacing w:before="104"/>
              <w:ind w:left="1553" w:right="1544"/>
              <w:jc w:val="center"/>
              <w:rPr>
                <w:rFonts w:hint="eastAsia" w:ascii="黑体" w:eastAsia="黑体"/>
                <w:color w:val="auto"/>
                <w:sz w:val="32"/>
                <w:highlight w:val="none"/>
              </w:rPr>
            </w:pPr>
            <w:r>
              <w:rPr>
                <w:rFonts w:hint="eastAsia" w:ascii="黑体" w:eastAsia="黑体"/>
                <w:color w:val="auto"/>
                <w:sz w:val="32"/>
                <w:highlight w:val="none"/>
              </w:rPr>
              <w:t>分类</w:t>
            </w:r>
          </w:p>
        </w:tc>
        <w:tc>
          <w:tcPr>
            <w:tcW w:w="5701" w:type="dxa"/>
          </w:tcPr>
          <w:p>
            <w:pPr>
              <w:pStyle w:val="44"/>
              <w:spacing w:before="104"/>
              <w:ind w:left="2189" w:right="2181"/>
              <w:jc w:val="center"/>
              <w:rPr>
                <w:rFonts w:hint="eastAsia" w:ascii="黑体" w:eastAsia="黑体"/>
                <w:color w:val="auto"/>
                <w:sz w:val="32"/>
                <w:highlight w:val="none"/>
              </w:rPr>
            </w:pPr>
            <w:r>
              <w:rPr>
                <w:rFonts w:hint="eastAsia" w:ascii="黑体" w:eastAsia="黑体"/>
                <w:color w:val="auto"/>
                <w:sz w:val="32"/>
                <w:highlight w:val="none"/>
              </w:rPr>
              <w:t>分类界定</w:t>
            </w:r>
          </w:p>
        </w:tc>
        <w:tc>
          <w:tcPr>
            <w:tcW w:w="4597" w:type="dxa"/>
          </w:tcPr>
          <w:p>
            <w:pPr>
              <w:pStyle w:val="44"/>
              <w:spacing w:before="104"/>
              <w:ind w:left="1637" w:right="1630"/>
              <w:jc w:val="center"/>
              <w:rPr>
                <w:rFonts w:hint="eastAsia" w:ascii="黑体" w:eastAsia="黑体"/>
                <w:color w:val="auto"/>
                <w:sz w:val="32"/>
                <w:highlight w:val="none"/>
              </w:rPr>
            </w:pPr>
            <w:r>
              <w:rPr>
                <w:rFonts w:hint="eastAsia" w:ascii="黑体" w:eastAsia="黑体"/>
                <w:color w:val="auto"/>
                <w:sz w:val="32"/>
                <w:highlight w:val="none"/>
              </w:rPr>
              <w:t>审核依据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419" w:type="dxa"/>
            <w:vMerge w:val="restart"/>
          </w:tcPr>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rPr>
                <w:rFonts w:ascii="Times New Roman"/>
                <w:color w:val="auto"/>
                <w:sz w:val="32"/>
                <w:highlight w:val="none"/>
              </w:rPr>
            </w:pPr>
          </w:p>
          <w:p>
            <w:pPr>
              <w:pStyle w:val="44"/>
              <w:tabs>
                <w:tab w:val="left" w:pos="866"/>
              </w:tabs>
              <w:spacing w:before="202"/>
              <w:ind w:left="227"/>
              <w:rPr>
                <w:rFonts w:hint="eastAsia" w:ascii="黑体" w:eastAsia="黑体"/>
                <w:color w:val="auto"/>
                <w:sz w:val="32"/>
                <w:highlight w:val="none"/>
              </w:rPr>
            </w:pPr>
            <w:r>
              <w:rPr>
                <w:rFonts w:hint="eastAsia" w:ascii="黑体" w:eastAsia="黑体"/>
                <w:color w:val="auto"/>
                <w:sz w:val="32"/>
                <w:highlight w:val="none"/>
              </w:rPr>
              <w:t>就</w:t>
            </w:r>
            <w:r>
              <w:rPr>
                <w:rFonts w:hint="eastAsia" w:ascii="黑体" w:eastAsia="黑体"/>
                <w:color w:val="auto"/>
                <w:sz w:val="32"/>
                <w:highlight w:val="none"/>
              </w:rPr>
              <w:tab/>
            </w:r>
            <w:r>
              <w:rPr>
                <w:rFonts w:hint="eastAsia" w:ascii="黑体" w:eastAsia="黑体"/>
                <w:color w:val="auto"/>
                <w:sz w:val="32"/>
                <w:highlight w:val="none"/>
              </w:rPr>
              <w:t>业</w:t>
            </w:r>
          </w:p>
        </w:tc>
        <w:tc>
          <w:tcPr>
            <w:tcW w:w="2369" w:type="dxa"/>
            <w:vMerge w:val="restart"/>
          </w:tcPr>
          <w:p>
            <w:pPr>
              <w:pStyle w:val="44"/>
              <w:spacing w:line="319" w:lineRule="exact"/>
              <w:ind w:left="107"/>
              <w:rPr>
                <w:color w:val="auto"/>
                <w:sz w:val="28"/>
                <w:highlight w:val="none"/>
              </w:rPr>
            </w:pPr>
            <w:r>
              <w:rPr>
                <w:color w:val="auto"/>
                <w:sz w:val="28"/>
                <w:highlight w:val="none"/>
              </w:rPr>
              <w:t>助理</w:t>
            </w:r>
          </w:p>
        </w:tc>
        <w:tc>
          <w:tcPr>
            <w:tcW w:w="10298" w:type="dxa"/>
            <w:gridSpan w:val="2"/>
          </w:tcPr>
          <w:p>
            <w:pPr>
              <w:pStyle w:val="44"/>
              <w:spacing w:before="8"/>
              <w:ind w:left="107"/>
              <w:rPr>
                <w:color w:val="auto"/>
                <w:sz w:val="28"/>
                <w:highlight w:val="none"/>
              </w:rPr>
            </w:pPr>
            <w:r>
              <w:rPr>
                <w:color w:val="auto"/>
                <w:sz w:val="28"/>
                <w:highlight w:val="none"/>
              </w:rPr>
              <w:t>人、学术助理、财务助理等，包含以下两种情况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88"/>
              <w:ind w:left="107"/>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）科研助理、管理助理（编码 </w:t>
            </w:r>
            <w:r>
              <w:rPr>
                <w:rFonts w:ascii="Times New Roman" w:eastAsia="Times New Roman"/>
                <w:color w:val="auto"/>
                <w:sz w:val="28"/>
                <w:highlight w:val="none"/>
              </w:rPr>
              <w:t>271</w:t>
            </w:r>
            <w:r>
              <w:rPr>
                <w:color w:val="auto"/>
                <w:sz w:val="28"/>
                <w:highlight w:val="none"/>
              </w:rPr>
              <w:t>）</w:t>
            </w:r>
          </w:p>
        </w:tc>
        <w:tc>
          <w:tcPr>
            <w:tcW w:w="4597" w:type="dxa"/>
          </w:tcPr>
          <w:p>
            <w:pPr>
              <w:pStyle w:val="44"/>
              <w:spacing w:before="6" w:line="360" w:lineRule="atLeast"/>
              <w:ind w:left="107" w:right="94"/>
              <w:rPr>
                <w:color w:val="auto"/>
                <w:sz w:val="28"/>
                <w:highlight w:val="none"/>
              </w:rPr>
            </w:pPr>
            <w:r>
              <w:rPr>
                <w:color w:val="auto"/>
                <w:spacing w:val="-12"/>
                <w:sz w:val="28"/>
                <w:highlight w:val="none"/>
              </w:rPr>
              <w:t>依据高校、科研机构或企业出具的证</w:t>
            </w:r>
            <w:r>
              <w:rPr>
                <w:color w:val="auto"/>
                <w:spacing w:val="-3"/>
                <w:sz w:val="28"/>
                <w:highlight w:val="none"/>
              </w:rPr>
              <w:t>明，薪酬需达到当地最低工资标准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7"/>
              <w:rPr>
                <w:rFonts w:ascii="Times New Roman"/>
                <w:color w:val="auto"/>
                <w:sz w:val="31"/>
                <w:highlight w:val="none"/>
              </w:rPr>
            </w:pPr>
          </w:p>
          <w:p>
            <w:pPr>
              <w:pStyle w:val="44"/>
              <w:spacing w:before="1"/>
              <w:ind w:left="107"/>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 xml:space="preserve">）博士后入站（编码 </w:t>
            </w:r>
            <w:r>
              <w:rPr>
                <w:rFonts w:ascii="Times New Roman" w:eastAsia="Times New Roman"/>
                <w:color w:val="auto"/>
                <w:sz w:val="28"/>
                <w:highlight w:val="none"/>
              </w:rPr>
              <w:t>272</w:t>
            </w:r>
            <w:r>
              <w:rPr>
                <w:color w:val="auto"/>
                <w:sz w:val="28"/>
                <w:highlight w:val="none"/>
              </w:rPr>
              <w:t>）</w:t>
            </w:r>
          </w:p>
        </w:tc>
        <w:tc>
          <w:tcPr>
            <w:tcW w:w="4597" w:type="dxa"/>
          </w:tcPr>
          <w:p>
            <w:pPr>
              <w:pStyle w:val="44"/>
              <w:spacing w:before="4"/>
              <w:ind w:left="107"/>
              <w:rPr>
                <w:color w:val="auto"/>
                <w:sz w:val="28"/>
                <w:highlight w:val="none"/>
              </w:rPr>
            </w:pPr>
            <w:r>
              <w:rPr>
                <w:color w:val="auto"/>
                <w:sz w:val="28"/>
                <w:highlight w:val="none"/>
              </w:rPr>
              <w:t>依据劳动（聘用）合同、协议书、接</w:t>
            </w:r>
          </w:p>
          <w:p>
            <w:pPr>
              <w:pStyle w:val="44"/>
              <w:spacing w:line="360" w:lineRule="atLeast"/>
              <w:ind w:left="107" w:right="95"/>
              <w:rPr>
                <w:color w:val="auto"/>
                <w:sz w:val="28"/>
                <w:highlight w:val="none"/>
              </w:rPr>
            </w:pPr>
            <w:r>
              <w:rPr>
                <w:color w:val="auto"/>
                <w:spacing w:val="-12"/>
                <w:sz w:val="28"/>
                <w:highlight w:val="none"/>
              </w:rPr>
              <w:t>收函、商调函、《博士后研究人员备</w:t>
            </w:r>
            <w:r>
              <w:rPr>
                <w:color w:val="auto"/>
                <w:sz w:val="28"/>
                <w:highlight w:val="none"/>
              </w:rPr>
              <w:t>案证明》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1419" w:type="dxa"/>
            <w:vMerge w:val="continue"/>
            <w:tcBorders>
              <w:top w:val="nil"/>
            </w:tcBorders>
          </w:tcPr>
          <w:p>
            <w:pPr>
              <w:rPr>
                <w:color w:val="auto"/>
                <w:sz w:val="2"/>
                <w:szCs w:val="2"/>
                <w:highlight w:val="none"/>
              </w:rPr>
            </w:pPr>
          </w:p>
        </w:tc>
        <w:tc>
          <w:tcPr>
            <w:tcW w:w="2369" w:type="dxa"/>
          </w:tcPr>
          <w:p>
            <w:pPr>
              <w:pStyle w:val="44"/>
              <w:spacing w:line="283" w:lineRule="exact"/>
              <w:ind w:left="107"/>
              <w:rPr>
                <w:color w:val="auto"/>
                <w:sz w:val="28"/>
                <w:highlight w:val="none"/>
              </w:rPr>
            </w:pPr>
            <w:r>
              <w:rPr>
                <w:rFonts w:ascii="Times New Roman" w:eastAsia="Times New Roman"/>
                <w:color w:val="auto"/>
                <w:sz w:val="28"/>
                <w:highlight w:val="none"/>
              </w:rPr>
              <w:t>4.</w:t>
            </w:r>
            <w:r>
              <w:rPr>
                <w:color w:val="auto"/>
                <w:sz w:val="28"/>
                <w:highlight w:val="none"/>
              </w:rPr>
              <w:t>应征义务兵</w:t>
            </w:r>
          </w:p>
          <w:p>
            <w:pPr>
              <w:pStyle w:val="44"/>
              <w:spacing w:line="290" w:lineRule="exact"/>
              <w:ind w:left="107"/>
              <w:rPr>
                <w:color w:val="auto"/>
                <w:sz w:val="28"/>
                <w:highlight w:val="none"/>
              </w:rPr>
            </w:pPr>
            <w:r>
              <w:rPr>
                <w:color w:val="auto"/>
                <w:sz w:val="28"/>
                <w:highlight w:val="none"/>
              </w:rPr>
              <w:t xml:space="preserve">（编码 </w:t>
            </w:r>
            <w:r>
              <w:rPr>
                <w:rFonts w:ascii="Times New Roman" w:eastAsia="Times New Roman"/>
                <w:color w:val="auto"/>
                <w:sz w:val="28"/>
                <w:highlight w:val="none"/>
              </w:rPr>
              <w:t>46</w:t>
            </w:r>
            <w:r>
              <w:rPr>
                <w:color w:val="auto"/>
                <w:sz w:val="28"/>
                <w:highlight w:val="none"/>
              </w:rPr>
              <w:t>）</w:t>
            </w:r>
          </w:p>
        </w:tc>
        <w:tc>
          <w:tcPr>
            <w:tcW w:w="5701" w:type="dxa"/>
          </w:tcPr>
          <w:p>
            <w:pPr>
              <w:pStyle w:val="44"/>
              <w:spacing w:before="121"/>
              <w:ind w:left="107"/>
              <w:rPr>
                <w:color w:val="auto"/>
                <w:sz w:val="28"/>
                <w:highlight w:val="none"/>
              </w:rPr>
            </w:pPr>
            <w:r>
              <w:rPr>
                <w:color w:val="auto"/>
                <w:sz w:val="28"/>
                <w:highlight w:val="none"/>
              </w:rPr>
              <w:t>应征义务兵</w:t>
            </w:r>
          </w:p>
        </w:tc>
        <w:tc>
          <w:tcPr>
            <w:tcW w:w="4597" w:type="dxa"/>
          </w:tcPr>
          <w:p>
            <w:pPr>
              <w:pStyle w:val="44"/>
              <w:spacing w:before="121"/>
              <w:ind w:left="107"/>
              <w:rPr>
                <w:color w:val="auto"/>
                <w:sz w:val="28"/>
                <w:highlight w:val="none"/>
              </w:rPr>
            </w:pPr>
            <w:r>
              <w:rPr>
                <w:color w:val="auto"/>
                <w:sz w:val="28"/>
                <w:highlight w:val="none"/>
              </w:rPr>
              <w:t>依据预定兵通知书或入伍通知书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restart"/>
          </w:tcPr>
          <w:p>
            <w:pPr>
              <w:pStyle w:val="44"/>
              <w:spacing w:before="4"/>
              <w:rPr>
                <w:rFonts w:ascii="Times New Roman"/>
                <w:color w:val="auto"/>
                <w:sz w:val="31"/>
                <w:highlight w:val="none"/>
              </w:rPr>
            </w:pPr>
          </w:p>
          <w:p>
            <w:pPr>
              <w:pStyle w:val="44"/>
              <w:ind w:left="107"/>
              <w:rPr>
                <w:color w:val="auto"/>
                <w:sz w:val="28"/>
                <w:highlight w:val="none"/>
              </w:rPr>
            </w:pPr>
            <w:r>
              <w:rPr>
                <w:rFonts w:ascii="Times New Roman" w:eastAsia="Times New Roman"/>
                <w:color w:val="auto"/>
                <w:sz w:val="28"/>
                <w:highlight w:val="none"/>
              </w:rPr>
              <w:t>5.</w:t>
            </w:r>
            <w:r>
              <w:rPr>
                <w:color w:val="auto"/>
                <w:sz w:val="28"/>
                <w:highlight w:val="none"/>
              </w:rPr>
              <w:t>国家基层项目</w:t>
            </w: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）特岗教师（编码 </w:t>
            </w:r>
            <w:r>
              <w:rPr>
                <w:rFonts w:ascii="Times New Roman" w:eastAsia="Times New Roman"/>
                <w:color w:val="auto"/>
                <w:sz w:val="28"/>
                <w:highlight w:val="none"/>
              </w:rPr>
              <w:t>501</w:t>
            </w:r>
            <w:r>
              <w:rPr>
                <w:color w:val="auto"/>
                <w:sz w:val="28"/>
                <w:highlight w:val="none"/>
              </w:rPr>
              <w:t>）</w:t>
            </w:r>
          </w:p>
        </w:tc>
        <w:tc>
          <w:tcPr>
            <w:tcW w:w="4597" w:type="dxa"/>
            <w:vMerge w:val="restart"/>
          </w:tcPr>
          <w:p>
            <w:pPr>
              <w:pStyle w:val="44"/>
              <w:spacing w:before="197"/>
              <w:ind w:left="107" w:right="85"/>
              <w:rPr>
                <w:color w:val="auto"/>
                <w:sz w:val="28"/>
                <w:highlight w:val="none"/>
              </w:rPr>
            </w:pPr>
            <w:r>
              <w:rPr>
                <w:color w:val="auto"/>
                <w:sz w:val="28"/>
                <w:highlight w:val="none"/>
              </w:rPr>
              <w:t>依据录用单位出具的录用文件或有关部门出具的接收证明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 xml:space="preserve">）三支一扶（编码 </w:t>
            </w:r>
            <w:r>
              <w:rPr>
                <w:rFonts w:ascii="Times New Roman" w:eastAsia="Times New Roman"/>
                <w:color w:val="auto"/>
                <w:sz w:val="28"/>
                <w:highlight w:val="none"/>
              </w:rPr>
              <w:t>502</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7"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 xml:space="preserve">）西部计划（编码 </w:t>
            </w:r>
            <w:r>
              <w:rPr>
                <w:rFonts w:ascii="Times New Roman" w:eastAsia="Times New Roman"/>
                <w:color w:val="auto"/>
                <w:sz w:val="28"/>
                <w:highlight w:val="none"/>
              </w:rPr>
              <w:t>503</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419" w:type="dxa"/>
            <w:vMerge w:val="continue"/>
            <w:tcBorders>
              <w:top w:val="nil"/>
            </w:tcBorders>
          </w:tcPr>
          <w:p>
            <w:pPr>
              <w:rPr>
                <w:color w:val="auto"/>
                <w:sz w:val="2"/>
                <w:szCs w:val="2"/>
                <w:highlight w:val="none"/>
              </w:rPr>
            </w:pPr>
          </w:p>
        </w:tc>
        <w:tc>
          <w:tcPr>
            <w:tcW w:w="2369" w:type="dxa"/>
            <w:vMerge w:val="restart"/>
          </w:tcPr>
          <w:p>
            <w:pPr>
              <w:pStyle w:val="44"/>
              <w:rPr>
                <w:rFonts w:ascii="Times New Roman"/>
                <w:color w:val="auto"/>
                <w:sz w:val="30"/>
                <w:highlight w:val="none"/>
              </w:rPr>
            </w:pPr>
          </w:p>
          <w:p>
            <w:pPr>
              <w:pStyle w:val="44"/>
              <w:rPr>
                <w:rFonts w:ascii="Times New Roman"/>
                <w:color w:val="auto"/>
                <w:sz w:val="30"/>
                <w:highlight w:val="none"/>
              </w:rPr>
            </w:pPr>
          </w:p>
          <w:p>
            <w:pPr>
              <w:pStyle w:val="44"/>
              <w:spacing w:before="225"/>
              <w:ind w:left="107"/>
              <w:rPr>
                <w:color w:val="auto"/>
                <w:sz w:val="28"/>
                <w:highlight w:val="none"/>
              </w:rPr>
            </w:pPr>
            <w:r>
              <w:rPr>
                <w:rFonts w:ascii="Times New Roman" w:eastAsia="Times New Roman"/>
                <w:color w:val="auto"/>
                <w:sz w:val="28"/>
                <w:highlight w:val="none"/>
              </w:rPr>
              <w:t>6.</w:t>
            </w:r>
            <w:r>
              <w:rPr>
                <w:color w:val="auto"/>
                <w:sz w:val="28"/>
                <w:highlight w:val="none"/>
              </w:rPr>
              <w:t>地方基层项目</w:t>
            </w: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）特岗教师（编码 </w:t>
            </w:r>
            <w:r>
              <w:rPr>
                <w:rFonts w:ascii="Times New Roman" w:eastAsia="Times New Roman"/>
                <w:color w:val="auto"/>
                <w:sz w:val="28"/>
                <w:highlight w:val="none"/>
              </w:rPr>
              <w:t>511</w:t>
            </w:r>
            <w:r>
              <w:rPr>
                <w:color w:val="auto"/>
                <w:sz w:val="28"/>
                <w:highlight w:val="none"/>
              </w:rPr>
              <w:t>）</w:t>
            </w:r>
          </w:p>
        </w:tc>
        <w:tc>
          <w:tcPr>
            <w:tcW w:w="4597" w:type="dxa"/>
            <w:vMerge w:val="restart"/>
          </w:tcPr>
          <w:p>
            <w:pPr>
              <w:pStyle w:val="44"/>
              <w:rPr>
                <w:rFonts w:ascii="Times New Roman"/>
                <w:color w:val="auto"/>
                <w:sz w:val="28"/>
                <w:highlight w:val="none"/>
              </w:rPr>
            </w:pPr>
          </w:p>
          <w:p>
            <w:pPr>
              <w:pStyle w:val="44"/>
              <w:rPr>
                <w:rFonts w:ascii="Times New Roman"/>
                <w:color w:val="auto"/>
                <w:sz w:val="28"/>
                <w:highlight w:val="none"/>
              </w:rPr>
            </w:pPr>
          </w:p>
          <w:p>
            <w:pPr>
              <w:pStyle w:val="44"/>
              <w:spacing w:before="3"/>
              <w:rPr>
                <w:rFonts w:ascii="Times New Roman"/>
                <w:color w:val="auto"/>
                <w:sz w:val="25"/>
                <w:highlight w:val="none"/>
              </w:rPr>
            </w:pPr>
          </w:p>
          <w:p>
            <w:pPr>
              <w:pStyle w:val="44"/>
              <w:ind w:left="107"/>
              <w:rPr>
                <w:color w:val="auto"/>
                <w:sz w:val="28"/>
                <w:highlight w:val="none"/>
              </w:rPr>
            </w:pPr>
            <w:r>
              <w:rPr>
                <w:color w:val="auto"/>
                <w:sz w:val="28"/>
                <w:highlight w:val="none"/>
              </w:rPr>
              <w:t>依据录用单位出具的录用文件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1"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0"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 xml:space="preserve">）选调生（编码 </w:t>
            </w:r>
            <w:r>
              <w:rPr>
                <w:rFonts w:ascii="Times New Roman" w:eastAsia="Times New Roman"/>
                <w:color w:val="auto"/>
                <w:sz w:val="28"/>
                <w:highlight w:val="none"/>
              </w:rPr>
              <w:t>512</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 xml:space="preserve">）农技特岗（编码 </w:t>
            </w:r>
            <w:r>
              <w:rPr>
                <w:rFonts w:ascii="Times New Roman" w:eastAsia="Times New Roman"/>
                <w:color w:val="auto"/>
                <w:sz w:val="28"/>
                <w:highlight w:val="none"/>
              </w:rPr>
              <w:t>513</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7"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4</w:t>
            </w:r>
            <w:r>
              <w:rPr>
                <w:color w:val="auto"/>
                <w:sz w:val="28"/>
                <w:highlight w:val="none"/>
              </w:rPr>
              <w:t xml:space="preserve">）乡村医生（编码 </w:t>
            </w:r>
            <w:r>
              <w:rPr>
                <w:rFonts w:ascii="Times New Roman" w:eastAsia="Times New Roman"/>
                <w:color w:val="auto"/>
                <w:sz w:val="28"/>
                <w:highlight w:val="none"/>
              </w:rPr>
              <w:t>514</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5</w:t>
            </w:r>
            <w:r>
              <w:rPr>
                <w:color w:val="auto"/>
                <w:sz w:val="28"/>
                <w:highlight w:val="none"/>
              </w:rPr>
              <w:t xml:space="preserve">）乡村教师（编码 </w:t>
            </w:r>
            <w:r>
              <w:rPr>
                <w:rFonts w:ascii="Times New Roman" w:eastAsia="Times New Roman"/>
                <w:color w:val="auto"/>
                <w:sz w:val="28"/>
                <w:highlight w:val="none"/>
              </w:rPr>
              <w:t>515</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6</w:t>
            </w:r>
            <w:r>
              <w:rPr>
                <w:color w:val="auto"/>
                <w:sz w:val="28"/>
                <w:highlight w:val="none"/>
              </w:rPr>
              <w:t xml:space="preserve">）其它（编码 </w:t>
            </w:r>
            <w:r>
              <w:rPr>
                <w:rFonts w:ascii="Times New Roman" w:eastAsia="Times New Roman"/>
                <w:color w:val="auto"/>
                <w:sz w:val="28"/>
                <w:highlight w:val="none"/>
              </w:rPr>
              <w:t>519</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42" w:hRule="atLeast"/>
        </w:trPr>
        <w:tc>
          <w:tcPr>
            <w:tcW w:w="1419" w:type="dxa"/>
            <w:vMerge w:val="continue"/>
            <w:tcBorders>
              <w:top w:val="nil"/>
            </w:tcBorders>
          </w:tcPr>
          <w:p>
            <w:pPr>
              <w:rPr>
                <w:color w:val="auto"/>
                <w:sz w:val="2"/>
                <w:szCs w:val="2"/>
                <w:highlight w:val="none"/>
              </w:rPr>
            </w:pPr>
          </w:p>
        </w:tc>
        <w:tc>
          <w:tcPr>
            <w:tcW w:w="2369" w:type="dxa"/>
          </w:tcPr>
          <w:p>
            <w:pPr>
              <w:pStyle w:val="44"/>
              <w:spacing w:before="11"/>
              <w:rPr>
                <w:rFonts w:ascii="Times New Roman"/>
                <w:color w:val="auto"/>
                <w:sz w:val="36"/>
                <w:highlight w:val="none"/>
              </w:rPr>
            </w:pPr>
          </w:p>
          <w:p>
            <w:pPr>
              <w:pStyle w:val="44"/>
              <w:spacing w:line="201" w:lineRule="auto"/>
              <w:ind w:left="107" w:right="52"/>
              <w:rPr>
                <w:color w:val="auto"/>
                <w:sz w:val="28"/>
                <w:highlight w:val="none"/>
              </w:rPr>
            </w:pPr>
            <w:r>
              <w:rPr>
                <w:rFonts w:ascii="Times New Roman" w:eastAsia="Times New Roman"/>
                <w:color w:val="auto"/>
                <w:sz w:val="28"/>
                <w:highlight w:val="none"/>
              </w:rPr>
              <w:t>7</w:t>
            </w:r>
            <w:r>
              <w:rPr>
                <w:rFonts w:ascii="Times New Roman" w:eastAsia="Times New Roman"/>
                <w:color w:val="auto"/>
                <w:spacing w:val="-12"/>
                <w:sz w:val="28"/>
                <w:highlight w:val="none"/>
              </w:rPr>
              <w:t xml:space="preserve">. </w:t>
            </w:r>
            <w:r>
              <w:rPr>
                <w:color w:val="auto"/>
                <w:spacing w:val="40"/>
                <w:sz w:val="28"/>
                <w:highlight w:val="none"/>
              </w:rPr>
              <w:t>其他录用形式</w:t>
            </w:r>
            <w:r>
              <w:rPr>
                <w:color w:val="auto"/>
                <w:sz w:val="28"/>
                <w:highlight w:val="none"/>
              </w:rPr>
              <w:t>就业（</w:t>
            </w:r>
            <w:r>
              <w:rPr>
                <w:color w:val="auto"/>
                <w:spacing w:val="-24"/>
                <w:sz w:val="28"/>
                <w:highlight w:val="none"/>
              </w:rPr>
              <w:t xml:space="preserve">编码 </w:t>
            </w:r>
            <w:r>
              <w:rPr>
                <w:rFonts w:ascii="Times New Roman" w:eastAsia="Times New Roman"/>
                <w:color w:val="auto"/>
                <w:sz w:val="28"/>
                <w:highlight w:val="none"/>
              </w:rPr>
              <w:t>12</w:t>
            </w:r>
            <w:r>
              <w:rPr>
                <w:color w:val="auto"/>
                <w:sz w:val="28"/>
                <w:highlight w:val="none"/>
              </w:rPr>
              <w:t>）</w:t>
            </w:r>
          </w:p>
        </w:tc>
        <w:tc>
          <w:tcPr>
            <w:tcW w:w="5701" w:type="dxa"/>
          </w:tcPr>
          <w:p>
            <w:pPr>
              <w:pStyle w:val="44"/>
              <w:rPr>
                <w:rFonts w:ascii="Times New Roman"/>
                <w:color w:val="auto"/>
                <w:sz w:val="32"/>
                <w:highlight w:val="none"/>
              </w:rPr>
            </w:pPr>
          </w:p>
          <w:p>
            <w:pPr>
              <w:pStyle w:val="44"/>
              <w:ind w:left="107" w:right="95"/>
              <w:rPr>
                <w:color w:val="auto"/>
                <w:sz w:val="28"/>
                <w:highlight w:val="none"/>
              </w:rPr>
            </w:pPr>
            <w:r>
              <w:rPr>
                <w:color w:val="auto"/>
                <w:spacing w:val="-11"/>
                <w:sz w:val="28"/>
                <w:highlight w:val="none"/>
              </w:rPr>
              <w:t>用人单位不签订就业协议或劳动合同，仅提供</w:t>
            </w:r>
            <w:r>
              <w:rPr>
                <w:color w:val="auto"/>
                <w:spacing w:val="-3"/>
                <w:sz w:val="28"/>
                <w:highlight w:val="none"/>
              </w:rPr>
              <w:t>聘用证明、工资收入流水等证明材料</w:t>
            </w:r>
          </w:p>
        </w:tc>
        <w:tc>
          <w:tcPr>
            <w:tcW w:w="4597" w:type="dxa"/>
          </w:tcPr>
          <w:p>
            <w:pPr>
              <w:pStyle w:val="44"/>
              <w:spacing w:before="7"/>
              <w:ind w:left="107" w:right="85"/>
              <w:rPr>
                <w:color w:val="auto"/>
                <w:sz w:val="28"/>
                <w:highlight w:val="none"/>
              </w:rPr>
            </w:pPr>
            <w:r>
              <w:rPr>
                <w:color w:val="auto"/>
                <w:spacing w:val="10"/>
                <w:sz w:val="28"/>
                <w:highlight w:val="none"/>
              </w:rPr>
              <w:t>依据用人单位出具的聘用证明或毕</w:t>
            </w:r>
            <w:r>
              <w:rPr>
                <w:color w:val="auto"/>
                <w:spacing w:val="-10"/>
                <w:sz w:val="28"/>
                <w:highlight w:val="none"/>
              </w:rPr>
              <w:t>业生本人提供的工资收入证明、收入</w:t>
            </w:r>
          </w:p>
          <w:p>
            <w:pPr>
              <w:pStyle w:val="44"/>
              <w:spacing w:before="2" w:line="360" w:lineRule="atLeast"/>
              <w:ind w:left="107" w:right="94"/>
              <w:rPr>
                <w:color w:val="auto"/>
                <w:sz w:val="28"/>
                <w:highlight w:val="none"/>
              </w:rPr>
            </w:pPr>
            <w:r>
              <w:rPr>
                <w:color w:val="auto"/>
                <w:spacing w:val="-12"/>
                <w:sz w:val="28"/>
                <w:highlight w:val="none"/>
              </w:rPr>
              <w:t>流水等其他证明材料，薪酬需达到当</w:t>
            </w:r>
            <w:r>
              <w:rPr>
                <w:color w:val="auto"/>
                <w:spacing w:val="-1"/>
                <w:sz w:val="28"/>
                <w:highlight w:val="none"/>
              </w:rPr>
              <w:t>地最低工资标准</w:t>
            </w:r>
          </w:p>
        </w:tc>
      </w:tr>
    </w:tbl>
    <w:p>
      <w:pPr>
        <w:spacing w:after="0" w:line="360" w:lineRule="atLeast"/>
        <w:rPr>
          <w:color w:val="auto"/>
          <w:sz w:val="28"/>
          <w:highlight w:val="none"/>
        </w:rPr>
        <w:sectPr>
          <w:pgSz w:w="16840" w:h="11910" w:orient="landscape"/>
          <w:pgMar w:top="1400" w:right="1260" w:bottom="1984" w:left="1260" w:header="0" w:footer="1704" w:gutter="0"/>
          <w:pgNumType w:fmt="decimal"/>
          <w:cols w:space="720" w:num="1"/>
          <w:rtlGutter w:val="0"/>
        </w:sectPr>
      </w:pPr>
    </w:p>
    <w:p>
      <w:pPr>
        <w:pStyle w:val="6"/>
        <w:rPr>
          <w:rFonts w:ascii="Times New Roman"/>
          <w:color w:val="auto"/>
          <w:sz w:val="20"/>
          <w:highlight w:val="none"/>
        </w:rPr>
      </w:pPr>
    </w:p>
    <w:p>
      <w:pPr>
        <w:pStyle w:val="6"/>
        <w:spacing w:before="11"/>
        <w:rPr>
          <w:rFonts w:ascii="Times New Roman"/>
          <w:color w:val="auto"/>
          <w:sz w:val="16"/>
          <w:highlight w:val="none"/>
        </w:rPr>
      </w:pPr>
    </w:p>
    <w:tbl>
      <w:tblPr>
        <w:tblStyle w:val="22"/>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9"/>
        <w:gridCol w:w="2369"/>
        <w:gridCol w:w="5701"/>
        <w:gridCol w:w="4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788" w:type="dxa"/>
            <w:gridSpan w:val="2"/>
          </w:tcPr>
          <w:p>
            <w:pPr>
              <w:pStyle w:val="44"/>
              <w:spacing w:before="104"/>
              <w:ind w:left="1553" w:right="1544"/>
              <w:jc w:val="center"/>
              <w:rPr>
                <w:rFonts w:hint="eastAsia" w:ascii="黑体" w:eastAsia="黑体"/>
                <w:color w:val="auto"/>
                <w:sz w:val="32"/>
                <w:highlight w:val="none"/>
              </w:rPr>
            </w:pPr>
            <w:r>
              <w:rPr>
                <w:rFonts w:hint="eastAsia" w:ascii="黑体" w:eastAsia="黑体"/>
                <w:color w:val="auto"/>
                <w:sz w:val="32"/>
                <w:highlight w:val="none"/>
              </w:rPr>
              <w:t>分类</w:t>
            </w:r>
          </w:p>
        </w:tc>
        <w:tc>
          <w:tcPr>
            <w:tcW w:w="5701" w:type="dxa"/>
          </w:tcPr>
          <w:p>
            <w:pPr>
              <w:pStyle w:val="44"/>
              <w:spacing w:before="104"/>
              <w:ind w:left="2189" w:right="2181"/>
              <w:jc w:val="center"/>
              <w:rPr>
                <w:rFonts w:hint="eastAsia" w:ascii="黑体" w:eastAsia="黑体"/>
                <w:color w:val="auto"/>
                <w:sz w:val="32"/>
                <w:highlight w:val="none"/>
              </w:rPr>
            </w:pPr>
            <w:r>
              <w:rPr>
                <w:rFonts w:hint="eastAsia" w:ascii="黑体" w:eastAsia="黑体"/>
                <w:color w:val="auto"/>
                <w:sz w:val="32"/>
                <w:highlight w:val="none"/>
              </w:rPr>
              <w:t>分类界定</w:t>
            </w:r>
          </w:p>
        </w:tc>
        <w:tc>
          <w:tcPr>
            <w:tcW w:w="4597" w:type="dxa"/>
          </w:tcPr>
          <w:p>
            <w:pPr>
              <w:pStyle w:val="44"/>
              <w:spacing w:before="104"/>
              <w:ind w:left="1637" w:right="1630"/>
              <w:jc w:val="center"/>
              <w:rPr>
                <w:rFonts w:hint="eastAsia" w:ascii="黑体" w:eastAsia="黑体"/>
                <w:color w:val="auto"/>
                <w:sz w:val="32"/>
                <w:highlight w:val="none"/>
              </w:rPr>
            </w:pPr>
            <w:r>
              <w:rPr>
                <w:rFonts w:hint="eastAsia" w:ascii="黑体" w:eastAsia="黑体"/>
                <w:color w:val="auto"/>
                <w:sz w:val="32"/>
                <w:highlight w:val="none"/>
              </w:rPr>
              <w:t>审核依据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restart"/>
          </w:tcPr>
          <w:p>
            <w:pPr>
              <w:pStyle w:val="44"/>
              <w:rPr>
                <w:rFonts w:ascii="Times New Roman"/>
                <w:color w:val="auto"/>
                <w:sz w:val="28"/>
                <w:highlight w:val="none"/>
              </w:rPr>
            </w:pPr>
          </w:p>
        </w:tc>
        <w:tc>
          <w:tcPr>
            <w:tcW w:w="2369" w:type="dxa"/>
            <w:vMerge w:val="restart"/>
          </w:tcPr>
          <w:p>
            <w:pPr>
              <w:pStyle w:val="44"/>
              <w:rPr>
                <w:rFonts w:ascii="Times New Roman"/>
                <w:color w:val="auto"/>
                <w:sz w:val="30"/>
                <w:highlight w:val="none"/>
              </w:rPr>
            </w:pPr>
          </w:p>
          <w:p>
            <w:pPr>
              <w:pStyle w:val="44"/>
              <w:rPr>
                <w:rFonts w:ascii="Times New Roman"/>
                <w:color w:val="auto"/>
                <w:sz w:val="30"/>
                <w:highlight w:val="none"/>
              </w:rPr>
            </w:pPr>
          </w:p>
          <w:p>
            <w:pPr>
              <w:pStyle w:val="44"/>
              <w:spacing w:before="10"/>
              <w:rPr>
                <w:rFonts w:ascii="Times New Roman"/>
                <w:color w:val="auto"/>
                <w:sz w:val="36"/>
                <w:highlight w:val="none"/>
              </w:rPr>
            </w:pPr>
          </w:p>
          <w:p>
            <w:pPr>
              <w:pStyle w:val="44"/>
              <w:spacing w:line="329" w:lineRule="exact"/>
              <w:ind w:left="107"/>
              <w:rPr>
                <w:color w:val="auto"/>
                <w:sz w:val="28"/>
                <w:highlight w:val="none"/>
              </w:rPr>
            </w:pPr>
            <w:r>
              <w:rPr>
                <w:rFonts w:ascii="Times New Roman" w:eastAsia="Times New Roman"/>
                <w:color w:val="auto"/>
                <w:sz w:val="28"/>
                <w:highlight w:val="none"/>
              </w:rPr>
              <w:t>8.</w:t>
            </w:r>
            <w:r>
              <w:rPr>
                <w:color w:val="auto"/>
                <w:sz w:val="28"/>
                <w:highlight w:val="none"/>
              </w:rPr>
              <w:t>自主创业</w:t>
            </w:r>
          </w:p>
          <w:p>
            <w:pPr>
              <w:pStyle w:val="44"/>
              <w:spacing w:line="329" w:lineRule="exact"/>
              <w:ind w:left="107"/>
              <w:rPr>
                <w:color w:val="auto"/>
                <w:sz w:val="28"/>
                <w:highlight w:val="none"/>
              </w:rPr>
            </w:pPr>
            <w:r>
              <w:rPr>
                <w:color w:val="auto"/>
                <w:sz w:val="28"/>
                <w:highlight w:val="none"/>
              </w:rPr>
              <w:t xml:space="preserve">（编码 </w:t>
            </w:r>
            <w:r>
              <w:rPr>
                <w:rFonts w:ascii="Times New Roman" w:eastAsia="Times New Roman"/>
                <w:color w:val="auto"/>
                <w:sz w:val="28"/>
                <w:highlight w:val="none"/>
              </w:rPr>
              <w:t>75</w:t>
            </w:r>
            <w:r>
              <w:rPr>
                <w:color w:val="auto"/>
                <w:sz w:val="28"/>
                <w:highlight w:val="none"/>
              </w:rPr>
              <w:t>）</w:t>
            </w:r>
          </w:p>
        </w:tc>
        <w:tc>
          <w:tcPr>
            <w:tcW w:w="10298" w:type="dxa"/>
            <w:gridSpan w:val="2"/>
          </w:tcPr>
          <w:p>
            <w:pPr>
              <w:pStyle w:val="44"/>
              <w:spacing w:before="6" w:line="360" w:lineRule="atLeast"/>
              <w:ind w:left="107" w:right="100"/>
              <w:rPr>
                <w:color w:val="auto"/>
                <w:sz w:val="28"/>
                <w:highlight w:val="none"/>
              </w:rPr>
            </w:pPr>
            <w:r>
              <w:rPr>
                <w:color w:val="auto"/>
                <w:sz w:val="28"/>
                <w:highlight w:val="none"/>
              </w:rPr>
              <w:t>指创立企业（包括参与创立企业），或是企业的所有者、管理者。包括个体经营和合伙经营两种类型，包含以下三种情况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81"/>
              <w:ind w:left="107"/>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）创立公司（含个体工商户）</w:t>
            </w:r>
          </w:p>
        </w:tc>
        <w:tc>
          <w:tcPr>
            <w:tcW w:w="4597" w:type="dxa"/>
          </w:tcPr>
          <w:p>
            <w:pPr>
              <w:pStyle w:val="44"/>
              <w:spacing w:line="360" w:lineRule="atLeast"/>
              <w:ind w:left="107" w:right="95"/>
              <w:rPr>
                <w:color w:val="auto"/>
                <w:sz w:val="28"/>
                <w:highlight w:val="none"/>
              </w:rPr>
            </w:pPr>
            <w:r>
              <w:rPr>
                <w:color w:val="auto"/>
                <w:spacing w:val="-13"/>
                <w:sz w:val="28"/>
                <w:highlight w:val="none"/>
              </w:rPr>
              <w:t>依据创立企业的工商执照、股权证明</w:t>
            </w:r>
            <w:r>
              <w:rPr>
                <w:color w:val="auto"/>
                <w:spacing w:val="-1"/>
                <w:sz w:val="28"/>
                <w:highlight w:val="none"/>
              </w:rPr>
              <w:t>或其他证明材料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2" w:line="360" w:lineRule="atLeast"/>
              <w:ind w:left="107" w:right="95"/>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）在孵化机构中创业，暂未注册或注册当中</w:t>
            </w:r>
          </w:p>
        </w:tc>
        <w:tc>
          <w:tcPr>
            <w:tcW w:w="4597" w:type="dxa"/>
          </w:tcPr>
          <w:p>
            <w:pPr>
              <w:pStyle w:val="44"/>
              <w:spacing w:before="2" w:line="360" w:lineRule="atLeast"/>
              <w:ind w:left="107" w:right="85"/>
              <w:rPr>
                <w:color w:val="auto"/>
                <w:sz w:val="28"/>
                <w:highlight w:val="none"/>
              </w:rPr>
            </w:pPr>
            <w:r>
              <w:rPr>
                <w:color w:val="auto"/>
                <w:sz w:val="28"/>
                <w:highlight w:val="none"/>
              </w:rPr>
              <w:t>依据与孵化机构签订的协议或孵化机构提供的证明材料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line="360" w:lineRule="atLeast"/>
              <w:ind w:left="107" w:right="95"/>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）电子商务创业，利用互联网平台从事经营活动，如开设网店等</w:t>
            </w:r>
          </w:p>
        </w:tc>
        <w:tc>
          <w:tcPr>
            <w:tcW w:w="4597" w:type="dxa"/>
          </w:tcPr>
          <w:p>
            <w:pPr>
              <w:pStyle w:val="44"/>
              <w:spacing w:line="360" w:lineRule="atLeast"/>
              <w:ind w:left="107" w:right="95"/>
              <w:rPr>
                <w:color w:val="auto"/>
                <w:sz w:val="28"/>
                <w:highlight w:val="none"/>
              </w:rPr>
            </w:pPr>
            <w:r>
              <w:rPr>
                <w:color w:val="auto"/>
                <w:spacing w:val="-12"/>
                <w:sz w:val="28"/>
                <w:highlight w:val="none"/>
              </w:rPr>
              <w:t>依据网店网址、网店信息截图和收入</w:t>
            </w:r>
            <w:r>
              <w:rPr>
                <w:color w:val="auto"/>
                <w:sz w:val="28"/>
                <w:highlight w:val="none"/>
              </w:rPr>
              <w:t>流水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2" w:hRule="atLeast"/>
        </w:trPr>
        <w:tc>
          <w:tcPr>
            <w:tcW w:w="1419" w:type="dxa"/>
            <w:vMerge w:val="continue"/>
            <w:tcBorders>
              <w:top w:val="nil"/>
            </w:tcBorders>
          </w:tcPr>
          <w:p>
            <w:pPr>
              <w:rPr>
                <w:color w:val="auto"/>
                <w:sz w:val="2"/>
                <w:szCs w:val="2"/>
                <w:highlight w:val="none"/>
              </w:rPr>
            </w:pPr>
          </w:p>
        </w:tc>
        <w:tc>
          <w:tcPr>
            <w:tcW w:w="2369" w:type="dxa"/>
          </w:tcPr>
          <w:p>
            <w:pPr>
              <w:pStyle w:val="44"/>
              <w:spacing w:before="5"/>
              <w:rPr>
                <w:rFonts w:ascii="Times New Roman"/>
                <w:color w:val="auto"/>
                <w:sz w:val="32"/>
                <w:highlight w:val="none"/>
              </w:rPr>
            </w:pPr>
          </w:p>
          <w:p>
            <w:pPr>
              <w:pStyle w:val="44"/>
              <w:spacing w:line="329" w:lineRule="exact"/>
              <w:ind w:left="107"/>
              <w:rPr>
                <w:color w:val="auto"/>
                <w:sz w:val="28"/>
                <w:highlight w:val="none"/>
              </w:rPr>
            </w:pPr>
            <w:r>
              <w:rPr>
                <w:rFonts w:ascii="Times New Roman" w:eastAsia="Times New Roman"/>
                <w:color w:val="auto"/>
                <w:sz w:val="28"/>
                <w:highlight w:val="none"/>
              </w:rPr>
              <w:t>9.</w:t>
            </w:r>
            <w:r>
              <w:rPr>
                <w:color w:val="auto"/>
                <w:sz w:val="28"/>
                <w:highlight w:val="none"/>
              </w:rPr>
              <w:t>自由职业</w:t>
            </w:r>
          </w:p>
          <w:p>
            <w:pPr>
              <w:pStyle w:val="44"/>
              <w:spacing w:line="329" w:lineRule="exact"/>
              <w:ind w:left="107"/>
              <w:rPr>
                <w:color w:val="auto"/>
                <w:sz w:val="28"/>
                <w:highlight w:val="none"/>
              </w:rPr>
            </w:pPr>
            <w:r>
              <w:rPr>
                <w:color w:val="auto"/>
                <w:sz w:val="28"/>
                <w:highlight w:val="none"/>
              </w:rPr>
              <w:t xml:space="preserve">（编码 </w:t>
            </w:r>
            <w:r>
              <w:rPr>
                <w:rFonts w:ascii="Times New Roman" w:eastAsia="Times New Roman"/>
                <w:color w:val="auto"/>
                <w:sz w:val="28"/>
                <w:highlight w:val="none"/>
              </w:rPr>
              <w:t>76</w:t>
            </w:r>
            <w:r>
              <w:rPr>
                <w:color w:val="auto"/>
                <w:sz w:val="28"/>
                <w:highlight w:val="none"/>
              </w:rPr>
              <w:t>）</w:t>
            </w:r>
          </w:p>
        </w:tc>
        <w:tc>
          <w:tcPr>
            <w:tcW w:w="5701" w:type="dxa"/>
          </w:tcPr>
          <w:p>
            <w:pPr>
              <w:pStyle w:val="44"/>
              <w:spacing w:before="1"/>
              <w:ind w:left="107" w:right="94"/>
              <w:jc w:val="both"/>
              <w:rPr>
                <w:color w:val="auto"/>
                <w:sz w:val="28"/>
                <w:highlight w:val="none"/>
              </w:rPr>
            </w:pPr>
            <w:r>
              <w:rPr>
                <w:color w:val="auto"/>
                <w:spacing w:val="-11"/>
                <w:sz w:val="28"/>
                <w:highlight w:val="none"/>
              </w:rPr>
              <w:t>指以个体劳动为主的一类职业，如作家、自由</w:t>
            </w:r>
            <w:r>
              <w:rPr>
                <w:color w:val="auto"/>
                <w:spacing w:val="-13"/>
                <w:sz w:val="28"/>
                <w:highlight w:val="none"/>
              </w:rPr>
              <w:t>撰稿人、翻译工作者、中介服务工作者、某些</w:t>
            </w:r>
            <w:r>
              <w:rPr>
                <w:color w:val="auto"/>
                <w:spacing w:val="-14"/>
                <w:sz w:val="28"/>
                <w:highlight w:val="none"/>
              </w:rPr>
              <w:t>艺术工作者、互联网营销工作者、全媒体运营</w:t>
            </w:r>
          </w:p>
          <w:p>
            <w:pPr>
              <w:pStyle w:val="44"/>
              <w:spacing w:before="4" w:line="332" w:lineRule="exact"/>
              <w:ind w:left="107"/>
              <w:rPr>
                <w:color w:val="auto"/>
                <w:sz w:val="28"/>
                <w:highlight w:val="none"/>
              </w:rPr>
            </w:pPr>
            <w:r>
              <w:rPr>
                <w:color w:val="auto"/>
                <w:sz w:val="28"/>
                <w:highlight w:val="none"/>
              </w:rPr>
              <w:t>工作者、电子竞技工作者等</w:t>
            </w:r>
          </w:p>
        </w:tc>
        <w:tc>
          <w:tcPr>
            <w:tcW w:w="4597" w:type="dxa"/>
          </w:tcPr>
          <w:p>
            <w:pPr>
              <w:pStyle w:val="44"/>
              <w:spacing w:before="181"/>
              <w:ind w:left="107" w:right="85"/>
              <w:jc w:val="both"/>
              <w:rPr>
                <w:color w:val="auto"/>
                <w:sz w:val="28"/>
                <w:highlight w:val="none"/>
              </w:rPr>
            </w:pPr>
            <w:r>
              <w:rPr>
                <w:color w:val="auto"/>
                <w:spacing w:val="10"/>
                <w:sz w:val="28"/>
                <w:highlight w:val="none"/>
              </w:rPr>
              <w:t>依据毕业生本人签字确认的证明材</w:t>
            </w:r>
            <w:r>
              <w:rPr>
                <w:color w:val="auto"/>
                <w:spacing w:val="-12"/>
                <w:sz w:val="28"/>
                <w:highlight w:val="none"/>
              </w:rPr>
              <w:t>料，由校、院两级就业部门负责同志</w:t>
            </w:r>
            <w:r>
              <w:rPr>
                <w:color w:val="auto"/>
                <w:spacing w:val="-13"/>
                <w:sz w:val="28"/>
                <w:highlight w:val="none"/>
              </w:rPr>
              <w:t>审定，薪酬需达到当地最低工资标准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restart"/>
          </w:tcPr>
          <w:p>
            <w:pPr>
              <w:pStyle w:val="44"/>
              <w:rPr>
                <w:rFonts w:ascii="Times New Roman"/>
                <w:color w:val="auto"/>
                <w:sz w:val="32"/>
                <w:highlight w:val="none"/>
              </w:rPr>
            </w:pPr>
          </w:p>
          <w:p>
            <w:pPr>
              <w:pStyle w:val="44"/>
              <w:tabs>
                <w:tab w:val="left" w:pos="866"/>
              </w:tabs>
              <w:spacing w:before="279"/>
              <w:ind w:left="227"/>
              <w:rPr>
                <w:rFonts w:hint="eastAsia" w:ascii="黑体" w:eastAsia="黑体"/>
                <w:color w:val="auto"/>
                <w:sz w:val="32"/>
                <w:highlight w:val="none"/>
              </w:rPr>
            </w:pPr>
            <w:r>
              <w:rPr>
                <w:rFonts w:hint="eastAsia" w:ascii="黑体" w:eastAsia="黑体"/>
                <w:color w:val="auto"/>
                <w:sz w:val="32"/>
                <w:highlight w:val="none"/>
              </w:rPr>
              <w:t>升</w:t>
            </w:r>
            <w:r>
              <w:rPr>
                <w:rFonts w:hint="eastAsia" w:ascii="黑体" w:eastAsia="黑体"/>
                <w:color w:val="auto"/>
                <w:sz w:val="32"/>
                <w:highlight w:val="none"/>
              </w:rPr>
              <w:tab/>
            </w:r>
            <w:r>
              <w:rPr>
                <w:rFonts w:hint="eastAsia" w:ascii="黑体" w:eastAsia="黑体"/>
                <w:color w:val="auto"/>
                <w:sz w:val="32"/>
                <w:highlight w:val="none"/>
              </w:rPr>
              <w:t>学</w:t>
            </w:r>
          </w:p>
        </w:tc>
        <w:tc>
          <w:tcPr>
            <w:tcW w:w="2369" w:type="dxa"/>
            <w:vMerge w:val="restart"/>
          </w:tcPr>
          <w:p>
            <w:pPr>
              <w:pStyle w:val="44"/>
              <w:spacing w:before="4"/>
              <w:rPr>
                <w:rFonts w:ascii="Times New Roman"/>
                <w:color w:val="auto"/>
                <w:sz w:val="31"/>
                <w:highlight w:val="none"/>
              </w:rPr>
            </w:pPr>
          </w:p>
          <w:p>
            <w:pPr>
              <w:pStyle w:val="44"/>
              <w:ind w:left="107"/>
              <w:rPr>
                <w:color w:val="auto"/>
                <w:sz w:val="28"/>
                <w:highlight w:val="none"/>
              </w:rPr>
            </w:pPr>
            <w:r>
              <w:rPr>
                <w:rFonts w:ascii="Times New Roman" w:eastAsia="Times New Roman"/>
                <w:color w:val="auto"/>
                <w:sz w:val="28"/>
                <w:highlight w:val="none"/>
              </w:rPr>
              <w:t>10.</w:t>
            </w:r>
            <w:r>
              <w:rPr>
                <w:color w:val="auto"/>
                <w:sz w:val="28"/>
                <w:highlight w:val="none"/>
              </w:rPr>
              <w:t>升学</w:t>
            </w: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）研究生（编码 </w:t>
            </w:r>
            <w:r>
              <w:rPr>
                <w:rFonts w:ascii="Times New Roman" w:eastAsia="Times New Roman"/>
                <w:color w:val="auto"/>
                <w:sz w:val="28"/>
                <w:highlight w:val="none"/>
              </w:rPr>
              <w:t>801</w:t>
            </w:r>
            <w:r>
              <w:rPr>
                <w:color w:val="auto"/>
                <w:sz w:val="28"/>
                <w:highlight w:val="none"/>
              </w:rPr>
              <w:t>）</w:t>
            </w:r>
          </w:p>
        </w:tc>
        <w:tc>
          <w:tcPr>
            <w:tcW w:w="4597" w:type="dxa"/>
            <w:vMerge w:val="restart"/>
          </w:tcPr>
          <w:p>
            <w:pPr>
              <w:pStyle w:val="44"/>
              <w:spacing w:before="197"/>
              <w:ind w:left="107" w:right="95"/>
              <w:rPr>
                <w:color w:val="auto"/>
                <w:sz w:val="28"/>
                <w:highlight w:val="none"/>
              </w:rPr>
            </w:pPr>
            <w:r>
              <w:rPr>
                <w:color w:val="auto"/>
                <w:spacing w:val="-12"/>
                <w:sz w:val="28"/>
                <w:highlight w:val="none"/>
              </w:rPr>
              <w:t>依据拟录取名单、录取院校调档函或</w:t>
            </w:r>
            <w:r>
              <w:rPr>
                <w:color w:val="auto"/>
                <w:spacing w:val="-1"/>
                <w:sz w:val="28"/>
                <w:highlight w:val="none"/>
              </w:rPr>
              <w:t>录取通知书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7"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 xml:space="preserve">）第二学士学位（编码 </w:t>
            </w:r>
            <w:r>
              <w:rPr>
                <w:rFonts w:ascii="Times New Roman" w:eastAsia="Times New Roman"/>
                <w:color w:val="auto"/>
                <w:sz w:val="28"/>
                <w:highlight w:val="none"/>
              </w:rPr>
              <w:t>802</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8" w:line="332" w:lineRule="exact"/>
              <w:ind w:left="107"/>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 xml:space="preserve">）专科升普通本科（编码 </w:t>
            </w:r>
            <w:r>
              <w:rPr>
                <w:rFonts w:ascii="Times New Roman" w:eastAsia="Times New Roman"/>
                <w:color w:val="auto"/>
                <w:sz w:val="28"/>
                <w:highlight w:val="none"/>
              </w:rPr>
              <w:t>803</w:t>
            </w:r>
            <w:r>
              <w:rPr>
                <w:color w:val="auto"/>
                <w:sz w:val="28"/>
                <w:highlight w:val="none"/>
              </w:rPr>
              <w:t>）</w:t>
            </w:r>
          </w:p>
        </w:tc>
        <w:tc>
          <w:tcPr>
            <w:tcW w:w="4597" w:type="dxa"/>
            <w:vMerge w:val="continue"/>
            <w:tcBorders>
              <w:top w:val="nil"/>
            </w:tcBorders>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19" w:type="dxa"/>
            <w:vMerge w:val="continue"/>
            <w:tcBorders>
              <w:top w:val="nil"/>
            </w:tcBorders>
          </w:tcPr>
          <w:p>
            <w:pPr>
              <w:rPr>
                <w:color w:val="auto"/>
                <w:sz w:val="2"/>
                <w:szCs w:val="2"/>
                <w:highlight w:val="none"/>
              </w:rPr>
            </w:pPr>
          </w:p>
        </w:tc>
        <w:tc>
          <w:tcPr>
            <w:tcW w:w="2369" w:type="dxa"/>
          </w:tcPr>
          <w:p>
            <w:pPr>
              <w:pStyle w:val="44"/>
              <w:spacing w:line="292" w:lineRule="exact"/>
              <w:ind w:left="107"/>
              <w:rPr>
                <w:color w:val="auto"/>
                <w:sz w:val="28"/>
                <w:highlight w:val="none"/>
              </w:rPr>
            </w:pPr>
            <w:r>
              <w:rPr>
                <w:rFonts w:ascii="Times New Roman" w:eastAsia="Times New Roman"/>
                <w:color w:val="auto"/>
                <w:sz w:val="28"/>
                <w:highlight w:val="none"/>
              </w:rPr>
              <w:t>11.</w:t>
            </w:r>
            <w:r>
              <w:rPr>
                <w:color w:val="auto"/>
                <w:sz w:val="28"/>
                <w:highlight w:val="none"/>
              </w:rPr>
              <w:t>出国、出境</w:t>
            </w:r>
          </w:p>
          <w:p>
            <w:pPr>
              <w:pStyle w:val="44"/>
              <w:spacing w:line="290" w:lineRule="exact"/>
              <w:ind w:left="107"/>
              <w:rPr>
                <w:color w:val="auto"/>
                <w:sz w:val="28"/>
                <w:highlight w:val="none"/>
              </w:rPr>
            </w:pPr>
            <w:r>
              <w:rPr>
                <w:color w:val="auto"/>
                <w:sz w:val="28"/>
                <w:highlight w:val="none"/>
              </w:rPr>
              <w:t xml:space="preserve">（编码 </w:t>
            </w:r>
            <w:r>
              <w:rPr>
                <w:rFonts w:ascii="Times New Roman" w:eastAsia="Times New Roman"/>
                <w:color w:val="auto"/>
                <w:sz w:val="28"/>
                <w:highlight w:val="none"/>
              </w:rPr>
              <w:t>85</w:t>
            </w:r>
            <w:r>
              <w:rPr>
                <w:color w:val="auto"/>
                <w:sz w:val="28"/>
                <w:highlight w:val="none"/>
              </w:rPr>
              <w:t>）</w:t>
            </w:r>
          </w:p>
        </w:tc>
        <w:tc>
          <w:tcPr>
            <w:tcW w:w="5701" w:type="dxa"/>
          </w:tcPr>
          <w:p>
            <w:pPr>
              <w:pStyle w:val="44"/>
              <w:spacing w:before="130"/>
              <w:ind w:left="107"/>
              <w:rPr>
                <w:color w:val="auto"/>
                <w:sz w:val="28"/>
                <w:highlight w:val="none"/>
              </w:rPr>
            </w:pPr>
            <w:r>
              <w:rPr>
                <w:color w:val="auto"/>
                <w:sz w:val="28"/>
                <w:highlight w:val="none"/>
              </w:rPr>
              <w:t>毕业生出国、出境深造</w:t>
            </w:r>
          </w:p>
        </w:tc>
        <w:tc>
          <w:tcPr>
            <w:tcW w:w="4597" w:type="dxa"/>
          </w:tcPr>
          <w:p>
            <w:pPr>
              <w:pStyle w:val="44"/>
              <w:spacing w:before="130"/>
              <w:ind w:left="107"/>
              <w:rPr>
                <w:color w:val="auto"/>
                <w:sz w:val="28"/>
                <w:highlight w:val="none"/>
              </w:rPr>
            </w:pPr>
            <w:r>
              <w:rPr>
                <w:color w:val="auto"/>
                <w:sz w:val="28"/>
                <w:highlight w:val="none"/>
              </w:rPr>
              <w:t>依据国（境）外高校录取通知书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restart"/>
          </w:tcPr>
          <w:p>
            <w:pPr>
              <w:pStyle w:val="44"/>
              <w:rPr>
                <w:rFonts w:ascii="Times New Roman"/>
                <w:color w:val="auto"/>
                <w:sz w:val="45"/>
                <w:highlight w:val="none"/>
              </w:rPr>
            </w:pPr>
          </w:p>
          <w:p>
            <w:pPr>
              <w:pStyle w:val="44"/>
              <w:ind w:left="227"/>
              <w:rPr>
                <w:rFonts w:hint="eastAsia" w:ascii="黑体" w:eastAsia="黑体"/>
                <w:color w:val="auto"/>
                <w:sz w:val="32"/>
                <w:highlight w:val="none"/>
              </w:rPr>
            </w:pPr>
            <w:r>
              <w:rPr>
                <w:rFonts w:hint="eastAsia" w:ascii="黑体" w:eastAsia="黑体"/>
                <w:color w:val="auto"/>
                <w:sz w:val="32"/>
                <w:highlight w:val="none"/>
              </w:rPr>
              <w:t>未就业</w:t>
            </w:r>
          </w:p>
        </w:tc>
        <w:tc>
          <w:tcPr>
            <w:tcW w:w="2369" w:type="dxa"/>
            <w:vMerge w:val="restart"/>
          </w:tcPr>
          <w:p>
            <w:pPr>
              <w:pStyle w:val="44"/>
              <w:rPr>
                <w:rFonts w:ascii="Times New Roman"/>
                <w:color w:val="auto"/>
                <w:sz w:val="30"/>
                <w:highlight w:val="none"/>
              </w:rPr>
            </w:pPr>
          </w:p>
          <w:p>
            <w:pPr>
              <w:pStyle w:val="44"/>
              <w:spacing w:before="189"/>
              <w:ind w:left="107"/>
              <w:rPr>
                <w:color w:val="auto"/>
                <w:sz w:val="28"/>
                <w:highlight w:val="none"/>
              </w:rPr>
            </w:pPr>
            <w:r>
              <w:rPr>
                <w:rFonts w:ascii="Times New Roman" w:eastAsia="Times New Roman"/>
                <w:color w:val="auto"/>
                <w:sz w:val="28"/>
                <w:highlight w:val="none"/>
              </w:rPr>
              <w:t>12.</w:t>
            </w:r>
            <w:r>
              <w:rPr>
                <w:color w:val="auto"/>
                <w:sz w:val="28"/>
                <w:highlight w:val="none"/>
              </w:rPr>
              <w:t>待就业</w:t>
            </w:r>
          </w:p>
        </w:tc>
        <w:tc>
          <w:tcPr>
            <w:tcW w:w="5701" w:type="dxa"/>
          </w:tcPr>
          <w:p>
            <w:pPr>
              <w:pStyle w:val="44"/>
              <w:spacing w:before="6" w:line="360" w:lineRule="atLeast"/>
              <w:ind w:left="107" w:right="94"/>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）求职中（编码 </w:t>
            </w:r>
            <w:r>
              <w:rPr>
                <w:rFonts w:ascii="Times New Roman" w:eastAsia="Times New Roman"/>
                <w:color w:val="auto"/>
                <w:sz w:val="28"/>
                <w:highlight w:val="none"/>
              </w:rPr>
              <w:t>701</w:t>
            </w:r>
            <w:r>
              <w:rPr>
                <w:color w:val="auto"/>
                <w:sz w:val="28"/>
                <w:highlight w:val="none"/>
              </w:rPr>
              <w:t>）：正在择业，尚未落实工作单位</w:t>
            </w:r>
          </w:p>
        </w:tc>
        <w:tc>
          <w:tcPr>
            <w:tcW w:w="4597" w:type="dxa"/>
          </w:tcPr>
          <w:p>
            <w:pPr>
              <w:pStyle w:val="44"/>
              <w:rPr>
                <w:rFonts w:ascii="Times New Roman"/>
                <w:color w:val="auto"/>
                <w:sz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line="360" w:lineRule="atLeast"/>
              <w:ind w:left="107" w:right="-44"/>
              <w:rPr>
                <w:color w:val="auto"/>
                <w:sz w:val="28"/>
                <w:highlight w:val="none"/>
              </w:rPr>
            </w:pPr>
            <w:r>
              <w:rPr>
                <w:color w:val="auto"/>
                <w:spacing w:val="-5"/>
                <w:sz w:val="28"/>
                <w:highlight w:val="none"/>
              </w:rPr>
              <w:t>（</w:t>
            </w:r>
            <w:r>
              <w:rPr>
                <w:rFonts w:ascii="Times New Roman" w:eastAsia="Times New Roman"/>
                <w:color w:val="auto"/>
                <w:spacing w:val="-5"/>
                <w:sz w:val="28"/>
                <w:highlight w:val="none"/>
              </w:rPr>
              <w:t>2</w:t>
            </w:r>
            <w:r>
              <w:rPr>
                <w:color w:val="auto"/>
                <w:spacing w:val="-5"/>
                <w:sz w:val="28"/>
                <w:highlight w:val="none"/>
              </w:rPr>
              <w:t>）签约中</w:t>
            </w:r>
            <w:r>
              <w:rPr>
                <w:color w:val="auto"/>
                <w:spacing w:val="-3"/>
                <w:sz w:val="28"/>
                <w:highlight w:val="none"/>
              </w:rPr>
              <w:t>（</w:t>
            </w:r>
            <w:r>
              <w:rPr>
                <w:color w:val="auto"/>
                <w:spacing w:val="-20"/>
                <w:sz w:val="28"/>
                <w:highlight w:val="none"/>
              </w:rPr>
              <w:t xml:space="preserve">编码 </w:t>
            </w:r>
            <w:r>
              <w:rPr>
                <w:rFonts w:ascii="Times New Roman" w:eastAsia="Times New Roman"/>
                <w:color w:val="auto"/>
                <w:spacing w:val="-6"/>
                <w:sz w:val="28"/>
                <w:highlight w:val="none"/>
              </w:rPr>
              <w:t>702</w:t>
            </w:r>
            <w:r>
              <w:rPr>
                <w:color w:val="auto"/>
                <w:spacing w:val="-6"/>
                <w:sz w:val="28"/>
                <w:highlight w:val="none"/>
              </w:rPr>
              <w:t>）</w:t>
            </w:r>
            <w:r>
              <w:rPr>
                <w:color w:val="auto"/>
                <w:spacing w:val="-4"/>
                <w:sz w:val="28"/>
                <w:highlight w:val="none"/>
              </w:rPr>
              <w:t xml:space="preserve">：已确定就业意向， </w:t>
            </w:r>
            <w:r>
              <w:rPr>
                <w:color w:val="auto"/>
                <w:spacing w:val="-3"/>
                <w:sz w:val="28"/>
                <w:highlight w:val="none"/>
              </w:rPr>
              <w:t>准备正式签订协议或合同</w:t>
            </w:r>
          </w:p>
        </w:tc>
        <w:tc>
          <w:tcPr>
            <w:tcW w:w="4597" w:type="dxa"/>
          </w:tcPr>
          <w:p>
            <w:pPr>
              <w:pStyle w:val="44"/>
              <w:rPr>
                <w:rFonts w:ascii="Times New Roman"/>
                <w:color w:val="auto"/>
                <w:sz w:val="28"/>
                <w:highlight w:val="none"/>
              </w:rPr>
            </w:pPr>
          </w:p>
        </w:tc>
      </w:tr>
    </w:tbl>
    <w:p>
      <w:pPr>
        <w:spacing w:after="0"/>
        <w:rPr>
          <w:rFonts w:ascii="Times New Roman"/>
          <w:color w:val="auto"/>
          <w:sz w:val="28"/>
          <w:highlight w:val="none"/>
        </w:rPr>
        <w:sectPr>
          <w:pgSz w:w="16840" w:h="11910" w:orient="landscape"/>
          <w:pgMar w:top="1400" w:right="1260" w:bottom="1984" w:left="1260" w:header="0" w:footer="1704" w:gutter="0"/>
          <w:pgNumType w:fmt="decimal"/>
          <w:cols w:space="720" w:num="1"/>
          <w:rtlGutter w:val="0"/>
        </w:sectPr>
      </w:pPr>
    </w:p>
    <w:p>
      <w:pPr>
        <w:pStyle w:val="6"/>
        <w:rPr>
          <w:rFonts w:ascii="Times New Roman"/>
          <w:color w:val="auto"/>
          <w:sz w:val="20"/>
          <w:highlight w:val="none"/>
        </w:rPr>
      </w:pPr>
    </w:p>
    <w:p>
      <w:pPr>
        <w:pStyle w:val="6"/>
        <w:spacing w:before="11"/>
        <w:rPr>
          <w:rFonts w:ascii="Times New Roman"/>
          <w:color w:val="auto"/>
          <w:sz w:val="16"/>
          <w:highlight w:val="none"/>
        </w:rPr>
      </w:pPr>
    </w:p>
    <w:tbl>
      <w:tblPr>
        <w:tblStyle w:val="22"/>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9"/>
        <w:gridCol w:w="2369"/>
        <w:gridCol w:w="5701"/>
        <w:gridCol w:w="4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trPr>
        <w:tc>
          <w:tcPr>
            <w:tcW w:w="3788" w:type="dxa"/>
            <w:gridSpan w:val="2"/>
          </w:tcPr>
          <w:p>
            <w:pPr>
              <w:pStyle w:val="44"/>
              <w:spacing w:before="104"/>
              <w:ind w:left="1553" w:right="1544"/>
              <w:jc w:val="center"/>
              <w:rPr>
                <w:rFonts w:hint="eastAsia" w:ascii="黑体" w:eastAsia="黑体"/>
                <w:color w:val="auto"/>
                <w:sz w:val="32"/>
                <w:highlight w:val="none"/>
              </w:rPr>
            </w:pPr>
            <w:r>
              <w:rPr>
                <w:rFonts w:hint="eastAsia" w:ascii="黑体" w:eastAsia="黑体"/>
                <w:color w:val="auto"/>
                <w:sz w:val="32"/>
                <w:highlight w:val="none"/>
              </w:rPr>
              <w:t>分类</w:t>
            </w:r>
          </w:p>
        </w:tc>
        <w:tc>
          <w:tcPr>
            <w:tcW w:w="5701" w:type="dxa"/>
          </w:tcPr>
          <w:p>
            <w:pPr>
              <w:pStyle w:val="44"/>
              <w:spacing w:before="104"/>
              <w:ind w:left="2189" w:right="2181"/>
              <w:jc w:val="center"/>
              <w:rPr>
                <w:rFonts w:hint="eastAsia" w:ascii="黑体" w:eastAsia="黑体"/>
                <w:color w:val="auto"/>
                <w:sz w:val="32"/>
                <w:highlight w:val="none"/>
              </w:rPr>
            </w:pPr>
            <w:r>
              <w:rPr>
                <w:rFonts w:hint="eastAsia" w:ascii="黑体" w:eastAsia="黑体"/>
                <w:color w:val="auto"/>
                <w:sz w:val="32"/>
                <w:highlight w:val="none"/>
              </w:rPr>
              <w:t>分类界定</w:t>
            </w:r>
          </w:p>
        </w:tc>
        <w:tc>
          <w:tcPr>
            <w:tcW w:w="4597" w:type="dxa"/>
          </w:tcPr>
          <w:p>
            <w:pPr>
              <w:pStyle w:val="44"/>
              <w:spacing w:before="104"/>
              <w:ind w:left="1637" w:right="1630"/>
              <w:jc w:val="center"/>
              <w:rPr>
                <w:rFonts w:hint="eastAsia" w:ascii="黑体" w:eastAsia="黑体"/>
                <w:color w:val="auto"/>
                <w:sz w:val="32"/>
                <w:highlight w:val="none"/>
              </w:rPr>
            </w:pPr>
            <w:r>
              <w:rPr>
                <w:rFonts w:hint="eastAsia" w:ascii="黑体" w:eastAsia="黑体"/>
                <w:color w:val="auto"/>
                <w:sz w:val="32"/>
                <w:highlight w:val="none"/>
              </w:rPr>
              <w:t>审核依据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restart"/>
          </w:tcPr>
          <w:p>
            <w:pPr>
              <w:pStyle w:val="44"/>
              <w:rPr>
                <w:rFonts w:ascii="Times New Roman"/>
                <w:color w:val="auto"/>
                <w:sz w:val="22"/>
                <w:highlight w:val="none"/>
              </w:rPr>
            </w:pPr>
          </w:p>
        </w:tc>
        <w:tc>
          <w:tcPr>
            <w:tcW w:w="2369" w:type="dxa"/>
            <w:vMerge w:val="restart"/>
          </w:tcPr>
          <w:p>
            <w:pPr>
              <w:pStyle w:val="44"/>
              <w:rPr>
                <w:rFonts w:ascii="Times New Roman"/>
                <w:color w:val="auto"/>
                <w:sz w:val="22"/>
                <w:highlight w:val="none"/>
              </w:rPr>
            </w:pPr>
          </w:p>
        </w:tc>
        <w:tc>
          <w:tcPr>
            <w:tcW w:w="5701" w:type="dxa"/>
          </w:tcPr>
          <w:p>
            <w:pPr>
              <w:pStyle w:val="44"/>
              <w:spacing w:before="6" w:line="360" w:lineRule="atLeast"/>
              <w:ind w:left="107" w:right="94"/>
              <w:rPr>
                <w:color w:val="auto"/>
                <w:sz w:val="28"/>
                <w:highlight w:val="none"/>
              </w:rPr>
            </w:pPr>
            <w:r>
              <w:rPr>
                <w:color w:val="auto"/>
                <w:sz w:val="28"/>
                <w:highlight w:val="none"/>
              </w:rPr>
              <w:t>（</w:t>
            </w:r>
            <w:r>
              <w:rPr>
                <w:rFonts w:ascii="Times New Roman" w:eastAsia="Times New Roman"/>
                <w:color w:val="auto"/>
                <w:sz w:val="28"/>
                <w:highlight w:val="none"/>
              </w:rPr>
              <w:t>3</w:t>
            </w:r>
            <w:r>
              <w:rPr>
                <w:color w:val="auto"/>
                <w:sz w:val="28"/>
                <w:highlight w:val="none"/>
              </w:rPr>
              <w:t xml:space="preserve">）拟参加公招考试（编码 </w:t>
            </w:r>
            <w:r>
              <w:rPr>
                <w:rFonts w:ascii="Times New Roman" w:eastAsia="Times New Roman"/>
                <w:color w:val="auto"/>
                <w:sz w:val="28"/>
                <w:highlight w:val="none"/>
              </w:rPr>
              <w:t>703</w:t>
            </w:r>
            <w:r>
              <w:rPr>
                <w:color w:val="auto"/>
                <w:sz w:val="28"/>
                <w:highlight w:val="none"/>
              </w:rPr>
              <w:t>）：准备参加公务员、事业单位公开招录考试</w:t>
            </w:r>
          </w:p>
        </w:tc>
        <w:tc>
          <w:tcPr>
            <w:tcW w:w="4597" w:type="dxa"/>
          </w:tcPr>
          <w:p>
            <w:pPr>
              <w:pStyle w:val="4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
              <w:ind w:left="107" w:right="94"/>
              <w:rPr>
                <w:color w:val="auto"/>
                <w:sz w:val="28"/>
                <w:highlight w:val="none"/>
              </w:rPr>
            </w:pPr>
            <w:r>
              <w:rPr>
                <w:color w:val="auto"/>
                <w:sz w:val="28"/>
                <w:highlight w:val="none"/>
              </w:rPr>
              <w:t>（</w:t>
            </w:r>
            <w:r>
              <w:rPr>
                <w:rFonts w:ascii="Times New Roman" w:eastAsia="Times New Roman"/>
                <w:color w:val="auto"/>
                <w:sz w:val="28"/>
                <w:highlight w:val="none"/>
              </w:rPr>
              <w:t>4</w:t>
            </w:r>
            <w:r>
              <w:rPr>
                <w:color w:val="auto"/>
                <w:sz w:val="28"/>
                <w:highlight w:val="none"/>
              </w:rPr>
              <w:t>）拟创业（</w:t>
            </w:r>
            <w:r>
              <w:rPr>
                <w:color w:val="auto"/>
                <w:spacing w:val="6"/>
                <w:sz w:val="28"/>
                <w:highlight w:val="none"/>
              </w:rPr>
              <w:t xml:space="preserve">编码 </w:t>
            </w:r>
            <w:r>
              <w:rPr>
                <w:rFonts w:ascii="Times New Roman" w:eastAsia="Times New Roman"/>
                <w:color w:val="auto"/>
                <w:sz w:val="28"/>
                <w:highlight w:val="none"/>
              </w:rPr>
              <w:t>704</w:t>
            </w:r>
            <w:r>
              <w:rPr>
                <w:color w:val="auto"/>
                <w:sz w:val="28"/>
                <w:highlight w:val="none"/>
              </w:rPr>
              <w:t>）</w:t>
            </w:r>
            <w:r>
              <w:rPr>
                <w:color w:val="auto"/>
                <w:spacing w:val="-2"/>
                <w:sz w:val="28"/>
                <w:highlight w:val="none"/>
              </w:rPr>
              <w:t>：准备创业，尚未</w:t>
            </w:r>
            <w:r>
              <w:rPr>
                <w:color w:val="auto"/>
                <w:spacing w:val="-13"/>
                <w:sz w:val="28"/>
                <w:highlight w:val="none"/>
              </w:rPr>
              <w:t>在工商行政管理部门注册登记，拟创立的实体</w:t>
            </w:r>
          </w:p>
          <w:p>
            <w:pPr>
              <w:pStyle w:val="44"/>
              <w:spacing w:before="3" w:line="332" w:lineRule="exact"/>
              <w:ind w:left="107"/>
              <w:rPr>
                <w:color w:val="auto"/>
                <w:sz w:val="28"/>
                <w:highlight w:val="none"/>
              </w:rPr>
            </w:pPr>
            <w:r>
              <w:rPr>
                <w:color w:val="auto"/>
                <w:sz w:val="28"/>
                <w:highlight w:val="none"/>
              </w:rPr>
              <w:t>尚未开始实际运营</w:t>
            </w:r>
          </w:p>
        </w:tc>
        <w:tc>
          <w:tcPr>
            <w:tcW w:w="4597" w:type="dxa"/>
          </w:tcPr>
          <w:p>
            <w:pPr>
              <w:pStyle w:val="4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9" w:line="360" w:lineRule="atLeast"/>
              <w:ind w:left="107" w:right="94"/>
              <w:rPr>
                <w:color w:val="auto"/>
                <w:sz w:val="28"/>
                <w:highlight w:val="none"/>
              </w:rPr>
            </w:pPr>
            <w:r>
              <w:rPr>
                <w:color w:val="auto"/>
                <w:sz w:val="28"/>
                <w:highlight w:val="none"/>
              </w:rPr>
              <w:t>（</w:t>
            </w:r>
            <w:r>
              <w:rPr>
                <w:rFonts w:ascii="Times New Roman" w:eastAsia="Times New Roman"/>
                <w:color w:val="auto"/>
                <w:sz w:val="28"/>
                <w:highlight w:val="none"/>
              </w:rPr>
              <w:t>5</w:t>
            </w:r>
            <w:r>
              <w:rPr>
                <w:color w:val="auto"/>
                <w:sz w:val="28"/>
                <w:highlight w:val="none"/>
              </w:rPr>
              <w:t xml:space="preserve">）拟应征入伍（编码 </w:t>
            </w:r>
            <w:r>
              <w:rPr>
                <w:rFonts w:ascii="Times New Roman" w:eastAsia="Times New Roman"/>
                <w:color w:val="auto"/>
                <w:sz w:val="28"/>
                <w:highlight w:val="none"/>
              </w:rPr>
              <w:t>705</w:t>
            </w:r>
            <w:r>
              <w:rPr>
                <w:color w:val="auto"/>
                <w:sz w:val="28"/>
                <w:highlight w:val="none"/>
              </w:rPr>
              <w:t>）：准备应征入伍，尚未被批准</w:t>
            </w:r>
          </w:p>
        </w:tc>
        <w:tc>
          <w:tcPr>
            <w:tcW w:w="4597" w:type="dxa"/>
          </w:tcPr>
          <w:p>
            <w:pPr>
              <w:pStyle w:val="4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1419" w:type="dxa"/>
            <w:vMerge w:val="continue"/>
            <w:tcBorders>
              <w:top w:val="nil"/>
            </w:tcBorders>
          </w:tcPr>
          <w:p>
            <w:pPr>
              <w:rPr>
                <w:color w:val="auto"/>
                <w:sz w:val="2"/>
                <w:szCs w:val="2"/>
                <w:highlight w:val="none"/>
              </w:rPr>
            </w:pPr>
          </w:p>
        </w:tc>
        <w:tc>
          <w:tcPr>
            <w:tcW w:w="2369" w:type="dxa"/>
          </w:tcPr>
          <w:p>
            <w:pPr>
              <w:pStyle w:val="44"/>
              <w:spacing w:line="282" w:lineRule="exact"/>
              <w:ind w:left="107"/>
              <w:rPr>
                <w:color w:val="auto"/>
                <w:sz w:val="28"/>
                <w:highlight w:val="none"/>
              </w:rPr>
            </w:pPr>
            <w:r>
              <w:rPr>
                <w:rFonts w:ascii="Times New Roman" w:eastAsia="Times New Roman"/>
                <w:color w:val="auto"/>
                <w:sz w:val="28"/>
                <w:highlight w:val="none"/>
              </w:rPr>
              <w:t>13.</w:t>
            </w:r>
            <w:r>
              <w:rPr>
                <w:color w:val="auto"/>
                <w:sz w:val="28"/>
                <w:highlight w:val="none"/>
              </w:rPr>
              <w:t>不就业拟升学</w:t>
            </w:r>
          </w:p>
          <w:p>
            <w:pPr>
              <w:pStyle w:val="44"/>
              <w:spacing w:line="290" w:lineRule="exact"/>
              <w:ind w:left="107"/>
              <w:rPr>
                <w:color w:val="auto"/>
                <w:sz w:val="28"/>
                <w:highlight w:val="none"/>
              </w:rPr>
            </w:pPr>
            <w:r>
              <w:rPr>
                <w:color w:val="auto"/>
                <w:sz w:val="28"/>
                <w:highlight w:val="none"/>
              </w:rPr>
              <w:t xml:space="preserve">（编码 </w:t>
            </w:r>
            <w:r>
              <w:rPr>
                <w:rFonts w:ascii="Times New Roman" w:eastAsia="Times New Roman"/>
                <w:color w:val="auto"/>
                <w:sz w:val="28"/>
                <w:highlight w:val="none"/>
              </w:rPr>
              <w:t>71</w:t>
            </w:r>
            <w:r>
              <w:rPr>
                <w:color w:val="auto"/>
                <w:sz w:val="28"/>
                <w:highlight w:val="none"/>
              </w:rPr>
              <w:t>）</w:t>
            </w:r>
          </w:p>
        </w:tc>
        <w:tc>
          <w:tcPr>
            <w:tcW w:w="5701" w:type="dxa"/>
          </w:tcPr>
          <w:p>
            <w:pPr>
              <w:pStyle w:val="44"/>
              <w:spacing w:before="121"/>
              <w:ind w:left="107"/>
              <w:rPr>
                <w:color w:val="auto"/>
                <w:sz w:val="28"/>
                <w:highlight w:val="none"/>
              </w:rPr>
            </w:pPr>
            <w:r>
              <w:rPr>
                <w:color w:val="auto"/>
                <w:sz w:val="28"/>
                <w:highlight w:val="none"/>
              </w:rPr>
              <w:t>准备升学考试，暂不打算就业</w:t>
            </w:r>
          </w:p>
        </w:tc>
        <w:tc>
          <w:tcPr>
            <w:tcW w:w="4597" w:type="dxa"/>
          </w:tcPr>
          <w:p>
            <w:pPr>
              <w:pStyle w:val="4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419" w:type="dxa"/>
            <w:vMerge w:val="continue"/>
            <w:tcBorders>
              <w:top w:val="nil"/>
            </w:tcBorders>
          </w:tcPr>
          <w:p>
            <w:pPr>
              <w:rPr>
                <w:color w:val="auto"/>
                <w:sz w:val="2"/>
                <w:szCs w:val="2"/>
                <w:highlight w:val="none"/>
              </w:rPr>
            </w:pPr>
          </w:p>
        </w:tc>
        <w:tc>
          <w:tcPr>
            <w:tcW w:w="2369" w:type="dxa"/>
            <w:vMerge w:val="restart"/>
          </w:tcPr>
          <w:p>
            <w:pPr>
              <w:pStyle w:val="44"/>
              <w:rPr>
                <w:rFonts w:ascii="Times New Roman"/>
                <w:color w:val="auto"/>
                <w:sz w:val="30"/>
                <w:highlight w:val="none"/>
              </w:rPr>
            </w:pPr>
          </w:p>
          <w:p>
            <w:pPr>
              <w:pStyle w:val="44"/>
              <w:spacing w:before="188"/>
              <w:ind w:left="107"/>
              <w:rPr>
                <w:color w:val="auto"/>
                <w:sz w:val="28"/>
                <w:highlight w:val="none"/>
              </w:rPr>
            </w:pPr>
            <w:r>
              <w:rPr>
                <w:rFonts w:ascii="Times New Roman" w:eastAsia="Times New Roman"/>
                <w:color w:val="auto"/>
                <w:sz w:val="28"/>
                <w:highlight w:val="none"/>
              </w:rPr>
              <w:t>14.</w:t>
            </w:r>
            <w:r>
              <w:rPr>
                <w:color w:val="auto"/>
                <w:sz w:val="28"/>
                <w:highlight w:val="none"/>
              </w:rPr>
              <w:t>其他暂不就业</w:t>
            </w:r>
          </w:p>
        </w:tc>
        <w:tc>
          <w:tcPr>
            <w:tcW w:w="5701" w:type="dxa"/>
          </w:tcPr>
          <w:p>
            <w:pPr>
              <w:pStyle w:val="44"/>
              <w:spacing w:before="6" w:line="360" w:lineRule="atLeast"/>
              <w:ind w:left="107" w:right="94"/>
              <w:rPr>
                <w:color w:val="auto"/>
                <w:sz w:val="28"/>
                <w:highlight w:val="none"/>
              </w:rPr>
            </w:pPr>
            <w:r>
              <w:rPr>
                <w:color w:val="auto"/>
                <w:sz w:val="28"/>
                <w:highlight w:val="none"/>
              </w:rPr>
              <w:t>（</w:t>
            </w:r>
            <w:r>
              <w:rPr>
                <w:rFonts w:ascii="Times New Roman" w:eastAsia="Times New Roman"/>
                <w:color w:val="auto"/>
                <w:sz w:val="28"/>
                <w:highlight w:val="none"/>
              </w:rPr>
              <w:t>1</w:t>
            </w:r>
            <w:r>
              <w:rPr>
                <w:color w:val="auto"/>
                <w:sz w:val="28"/>
                <w:highlight w:val="none"/>
              </w:rPr>
              <w:t xml:space="preserve">）暂不就业（编码 </w:t>
            </w:r>
            <w:r>
              <w:rPr>
                <w:rFonts w:ascii="Times New Roman" w:eastAsia="Times New Roman"/>
                <w:color w:val="auto"/>
                <w:sz w:val="28"/>
                <w:highlight w:val="none"/>
              </w:rPr>
              <w:t>721</w:t>
            </w:r>
            <w:r>
              <w:rPr>
                <w:color w:val="auto"/>
                <w:sz w:val="28"/>
                <w:highlight w:val="none"/>
              </w:rPr>
              <w:t>）：暂时不想就业等无就业意愿的毕业生</w:t>
            </w:r>
          </w:p>
        </w:tc>
        <w:tc>
          <w:tcPr>
            <w:tcW w:w="4597" w:type="dxa"/>
          </w:tcPr>
          <w:p>
            <w:pPr>
              <w:pStyle w:val="44"/>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419" w:type="dxa"/>
            <w:vMerge w:val="continue"/>
            <w:tcBorders>
              <w:top w:val="nil"/>
            </w:tcBorders>
          </w:tcPr>
          <w:p>
            <w:pPr>
              <w:rPr>
                <w:color w:val="auto"/>
                <w:sz w:val="2"/>
                <w:szCs w:val="2"/>
                <w:highlight w:val="none"/>
              </w:rPr>
            </w:pPr>
          </w:p>
        </w:tc>
        <w:tc>
          <w:tcPr>
            <w:tcW w:w="2369" w:type="dxa"/>
            <w:vMerge w:val="continue"/>
            <w:tcBorders>
              <w:top w:val="nil"/>
            </w:tcBorders>
          </w:tcPr>
          <w:p>
            <w:pPr>
              <w:rPr>
                <w:color w:val="auto"/>
                <w:sz w:val="2"/>
                <w:szCs w:val="2"/>
                <w:highlight w:val="none"/>
              </w:rPr>
            </w:pPr>
          </w:p>
        </w:tc>
        <w:tc>
          <w:tcPr>
            <w:tcW w:w="5701" w:type="dxa"/>
          </w:tcPr>
          <w:p>
            <w:pPr>
              <w:pStyle w:val="44"/>
              <w:spacing w:before="1"/>
              <w:ind w:left="107"/>
              <w:rPr>
                <w:color w:val="auto"/>
                <w:sz w:val="28"/>
                <w:highlight w:val="none"/>
              </w:rPr>
            </w:pPr>
            <w:r>
              <w:rPr>
                <w:color w:val="auto"/>
                <w:sz w:val="28"/>
                <w:highlight w:val="none"/>
              </w:rPr>
              <w:t>（</w:t>
            </w:r>
            <w:r>
              <w:rPr>
                <w:rFonts w:ascii="Times New Roman" w:eastAsia="Times New Roman"/>
                <w:color w:val="auto"/>
                <w:sz w:val="28"/>
                <w:highlight w:val="none"/>
              </w:rPr>
              <w:t>2</w:t>
            </w:r>
            <w:r>
              <w:rPr>
                <w:color w:val="auto"/>
                <w:sz w:val="28"/>
                <w:highlight w:val="none"/>
              </w:rPr>
              <w:t xml:space="preserve">）拟出国出境（编码 </w:t>
            </w:r>
            <w:r>
              <w:rPr>
                <w:rFonts w:ascii="Times New Roman" w:eastAsia="Times New Roman"/>
                <w:color w:val="auto"/>
                <w:sz w:val="28"/>
                <w:highlight w:val="none"/>
              </w:rPr>
              <w:t>722</w:t>
            </w:r>
            <w:r>
              <w:rPr>
                <w:color w:val="auto"/>
                <w:sz w:val="28"/>
                <w:highlight w:val="none"/>
              </w:rPr>
              <w:t>）：准备出国出</w:t>
            </w:r>
          </w:p>
          <w:p>
            <w:pPr>
              <w:pStyle w:val="44"/>
              <w:spacing w:before="2" w:line="332" w:lineRule="exact"/>
              <w:ind w:left="107"/>
              <w:rPr>
                <w:color w:val="auto"/>
                <w:sz w:val="28"/>
                <w:highlight w:val="none"/>
              </w:rPr>
            </w:pPr>
            <w:r>
              <w:rPr>
                <w:color w:val="auto"/>
                <w:sz w:val="28"/>
                <w:highlight w:val="none"/>
              </w:rPr>
              <w:t>境学习或工作</w:t>
            </w:r>
          </w:p>
        </w:tc>
        <w:tc>
          <w:tcPr>
            <w:tcW w:w="4597" w:type="dxa"/>
          </w:tcPr>
          <w:p>
            <w:pPr>
              <w:pStyle w:val="44"/>
              <w:rPr>
                <w:rFonts w:ascii="Times New Roman"/>
                <w:color w:val="auto"/>
                <w:sz w:val="22"/>
                <w:highlight w:val="none"/>
              </w:rPr>
            </w:pPr>
          </w:p>
        </w:tc>
      </w:tr>
    </w:tbl>
    <w:p>
      <w:pPr>
        <w:spacing w:before="56" w:line="302" w:lineRule="auto"/>
        <w:ind w:left="554" w:right="983" w:firstLine="0"/>
        <w:jc w:val="left"/>
        <w:rPr>
          <w:color w:val="auto"/>
          <w:sz w:val="20"/>
          <w:highlight w:val="none"/>
        </w:rPr>
      </w:pPr>
      <w:r>
        <w:rPr>
          <w:b/>
          <w:color w:val="auto"/>
          <w:spacing w:val="-8"/>
          <w:w w:val="99"/>
          <w:sz w:val="20"/>
          <w:highlight w:val="none"/>
        </w:rPr>
        <w:t>说明：</w:t>
      </w:r>
      <w:r>
        <w:rPr>
          <w:rFonts w:ascii="Times New Roman" w:hAnsi="Times New Roman" w:eastAsia="Times New Roman"/>
          <w:color w:val="auto"/>
          <w:spacing w:val="1"/>
          <w:w w:val="99"/>
          <w:sz w:val="20"/>
          <w:highlight w:val="none"/>
        </w:rPr>
        <w:t>1</w:t>
      </w:r>
      <w:r>
        <w:rPr>
          <w:rFonts w:ascii="Times New Roman" w:hAnsi="Times New Roman" w:eastAsia="Times New Roman"/>
          <w:color w:val="auto"/>
          <w:spacing w:val="-29"/>
          <w:w w:val="99"/>
          <w:sz w:val="20"/>
          <w:highlight w:val="none"/>
        </w:rPr>
        <w:t>.</w:t>
      </w:r>
      <w:r>
        <w:rPr>
          <w:color w:val="auto"/>
          <w:spacing w:val="-4"/>
          <w:w w:val="99"/>
          <w:sz w:val="20"/>
          <w:highlight w:val="none"/>
        </w:rPr>
        <w:t>“科研助理、管理助理</w:t>
      </w:r>
      <w:r>
        <w:rPr>
          <w:color w:val="auto"/>
          <w:spacing w:val="-15"/>
          <w:w w:val="99"/>
          <w:sz w:val="20"/>
          <w:highlight w:val="none"/>
        </w:rPr>
        <w:t>”“其他录用形式就业</w:t>
      </w:r>
      <w:r>
        <w:rPr>
          <w:color w:val="auto"/>
          <w:spacing w:val="-18"/>
          <w:w w:val="99"/>
          <w:sz w:val="20"/>
          <w:highlight w:val="none"/>
        </w:rPr>
        <w:t>”“自由职业”中当地最低工资标准参见人社部公布的《全国各地区最低工资标准情况》。</w:t>
      </w:r>
      <w:r>
        <w:rPr>
          <w:rFonts w:ascii="Times New Roman" w:hAnsi="Times New Roman" w:eastAsia="Times New Roman"/>
          <w:color w:val="auto"/>
          <w:spacing w:val="-2"/>
          <w:w w:val="99"/>
          <w:sz w:val="20"/>
          <w:highlight w:val="none"/>
        </w:rPr>
        <w:t>2</w:t>
      </w:r>
      <w:r>
        <w:rPr>
          <w:rFonts w:ascii="Times New Roman" w:hAnsi="Times New Roman" w:eastAsia="Times New Roman"/>
          <w:color w:val="auto"/>
          <w:w w:val="99"/>
          <w:sz w:val="20"/>
          <w:highlight w:val="none"/>
        </w:rPr>
        <w:t>.</w:t>
      </w:r>
      <w:r>
        <w:rPr>
          <w:rFonts w:ascii="Times New Roman" w:hAnsi="Times New Roman" w:eastAsia="Times New Roman"/>
          <w:color w:val="auto"/>
          <w:spacing w:val="-1"/>
          <w:sz w:val="20"/>
          <w:highlight w:val="none"/>
        </w:rPr>
        <w:t xml:space="preserve">  </w:t>
      </w:r>
      <w:r>
        <w:rPr>
          <w:color w:val="auto"/>
          <w:w w:val="99"/>
          <w:sz w:val="20"/>
          <w:highlight w:val="none"/>
        </w:rPr>
        <w:t xml:space="preserve">在 </w:t>
      </w:r>
      <w:r>
        <w:rPr>
          <w:color w:val="auto"/>
          <w:spacing w:val="-3"/>
          <w:w w:val="95"/>
          <w:sz w:val="20"/>
          <w:highlight w:val="none"/>
        </w:rPr>
        <w:t>“未就业”统计分类数据填报中，单位组织机构代码、单位名称、单位性质、单位行业、单位所在地、工作职位类别、单位联系人电话无需填写。</w:t>
      </w:r>
    </w:p>
    <w:p>
      <w:pPr>
        <w:pStyle w:val="35"/>
        <w:numPr>
          <w:ilvl w:val="0"/>
          <w:numId w:val="21"/>
        </w:numPr>
        <w:tabs>
          <w:tab w:val="left" w:pos="807"/>
        </w:tabs>
        <w:spacing w:before="0" w:after="0" w:line="300" w:lineRule="auto"/>
        <w:ind w:left="554" w:right="1016" w:firstLine="0"/>
        <w:jc w:val="left"/>
        <w:rPr>
          <w:color w:val="auto"/>
          <w:sz w:val="20"/>
          <w:highlight w:val="none"/>
        </w:rPr>
      </w:pPr>
      <w:r>
        <w:rPr>
          <w:color w:val="auto"/>
          <w:spacing w:val="-4"/>
          <w:w w:val="99"/>
          <w:sz w:val="20"/>
          <w:highlight w:val="none"/>
        </w:rPr>
        <w:t>定向、委培研究生中无需办理就业手续的，毕业去向填写“签就业协议形式就业”，其中定向或委培单位必填，单位组织机构代码、单位名称、</w:t>
      </w:r>
      <w:r>
        <w:rPr>
          <w:color w:val="auto"/>
          <w:sz w:val="20"/>
          <w:highlight w:val="none"/>
        </w:rPr>
        <w:t>单位性质、单位行业、单位所在地、工作职位类别联系人电话非必填。</w:t>
      </w:r>
    </w:p>
    <w:p>
      <w:pPr>
        <w:spacing w:after="0" w:line="300" w:lineRule="auto"/>
        <w:jc w:val="left"/>
        <w:rPr>
          <w:color w:val="auto"/>
          <w:sz w:val="20"/>
          <w:highlight w:val="none"/>
        </w:rPr>
      </w:pPr>
    </w:p>
    <w:p>
      <w:pPr>
        <w:bidi w:val="0"/>
        <w:rPr>
          <w:rFonts w:asciiTheme="minorHAnsi" w:hAnsiTheme="minorHAnsi" w:eastAsiaTheme="minorEastAsia" w:cstheme="minorBidi"/>
          <w:kern w:val="2"/>
          <w:sz w:val="21"/>
          <w:szCs w:val="22"/>
          <w:lang w:val="en-US" w:eastAsia="zh-CN" w:bidi="ar-SA"/>
        </w:rPr>
      </w:pPr>
    </w:p>
    <w:p>
      <w:pPr>
        <w:bidi w:val="0"/>
        <w:rPr>
          <w:lang w:val="en-US" w:eastAsia="zh-CN"/>
        </w:rPr>
      </w:pPr>
    </w:p>
    <w:p>
      <w:pPr>
        <w:bidi w:val="0"/>
        <w:rPr>
          <w:lang w:val="en-US" w:eastAsia="zh-CN"/>
        </w:rPr>
      </w:pPr>
    </w:p>
    <w:p>
      <w:pPr>
        <w:tabs>
          <w:tab w:val="center" w:pos="7160"/>
        </w:tabs>
        <w:bidi w:val="0"/>
        <w:jc w:val="left"/>
        <w:rPr>
          <w:lang w:val="en-US" w:eastAsia="zh-CN"/>
        </w:rPr>
        <w:sectPr>
          <w:pgSz w:w="16840" w:h="11910" w:orient="landscape"/>
          <w:pgMar w:top="1400" w:right="1260" w:bottom="1984" w:left="1260" w:header="0" w:footer="1704" w:gutter="0"/>
          <w:pgNumType w:fmt="decimal"/>
          <w:cols w:space="720" w:num="1"/>
          <w:rtlGutter w:val="0"/>
        </w:sectPr>
      </w:pPr>
      <w:bookmarkStart w:id="533" w:name="_GoBack"/>
      <w:bookmarkEnd w:id="533"/>
      <w:r>
        <w:rPr>
          <w:rFonts w:hint="eastAsia"/>
          <w:lang w:val="en-US" w:eastAsia="zh-CN"/>
        </w:rPr>
        <w:tab/>
      </w:r>
    </w:p>
    <w:p>
      <w:pPr>
        <w:pStyle w:val="6"/>
        <w:spacing w:before="153"/>
        <w:ind w:left="251"/>
        <w:rPr>
          <w:rFonts w:ascii="Times New Roman" w:eastAsia="Times New Roman"/>
          <w:color w:val="auto"/>
          <w:highlight w:val="none"/>
        </w:rPr>
      </w:pPr>
      <w:r>
        <w:rPr>
          <w:rFonts w:hint="eastAsia" w:ascii="黑体" w:eastAsia="黑体"/>
          <w:color w:val="auto"/>
          <w:highlight w:val="none"/>
        </w:rPr>
        <w:t xml:space="preserve">附件 </w:t>
      </w:r>
      <w:r>
        <w:rPr>
          <w:rFonts w:ascii="Times New Roman" w:eastAsia="Times New Roman"/>
          <w:color w:val="auto"/>
          <w:highlight w:val="none"/>
        </w:rPr>
        <w:t>3</w:t>
      </w:r>
    </w:p>
    <w:p>
      <w:pPr>
        <w:pStyle w:val="2"/>
        <w:tabs>
          <w:tab w:val="left" w:pos="1811"/>
        </w:tabs>
        <w:spacing w:before="1"/>
        <w:ind w:left="491"/>
        <w:rPr>
          <w:color w:val="auto"/>
          <w:highlight w:val="none"/>
        </w:rPr>
      </w:pPr>
      <w:r>
        <w:rPr>
          <w:rFonts w:ascii="Times New Roman" w:eastAsia="Times New Roman"/>
          <w:color w:val="auto"/>
          <w:w w:val="99"/>
          <w:highlight w:val="none"/>
          <w:u w:val="thick"/>
        </w:rPr>
        <w:t xml:space="preserve"> </w:t>
      </w:r>
      <w:r>
        <w:rPr>
          <w:rFonts w:ascii="Times New Roman" w:eastAsia="Times New Roman"/>
          <w:color w:val="auto"/>
          <w:highlight w:val="none"/>
          <w:u w:val="thick"/>
        </w:rPr>
        <w:tab/>
      </w:r>
      <w:bookmarkStart w:id="530" w:name="_Toc1290"/>
      <w:bookmarkStart w:id="531" w:name="_Toc2150"/>
      <w:bookmarkStart w:id="532" w:name="_Toc26333"/>
      <w:r>
        <w:rPr>
          <w:color w:val="auto"/>
          <w:highlight w:val="none"/>
        </w:rPr>
        <w:t>高校毕业生毕业去向落实情况统计表</w:t>
      </w:r>
      <w:bookmarkEnd w:id="530"/>
      <w:bookmarkEnd w:id="531"/>
      <w:bookmarkEnd w:id="532"/>
    </w:p>
    <w:p>
      <w:pPr>
        <w:pStyle w:val="6"/>
        <w:rPr>
          <w:rFonts w:ascii="方正小标宋_GBK"/>
          <w:color w:val="auto"/>
          <w:sz w:val="20"/>
          <w:highlight w:val="none"/>
        </w:rPr>
      </w:pPr>
    </w:p>
    <w:p>
      <w:pPr>
        <w:pStyle w:val="6"/>
        <w:spacing w:before="55"/>
        <w:ind w:left="107"/>
        <w:rPr>
          <w:color w:val="auto"/>
          <w:highlight w:val="none"/>
        </w:rPr>
      </w:pPr>
      <w:r>
        <w:rPr>
          <w:color w:val="auto"/>
          <w:highlight w:val="none"/>
        </w:rPr>
        <w:t>数据截止日期：</w:t>
      </w:r>
    </w:p>
    <w:p>
      <w:pPr>
        <w:pStyle w:val="6"/>
        <w:spacing w:before="4"/>
        <w:rPr>
          <w:color w:val="auto"/>
          <w:sz w:val="17"/>
          <w:highlight w:val="none"/>
        </w:rPr>
      </w:pPr>
    </w:p>
    <w:tbl>
      <w:tblPr>
        <w:tblStyle w:val="22"/>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7"/>
        <w:gridCol w:w="4410"/>
        <w:gridCol w:w="1656"/>
        <w:gridCol w:w="16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1337" w:type="dxa"/>
          </w:tcPr>
          <w:p>
            <w:pPr>
              <w:pStyle w:val="44"/>
              <w:spacing w:before="241"/>
              <w:ind w:left="329" w:right="318"/>
              <w:jc w:val="center"/>
              <w:rPr>
                <w:rFonts w:hint="eastAsia" w:ascii="黑体" w:eastAsia="黑体"/>
                <w:color w:val="auto"/>
                <w:sz w:val="32"/>
                <w:highlight w:val="none"/>
              </w:rPr>
            </w:pPr>
            <w:r>
              <w:rPr>
                <w:rFonts w:hint="eastAsia" w:ascii="黑体" w:eastAsia="黑体"/>
                <w:color w:val="auto"/>
                <w:sz w:val="32"/>
                <w:highlight w:val="none"/>
              </w:rPr>
              <w:t>序号</w:t>
            </w:r>
          </w:p>
        </w:tc>
        <w:tc>
          <w:tcPr>
            <w:tcW w:w="4410" w:type="dxa"/>
          </w:tcPr>
          <w:p>
            <w:pPr>
              <w:pStyle w:val="44"/>
              <w:tabs>
                <w:tab w:val="left" w:pos="647"/>
              </w:tabs>
              <w:spacing w:before="241"/>
              <w:ind w:left="6"/>
              <w:jc w:val="center"/>
              <w:rPr>
                <w:rFonts w:hint="eastAsia" w:ascii="黑体" w:eastAsia="黑体"/>
                <w:color w:val="auto"/>
                <w:sz w:val="32"/>
                <w:highlight w:val="none"/>
              </w:rPr>
            </w:pPr>
            <w:r>
              <w:rPr>
                <w:rFonts w:hint="eastAsia" w:ascii="黑体" w:eastAsia="黑体"/>
                <w:color w:val="auto"/>
                <w:sz w:val="32"/>
                <w:highlight w:val="none"/>
              </w:rPr>
              <w:t>类</w:t>
            </w:r>
            <w:r>
              <w:rPr>
                <w:rFonts w:hint="eastAsia" w:ascii="黑体" w:eastAsia="黑体"/>
                <w:color w:val="auto"/>
                <w:sz w:val="32"/>
                <w:highlight w:val="none"/>
              </w:rPr>
              <w:tab/>
            </w:r>
            <w:r>
              <w:rPr>
                <w:rFonts w:hint="eastAsia" w:ascii="黑体" w:eastAsia="黑体"/>
                <w:color w:val="auto"/>
                <w:sz w:val="32"/>
                <w:highlight w:val="none"/>
              </w:rPr>
              <w:t>别</w:t>
            </w:r>
          </w:p>
        </w:tc>
        <w:tc>
          <w:tcPr>
            <w:tcW w:w="1656" w:type="dxa"/>
          </w:tcPr>
          <w:p>
            <w:pPr>
              <w:pStyle w:val="44"/>
              <w:spacing w:before="241"/>
              <w:ind w:left="505"/>
              <w:rPr>
                <w:rFonts w:hint="eastAsia" w:ascii="黑体" w:eastAsia="黑体"/>
                <w:color w:val="auto"/>
                <w:sz w:val="32"/>
                <w:highlight w:val="none"/>
              </w:rPr>
            </w:pPr>
            <w:r>
              <w:rPr>
                <w:rFonts w:hint="eastAsia" w:ascii="黑体" w:eastAsia="黑体"/>
                <w:color w:val="auto"/>
                <w:sz w:val="32"/>
                <w:highlight w:val="none"/>
              </w:rPr>
              <w:t>人数</w:t>
            </w:r>
          </w:p>
        </w:tc>
        <w:tc>
          <w:tcPr>
            <w:tcW w:w="1654" w:type="dxa"/>
          </w:tcPr>
          <w:p>
            <w:pPr>
              <w:pStyle w:val="44"/>
              <w:spacing w:before="241"/>
              <w:ind w:left="503"/>
              <w:rPr>
                <w:rFonts w:hint="eastAsia" w:ascii="黑体" w:eastAsia="黑体"/>
                <w:color w:val="auto"/>
                <w:sz w:val="32"/>
                <w:highlight w:val="none"/>
              </w:rPr>
            </w:pPr>
            <w:r>
              <w:rPr>
                <w:rFonts w:hint="eastAsia" w:ascii="黑体" w:eastAsia="黑体"/>
                <w:color w:val="auto"/>
                <w:sz w:val="32"/>
                <w:highlight w:val="none"/>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1</w:t>
            </w:r>
          </w:p>
        </w:tc>
        <w:tc>
          <w:tcPr>
            <w:tcW w:w="4410" w:type="dxa"/>
          </w:tcPr>
          <w:p>
            <w:pPr>
              <w:pStyle w:val="44"/>
              <w:ind w:left="1322"/>
              <w:rPr>
                <w:color w:val="auto"/>
                <w:sz w:val="32"/>
                <w:highlight w:val="none"/>
              </w:rPr>
            </w:pPr>
            <w:r>
              <w:rPr>
                <w:color w:val="auto"/>
                <w:sz w:val="32"/>
                <w:highlight w:val="none"/>
              </w:rPr>
              <w:t>毕业去向落实率</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2</w:t>
            </w:r>
          </w:p>
        </w:tc>
        <w:tc>
          <w:tcPr>
            <w:tcW w:w="4410" w:type="dxa"/>
          </w:tcPr>
          <w:p>
            <w:pPr>
              <w:pStyle w:val="44"/>
              <w:spacing w:before="119" w:line="385" w:lineRule="exact"/>
              <w:ind w:left="486"/>
              <w:jc w:val="center"/>
              <w:rPr>
                <w:color w:val="auto"/>
                <w:sz w:val="32"/>
                <w:highlight w:val="none"/>
              </w:rPr>
            </w:pPr>
            <w:r>
              <w:rPr>
                <w:color w:val="auto"/>
                <w:sz w:val="32"/>
                <w:highlight w:val="none"/>
              </w:rPr>
              <w:t>协议</w:t>
            </w:r>
          </w:p>
          <w:p>
            <w:pPr>
              <w:pStyle w:val="44"/>
              <w:spacing w:line="385" w:lineRule="exact"/>
              <w:ind w:left="486"/>
              <w:jc w:val="center"/>
              <w:rPr>
                <w:color w:val="auto"/>
                <w:sz w:val="32"/>
                <w:highlight w:val="none"/>
              </w:rPr>
            </w:pPr>
            <w:r>
              <w:rPr>
                <w:color w:val="auto"/>
                <w:sz w:val="32"/>
                <w:highlight w:val="none"/>
              </w:rPr>
              <w:t>和劳动合同就业率</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3</w:t>
            </w:r>
          </w:p>
        </w:tc>
        <w:tc>
          <w:tcPr>
            <w:tcW w:w="4410" w:type="dxa"/>
          </w:tcPr>
          <w:p>
            <w:pPr>
              <w:pStyle w:val="44"/>
              <w:spacing w:before="1"/>
              <w:ind w:left="486"/>
              <w:jc w:val="center"/>
              <w:rPr>
                <w:color w:val="auto"/>
                <w:sz w:val="32"/>
                <w:highlight w:val="none"/>
              </w:rPr>
            </w:pPr>
            <w:r>
              <w:rPr>
                <w:color w:val="auto"/>
                <w:sz w:val="32"/>
                <w:highlight w:val="none"/>
              </w:rPr>
              <w:t>创业率</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4</w:t>
            </w:r>
          </w:p>
        </w:tc>
        <w:tc>
          <w:tcPr>
            <w:tcW w:w="4410" w:type="dxa"/>
          </w:tcPr>
          <w:p>
            <w:pPr>
              <w:pStyle w:val="44"/>
              <w:ind w:left="1641"/>
              <w:rPr>
                <w:color w:val="auto"/>
                <w:sz w:val="32"/>
                <w:highlight w:val="none"/>
              </w:rPr>
            </w:pPr>
            <w:r>
              <w:rPr>
                <w:color w:val="auto"/>
                <w:sz w:val="32"/>
                <w:highlight w:val="none"/>
              </w:rPr>
              <w:t>灵活就业率</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5</w:t>
            </w:r>
          </w:p>
        </w:tc>
        <w:tc>
          <w:tcPr>
            <w:tcW w:w="4410" w:type="dxa"/>
          </w:tcPr>
          <w:p>
            <w:pPr>
              <w:pStyle w:val="44"/>
              <w:spacing w:before="119" w:line="385" w:lineRule="exact"/>
              <w:ind w:left="486"/>
              <w:jc w:val="center"/>
              <w:rPr>
                <w:color w:val="auto"/>
                <w:sz w:val="32"/>
                <w:highlight w:val="none"/>
              </w:rPr>
            </w:pPr>
            <w:r>
              <w:rPr>
                <w:color w:val="auto"/>
                <w:sz w:val="32"/>
                <w:highlight w:val="none"/>
              </w:rPr>
              <w:t>升学率</w:t>
            </w:r>
          </w:p>
          <w:p>
            <w:pPr>
              <w:pStyle w:val="44"/>
              <w:spacing w:line="385" w:lineRule="exact"/>
              <w:ind w:left="483"/>
              <w:jc w:val="center"/>
              <w:rPr>
                <w:color w:val="auto"/>
                <w:sz w:val="32"/>
                <w:highlight w:val="none"/>
              </w:rPr>
            </w:pPr>
            <w:r>
              <w:rPr>
                <w:color w:val="auto"/>
                <w:sz w:val="32"/>
                <w:highlight w:val="none"/>
              </w:rPr>
              <w:t>（含出国深造）</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trPr>
        <w:tc>
          <w:tcPr>
            <w:tcW w:w="1337" w:type="dxa"/>
          </w:tcPr>
          <w:p>
            <w:pPr>
              <w:pStyle w:val="44"/>
              <w:spacing w:before="1"/>
              <w:ind w:left="8"/>
              <w:jc w:val="center"/>
              <w:rPr>
                <w:rFonts w:ascii="Times New Roman"/>
                <w:color w:val="auto"/>
                <w:sz w:val="32"/>
                <w:highlight w:val="none"/>
              </w:rPr>
            </w:pPr>
            <w:r>
              <w:rPr>
                <w:rFonts w:ascii="Times New Roman"/>
                <w:color w:val="auto"/>
                <w:w w:val="99"/>
                <w:sz w:val="32"/>
                <w:highlight w:val="none"/>
              </w:rPr>
              <w:t>6</w:t>
            </w:r>
          </w:p>
        </w:tc>
        <w:tc>
          <w:tcPr>
            <w:tcW w:w="4410" w:type="dxa"/>
          </w:tcPr>
          <w:p>
            <w:pPr>
              <w:pStyle w:val="44"/>
              <w:spacing w:before="119" w:line="385" w:lineRule="exact"/>
              <w:ind w:left="483"/>
              <w:jc w:val="center"/>
              <w:rPr>
                <w:color w:val="auto"/>
                <w:sz w:val="32"/>
                <w:highlight w:val="none"/>
              </w:rPr>
            </w:pPr>
            <w:r>
              <w:rPr>
                <w:color w:val="auto"/>
                <w:sz w:val="32"/>
                <w:highlight w:val="none"/>
              </w:rPr>
              <w:t>暂不就业率</w:t>
            </w:r>
          </w:p>
          <w:p>
            <w:pPr>
              <w:pStyle w:val="44"/>
              <w:spacing w:line="385" w:lineRule="exact"/>
              <w:ind w:left="483"/>
              <w:jc w:val="center"/>
              <w:rPr>
                <w:color w:val="auto"/>
                <w:sz w:val="32"/>
                <w:highlight w:val="none"/>
              </w:rPr>
            </w:pPr>
            <w:r>
              <w:rPr>
                <w:color w:val="auto"/>
                <w:sz w:val="32"/>
                <w:highlight w:val="none"/>
              </w:rPr>
              <w:t>（无就业意愿）</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1337" w:type="dxa"/>
          </w:tcPr>
          <w:p>
            <w:pPr>
              <w:pStyle w:val="44"/>
              <w:ind w:left="8"/>
              <w:jc w:val="center"/>
              <w:rPr>
                <w:rFonts w:ascii="Times New Roman"/>
                <w:color w:val="auto"/>
                <w:sz w:val="32"/>
                <w:highlight w:val="none"/>
              </w:rPr>
            </w:pPr>
            <w:r>
              <w:rPr>
                <w:rFonts w:ascii="Times New Roman"/>
                <w:color w:val="auto"/>
                <w:w w:val="99"/>
                <w:sz w:val="32"/>
                <w:highlight w:val="none"/>
              </w:rPr>
              <w:t>7</w:t>
            </w:r>
          </w:p>
        </w:tc>
        <w:tc>
          <w:tcPr>
            <w:tcW w:w="4410" w:type="dxa"/>
          </w:tcPr>
          <w:p>
            <w:pPr>
              <w:pStyle w:val="44"/>
              <w:spacing w:before="119" w:line="385" w:lineRule="exact"/>
              <w:ind w:left="484"/>
              <w:jc w:val="center"/>
              <w:rPr>
                <w:color w:val="auto"/>
                <w:sz w:val="32"/>
                <w:highlight w:val="none"/>
              </w:rPr>
            </w:pPr>
            <w:r>
              <w:rPr>
                <w:color w:val="auto"/>
                <w:sz w:val="32"/>
                <w:highlight w:val="none"/>
              </w:rPr>
              <w:t>待就业率</w:t>
            </w:r>
          </w:p>
          <w:p>
            <w:pPr>
              <w:pStyle w:val="44"/>
              <w:spacing w:line="385" w:lineRule="exact"/>
              <w:ind w:left="482"/>
              <w:jc w:val="center"/>
              <w:rPr>
                <w:color w:val="auto"/>
                <w:sz w:val="32"/>
                <w:highlight w:val="none"/>
              </w:rPr>
            </w:pPr>
            <w:r>
              <w:rPr>
                <w:color w:val="auto"/>
                <w:sz w:val="32"/>
                <w:highlight w:val="none"/>
              </w:rPr>
              <w:t>（有就业意愿未就业）</w:t>
            </w:r>
          </w:p>
        </w:tc>
        <w:tc>
          <w:tcPr>
            <w:tcW w:w="1656" w:type="dxa"/>
          </w:tcPr>
          <w:p>
            <w:pPr>
              <w:pStyle w:val="44"/>
              <w:rPr>
                <w:rFonts w:ascii="Times New Roman"/>
                <w:color w:val="auto"/>
                <w:sz w:val="32"/>
                <w:highlight w:val="none"/>
              </w:rPr>
            </w:pPr>
          </w:p>
        </w:tc>
        <w:tc>
          <w:tcPr>
            <w:tcW w:w="1654" w:type="dxa"/>
          </w:tcPr>
          <w:p>
            <w:pPr>
              <w:pStyle w:val="44"/>
              <w:rPr>
                <w:rFonts w:ascii="Times New Roman"/>
                <w:color w:val="auto"/>
                <w:sz w:val="32"/>
                <w:highlight w:val="none"/>
              </w:rPr>
            </w:pPr>
          </w:p>
        </w:tc>
      </w:tr>
    </w:tbl>
    <w:p>
      <w:pPr>
        <w:pStyle w:val="6"/>
        <w:rPr>
          <w:color w:val="auto"/>
          <w:highlight w:val="none"/>
        </w:rPr>
      </w:pPr>
    </w:p>
    <w:p>
      <w:pPr>
        <w:spacing w:line="240" w:lineRule="exact"/>
        <w:rPr>
          <w:color w:val="auto"/>
          <w:highlight w:val="none"/>
        </w:rPr>
      </w:pPr>
      <w:r>
        <w:rPr>
          <w:rFonts w:hint="eastAsia" w:ascii="黑体" w:eastAsia="黑体"/>
          <w:color w:val="auto"/>
          <w:highlight w:val="none"/>
        </w:rPr>
        <w:t>分管厅（委、局</w:t>
      </w:r>
      <w:r>
        <w:rPr>
          <w:rFonts w:hint="eastAsia" w:ascii="黑体" w:eastAsia="黑体"/>
          <w:color w:val="auto"/>
          <w:spacing w:val="-161"/>
          <w:highlight w:val="none"/>
        </w:rPr>
        <w:t>）</w:t>
      </w:r>
      <w:r>
        <w:rPr>
          <w:rFonts w:hint="eastAsia" w:ascii="黑体" w:eastAsia="黑体"/>
          <w:color w:val="auto"/>
          <w:highlight w:val="none"/>
        </w:rPr>
        <w:t>、校领导签字：</w:t>
      </w:r>
    </w:p>
    <w:sectPr>
      <w:footerReference r:id="rId7" w:type="default"/>
      <w:pgSz w:w="11906" w:h="16838"/>
      <w:pgMar w:top="1400" w:right="1800" w:bottom="1984" w:left="1800" w:header="851" w:footer="992" w:gutter="0"/>
      <w:pgNumType w:fmt="decimal"/>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2CD34A-DB01-46FD-ADD1-1559BDB80009}"/>
  </w:font>
  <w:font w:name="黑体">
    <w:panose1 w:val="02010609060101010101"/>
    <w:charset w:val="86"/>
    <w:family w:val="auto"/>
    <w:pitch w:val="default"/>
    <w:sig w:usb0="800002BF" w:usb1="38CF7CFA" w:usb2="00000016" w:usb3="00000000" w:csb0="00040001" w:csb1="00000000"/>
    <w:embedRegular r:id="rId2" w:fontKey="{C243A2A2-0D86-4DD0-AA97-7574771E0B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2FAC406-055C-448B-9D7D-86E5134DED2E}"/>
  </w:font>
  <w:font w:name="方正黑体_GBK">
    <w:panose1 w:val="03000509000000000000"/>
    <w:charset w:val="86"/>
    <w:family w:val="auto"/>
    <w:pitch w:val="default"/>
    <w:sig w:usb0="00000001" w:usb1="080E0000" w:usb2="00000000" w:usb3="00000000" w:csb0="00040000" w:csb1="00000000"/>
    <w:embedRegular r:id="rId4" w:fontKey="{C8F380B2-629E-4F5F-B14A-7BE226EF6B03}"/>
  </w:font>
  <w:font w:name="Cambria">
    <w:panose1 w:val="02040503050406030204"/>
    <w:charset w:val="00"/>
    <w:family w:val="roman"/>
    <w:pitch w:val="default"/>
    <w:sig w:usb0="E00006FF" w:usb1="420024FF" w:usb2="02000000" w:usb3="00000000" w:csb0="2000019F" w:csb1="00000000"/>
    <w:embedRegular r:id="rId5" w:fontKey="{36BB82B8-BE80-40F7-BA7B-4216CC256643}"/>
  </w:font>
  <w:font w:name="方正仿宋_GBK">
    <w:panose1 w:val="03000509000000000000"/>
    <w:charset w:val="86"/>
    <w:family w:val="auto"/>
    <w:pitch w:val="default"/>
    <w:sig w:usb0="00000001" w:usb1="080E0000" w:usb2="00000000" w:usb3="00000000" w:csb0="00040000" w:csb1="00000000"/>
    <w:embedRegular r:id="rId6" w:fontKey="{91B5FDCA-331D-4D3E-A575-9668F23C073E}"/>
  </w:font>
  <w:font w:name="仿宋_GB2312">
    <w:panose1 w:val="02010609030101010101"/>
    <w:charset w:val="86"/>
    <w:family w:val="modern"/>
    <w:pitch w:val="default"/>
    <w:sig w:usb0="00000001" w:usb1="080E0000" w:usb2="00000000" w:usb3="00000000" w:csb0="00040000" w:csb1="00000000"/>
    <w:embedRegular r:id="rId7" w:fontKey="{3EBC6AA8-F57D-4E36-BB9F-A45946650D4D}"/>
  </w:font>
  <w:font w:name="方正小标宋_GBK">
    <w:panose1 w:val="02000000000000000000"/>
    <w:charset w:val="86"/>
    <w:family w:val="auto"/>
    <w:pitch w:val="default"/>
    <w:sig w:usb0="00000001" w:usb1="080E0000" w:usb2="00000000" w:usb3="00000000" w:csb0="00040000" w:csb1="00000000"/>
    <w:embedRegular r:id="rId8" w:fontKey="{75BC2BBD-8003-484D-80A9-4E87702CB49B}"/>
  </w:font>
  <w:font w:name="方正楷体_GBK">
    <w:panose1 w:val="03000509000000000000"/>
    <w:charset w:val="86"/>
    <w:family w:val="script"/>
    <w:pitch w:val="default"/>
    <w:sig w:usb0="00000001" w:usb1="080E0000" w:usb2="00000000" w:usb3="00000000" w:csb0="00040000" w:csb1="00000000"/>
    <w:embedRegular r:id="rId9" w:fontKey="{159BD53D-9270-4BA4-A30B-17B9A1A27B6F}"/>
  </w:font>
  <w:font w:name="方正公文小标宋">
    <w:panose1 w:val="02000500000000000000"/>
    <w:charset w:val="86"/>
    <w:family w:val="auto"/>
    <w:pitch w:val="default"/>
    <w:sig w:usb0="A00002BF" w:usb1="38CF7CFA" w:usb2="00000016" w:usb3="00000000" w:csb0="00040001" w:csb1="00000000"/>
    <w:embedRegular r:id="rId10" w:fontKey="{8EA05692-83B3-4384-A9DF-A9C6F566F5BD}"/>
  </w:font>
  <w:font w:name="华文仿宋">
    <w:panose1 w:val="02010600040101010101"/>
    <w:charset w:val="86"/>
    <w:family w:val="auto"/>
    <w:pitch w:val="default"/>
    <w:sig w:usb0="00000287" w:usb1="080F0000" w:usb2="00000000" w:usb3="00000000" w:csb0="0004009F" w:csb1="DFD70000"/>
    <w:embedRegular r:id="rId11" w:fontKey="{A33F2A93-BA9A-4EDC-B78F-6922E226593A}"/>
  </w:font>
  <w:font w:name="方正公文黑体">
    <w:panose1 w:val="02000500000000000000"/>
    <w:charset w:val="86"/>
    <w:family w:val="auto"/>
    <w:pitch w:val="default"/>
    <w:sig w:usb0="A00002BF" w:usb1="38CF7CFA" w:usb2="00000016" w:usb3="00000000" w:csb0="00040001" w:csb1="00000000"/>
    <w:embedRegular r:id="rId12" w:fontKey="{C773FC8F-7B9F-4ACC-951F-7AF21FC2A056}"/>
  </w:font>
  <w:font w:name="仿宋">
    <w:panose1 w:val="02010609060101010101"/>
    <w:charset w:val="86"/>
    <w:family w:val="auto"/>
    <w:pitch w:val="default"/>
    <w:sig w:usb0="800002BF" w:usb1="38CF7CFA" w:usb2="00000016" w:usb3="00000000" w:csb0="00040001" w:csb1="00000000"/>
    <w:embedRegular r:id="rId13" w:fontKey="{8AC3B3B8-CBB9-440D-8B1C-78827693A2B3}"/>
  </w:font>
  <w:font w:name="楷体">
    <w:panose1 w:val="02010609060101010101"/>
    <w:charset w:val="86"/>
    <w:family w:val="modern"/>
    <w:pitch w:val="default"/>
    <w:sig w:usb0="800002BF" w:usb1="38CF7CFA" w:usb2="00000016" w:usb3="00000000" w:csb0="00040001" w:csb1="00000000"/>
    <w:embedRegular r:id="rId14" w:fontKey="{19EDE2F4-D17F-4984-93C7-CA53B2C1BE45}"/>
  </w:font>
  <w:font w:name="微软雅黑">
    <w:panose1 w:val="020B0503020204020204"/>
    <w:charset w:val="86"/>
    <w:family w:val="swiss"/>
    <w:pitch w:val="default"/>
    <w:sig w:usb0="80000287" w:usb1="2ACF3C50" w:usb2="00000016" w:usb3="00000000" w:csb0="0004001F" w:csb1="00000000"/>
    <w:embedRegular r:id="rId15" w:fontKey="{434E43E4-9FFE-433D-BCE0-2A592D3134F6}"/>
  </w:font>
  <w:font w:name="sans-serif">
    <w:altName w:val="Segoe Print"/>
    <w:panose1 w:val="00000000000000000000"/>
    <w:charset w:val="00"/>
    <w:family w:val="auto"/>
    <w:pitch w:val="default"/>
    <w:sig w:usb0="00000000" w:usb1="00000000" w:usb2="00000000" w:usb3="00000000" w:csb0="00000000" w:csb1="00000000"/>
    <w:embedRegular r:id="rId16" w:fontKey="{D9EDC6C7-1DC7-4884-8DA8-F102D4E34030}"/>
  </w:font>
  <w:font w:name="Wingdings 2">
    <w:panose1 w:val="05020102010507070707"/>
    <w:charset w:val="00"/>
    <w:family w:val="auto"/>
    <w:pitch w:val="default"/>
    <w:sig w:usb0="00000000" w:usb1="00000000" w:usb2="00000000" w:usb3="00000000" w:csb0="80000000" w:csb1="00000000"/>
    <w:embedRegular r:id="rId17" w:fontKey="{A9571DCA-53C4-4BDE-BA17-C824D13A45CE}"/>
  </w:font>
  <w:font w:name="方正仿宋_GB2312">
    <w:panose1 w:val="02000000000000000000"/>
    <w:charset w:val="86"/>
    <w:family w:val="auto"/>
    <w:pitch w:val="default"/>
    <w:sig w:usb0="A00002BF" w:usb1="184F6CFA" w:usb2="00000012" w:usb3="00000000" w:csb0="00040001" w:csb1="00000000"/>
    <w:embedRegular r:id="rId18" w:fontKey="{8A7932CA-56F9-4BEB-9B5E-356FBD3C0E21}"/>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9419590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741.7pt;height:144pt;width:144pt;mso-position-horizontal:center;mso-position-horizontal-relative:margin;mso-position-vertical-relative:page;mso-wrap-style:none;z-index:251661312;mso-width-relative:page;mso-height-relative:page;" filled="f" stroked="f" coordsize="21600,21600" o:gfxdata="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3saYNYAAAAKAQAADwAAAAAAAAABACAAAAAiAAAAZHJzL2Rvd25yZXYueG1s&#10;UEsBAhQAFAAAAAgAh07iQJteHZ4zAgAAYwQAAA4AAAAAAAAAAQAgAAAAJQEAAGRycy9lMm9Eb2Mu&#10;eG1sUEsFBgAAAAAGAAYAWQEAAMo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9419590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50834325"/>
                          </w:sdtPr>
                          <w:sdtContent>
                            <w:p>
                              <w:pPr>
                                <w:pStyle w:val="12"/>
                                <w:jc w:val="center"/>
                              </w:pPr>
                              <w:r>
                                <w:fldChar w:fldCharType="begin"/>
                              </w:r>
                              <w:r>
                                <w:instrText xml:space="preserve">PAGE   \* MERGEFORMAT</w:instrText>
                              </w:r>
                              <w:r>
                                <w:fldChar w:fldCharType="separate"/>
                              </w:r>
                              <w:r>
                                <w:rPr>
                                  <w:lang w:val="zh-CN"/>
                                </w:rPr>
                                <w:t>11</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741.7pt;height:144pt;width:144pt;mso-position-horizontal:center;mso-position-horizontal-relative:margin;mso-position-vertical-relative:page;mso-wrap-style:none;z-index:251662336;mso-width-relative:page;mso-height-relative:page;" filled="f" stroked="f" coordsize="21600,21600" o:gfxdata="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3saYNYAAAAKAQAADwAAAAAAAAABACAAAAAiAAAAZHJzL2Rvd25yZXYueG1s&#10;UEsBAhQAFAAAAAgAh07iQNn2inEzAgAAYwQAAA4AAAAAAAAAAQAgAAAAJQEAAGRycy9lMm9Eb2Mu&#10;eG1sUEsFBgAAAAAGAAYAWQEAAMoFAAAAAA==&#10;">
              <v:fill on="f" focussize="0,0"/>
              <v:stroke on="f" weight="0.5pt"/>
              <v:imagedata o:title=""/>
              <o:lock v:ext="edit" aspectratio="f"/>
              <v:textbox inset="0mm,0mm,0mm,0mm" style="mso-fit-shape-to-text:t;">
                <w:txbxContent>
                  <w:sdt>
                    <w:sdtPr>
                      <w:id w:val="1850834325"/>
                    </w:sdtPr>
                    <w:sdtContent>
                      <w:p>
                        <w:pPr>
                          <w:pStyle w:val="12"/>
                          <w:jc w:val="center"/>
                        </w:pPr>
                        <w:r>
                          <w:fldChar w:fldCharType="begin"/>
                        </w:r>
                        <w:r>
                          <w:instrText xml:space="preserve">PAGE   \* MERGEFORMAT</w:instrText>
                        </w:r>
                        <w:r>
                          <w:fldChar w:fldCharType="separate"/>
                        </w:r>
                        <w:r>
                          <w:rPr>
                            <w:lang w:val="zh-CN"/>
                          </w:rPr>
                          <w:t>11</w:t>
                        </w:r>
                        <w:r>
                          <w:fldChar w:fldCharType="end"/>
                        </w:r>
                      </w:p>
                    </w:sdtContent>
                  </w:sdt>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9419590</wp:posOffset>
              </wp:positionV>
              <wp:extent cx="560705" cy="222885"/>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560705" cy="222885"/>
                      </a:xfrm>
                      <a:prstGeom prst="rect">
                        <a:avLst/>
                      </a:prstGeom>
                      <a:noFill/>
                      <a:ln>
                        <a:noFill/>
                      </a:ln>
                    </wps:spPr>
                    <wps:txbx>
                      <w:txbxContent>
                        <w:p>
                          <w:pPr>
                            <w:spacing w:before="9"/>
                            <w:ind w:left="20" w:right="0" w:firstLine="0"/>
                            <w:jc w:val="left"/>
                            <w:rPr>
                              <w:rFonts w:ascii="Times New Roman" w:hAnsi="Times New Roman"/>
                              <w:b/>
                              <w:sz w:val="28"/>
                            </w:rPr>
                          </w:pPr>
                          <w:r>
                            <w:rPr>
                              <w:rFonts w:ascii="Times New Roman" w:hAnsi="Times New Roman"/>
                              <w:b/>
                              <w:sz w:val="28"/>
                            </w:rPr>
                            <w:t xml:space="preserve">— </w:t>
                          </w:r>
                          <w:r>
                            <w:fldChar w:fldCharType="begin"/>
                          </w:r>
                          <w:r>
                            <w:rPr>
                              <w:rFonts w:ascii="Times New Roman" w:hAnsi="Times New Roman"/>
                              <w:b/>
                              <w:sz w:val="28"/>
                            </w:rPr>
                            <w:instrText xml:space="preserve"> PAGE </w:instrText>
                          </w:r>
                          <w:r>
                            <w:fldChar w:fldCharType="separate"/>
                          </w:r>
                          <w:r>
                            <w:t>2</w:t>
                          </w:r>
                          <w:r>
                            <w:fldChar w:fldCharType="end"/>
                          </w:r>
                          <w:r>
                            <w:rPr>
                              <w:rFonts w:ascii="Times New Roman" w:hAnsi="Times New Roman"/>
                              <w:b/>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top:741.7pt;height:17.55pt;width:44.15pt;mso-position-horizontal:center;mso-position-horizontal-relative:margin;mso-position-vertical-relative:page;z-index:251659264;mso-width-relative:page;mso-height-relative:page;" filled="f" stroked="f" coordsize="21600,21600" o:gfxdata="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GSgfDYAAAACQEAAA8AAAAAAAAAAQAgAAAAIgAAAGRycy9kb3ducmV2LnhtbFBLAQIU&#10;ABQAAAAIAIdO4kC/LfxWugEAAHUDAAAOAAAAAAAAAAEAIAAAACcBAABkcnMvZTJvRG9jLnhtbFBL&#10;BQYAAAAABgAGAFkBAABTBQAAAAA=&#10;">
              <v:fill on="f" focussize="0,0"/>
              <v:stroke on="f"/>
              <v:imagedata o:title=""/>
              <o:lock v:ext="edit" aspectratio="f"/>
              <v:textbox inset="0mm,0mm,0mm,0mm">
                <w:txbxContent>
                  <w:p>
                    <w:pPr>
                      <w:spacing w:before="9"/>
                      <w:ind w:left="20" w:right="0" w:firstLine="0"/>
                      <w:jc w:val="left"/>
                      <w:rPr>
                        <w:rFonts w:ascii="Times New Roman" w:hAnsi="Times New Roman"/>
                        <w:b/>
                        <w:sz w:val="28"/>
                      </w:rPr>
                    </w:pPr>
                    <w:r>
                      <w:rPr>
                        <w:rFonts w:ascii="Times New Roman" w:hAnsi="Times New Roman"/>
                        <w:b/>
                        <w:sz w:val="28"/>
                      </w:rPr>
                      <w:t xml:space="preserve">— </w:t>
                    </w:r>
                    <w:r>
                      <w:fldChar w:fldCharType="begin"/>
                    </w:r>
                    <w:r>
                      <w:rPr>
                        <w:rFonts w:ascii="Times New Roman" w:hAnsi="Times New Roman"/>
                        <w:b/>
                        <w:sz w:val="28"/>
                      </w:rPr>
                      <w:instrText xml:space="preserve"> PAGE </w:instrText>
                    </w:r>
                    <w:r>
                      <w:fldChar w:fldCharType="separate"/>
                    </w:r>
                    <w:r>
                      <w:t>2</w:t>
                    </w:r>
                    <w:r>
                      <w:fldChar w:fldCharType="end"/>
                    </w:r>
                    <w:r>
                      <w:rPr>
                        <w:rFonts w:ascii="Times New Roman" w:hAnsi="Times New Roman"/>
                        <w:b/>
                        <w:sz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9419590</wp:posOffset>
              </wp:positionV>
              <wp:extent cx="648970" cy="222885"/>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648970" cy="222885"/>
                      </a:xfrm>
                      <a:prstGeom prst="rect">
                        <a:avLst/>
                      </a:prstGeom>
                      <a:noFill/>
                      <a:ln>
                        <a:noFill/>
                      </a:ln>
                    </wps:spPr>
                    <wps:txbx>
                      <w:txbxContent>
                        <w:p>
                          <w:pPr>
                            <w:spacing w:before="9"/>
                            <w:ind w:left="20" w:right="0" w:firstLine="0"/>
                            <w:jc w:val="left"/>
                            <w:rPr>
                              <w:rFonts w:ascii="Times New Roman" w:hAnsi="Times New Roman"/>
                              <w:b/>
                              <w:sz w:val="28"/>
                            </w:rPr>
                          </w:pPr>
                          <w:r>
                            <w:rPr>
                              <w:rFonts w:ascii="Times New Roman" w:hAnsi="Times New Roman"/>
                              <w:b/>
                              <w:sz w:val="28"/>
                            </w:rPr>
                            <w:t xml:space="preserve">— </w:t>
                          </w:r>
                          <w:r>
                            <w:fldChar w:fldCharType="begin"/>
                          </w:r>
                          <w:r>
                            <w:rPr>
                              <w:rFonts w:ascii="Times New Roman" w:hAnsi="Times New Roman"/>
                              <w:b/>
                              <w:sz w:val="28"/>
                            </w:rPr>
                            <w:instrText xml:space="preserve"> PAGE </w:instrText>
                          </w:r>
                          <w:r>
                            <w:fldChar w:fldCharType="separate"/>
                          </w:r>
                          <w:r>
                            <w:t>10</w:t>
                          </w:r>
                          <w:r>
                            <w:fldChar w:fldCharType="end"/>
                          </w:r>
                          <w:r>
                            <w:rPr>
                              <w:rFonts w:ascii="Times New Roman" w:hAnsi="Times New Roman"/>
                              <w:b/>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top:741.7pt;height:17.55pt;width:51.1pt;mso-position-horizontal:center;mso-position-horizontal-relative:margin;mso-position-vertical-relative:page;z-index:251660288;mso-width-relative:page;mso-height-relative:page;" filled="f" stroked="f" coordsize="21600,21600" o:gfxdata="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VmiCtkAAAAKAQAADwAAAAAAAAABACAAAAAiAAAAZHJzL2Rvd25yZXYueG1sUEsB&#10;AhQAFAAAAAgAh07iQOWGyry7AQAAdQMAAA4AAAAAAAAAAQAgAAAAKAEAAGRycy9lMm9Eb2MueG1s&#10;UEsFBgAAAAAGAAYAWQEAAFUFAAAAAA==&#10;">
              <v:fill on="f" focussize="0,0"/>
              <v:stroke on="f"/>
              <v:imagedata o:title=""/>
              <o:lock v:ext="edit" aspectratio="f"/>
              <v:textbox inset="0mm,0mm,0mm,0mm">
                <w:txbxContent>
                  <w:p>
                    <w:pPr>
                      <w:spacing w:before="9"/>
                      <w:ind w:left="20" w:right="0" w:firstLine="0"/>
                      <w:jc w:val="left"/>
                      <w:rPr>
                        <w:rFonts w:ascii="Times New Roman" w:hAnsi="Times New Roman"/>
                        <w:b/>
                        <w:sz w:val="28"/>
                      </w:rPr>
                    </w:pPr>
                    <w:r>
                      <w:rPr>
                        <w:rFonts w:ascii="Times New Roman" w:hAnsi="Times New Roman"/>
                        <w:b/>
                        <w:sz w:val="28"/>
                      </w:rPr>
                      <w:t xml:space="preserve">— </w:t>
                    </w:r>
                    <w:r>
                      <w:fldChar w:fldCharType="begin"/>
                    </w:r>
                    <w:r>
                      <w:rPr>
                        <w:rFonts w:ascii="Times New Roman" w:hAnsi="Times New Roman"/>
                        <w:b/>
                        <w:sz w:val="28"/>
                      </w:rPr>
                      <w:instrText xml:space="preserve"> PAGE </w:instrText>
                    </w:r>
                    <w:r>
                      <w:fldChar w:fldCharType="separate"/>
                    </w:r>
                    <w:r>
                      <w:t>10</w:t>
                    </w:r>
                    <w:r>
                      <w:fldChar w:fldCharType="end"/>
                    </w:r>
                    <w:r>
                      <w:rPr>
                        <w:rFonts w:ascii="Times New Roman" w:hAnsi="Times New Roman"/>
                        <w:b/>
                        <w:sz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6"/>
      </w:pPr>
      <w:r>
        <w:rPr>
          <w:rStyle w:val="26"/>
        </w:rPr>
        <w:footnoteRef/>
      </w:r>
      <w:r>
        <w:rPr>
          <w:rFonts w:hint="eastAsia"/>
        </w:rPr>
        <w:t>标</w:t>
      </w:r>
      <w:r>
        <w:t>*</w:t>
      </w:r>
      <w:r>
        <w:rPr>
          <w:rFonts w:hint="eastAsia"/>
        </w:rPr>
        <w:t>项为专家职能，高级辅导员需至少符合一项标</w:t>
      </w:r>
      <w:r>
        <w:t>*</w:t>
      </w:r>
      <w:r>
        <w:rPr>
          <w:rFonts w:hint="eastAsia"/>
        </w:rPr>
        <w:t>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2DF0B"/>
    <w:multiLevelType w:val="singleLevel"/>
    <w:tmpl w:val="8572DF0B"/>
    <w:lvl w:ilvl="0" w:tentative="0">
      <w:start w:val="2"/>
      <w:numFmt w:val="chineseCounting"/>
      <w:suff w:val="nothing"/>
      <w:lvlText w:val="（%1）"/>
      <w:lvlJc w:val="left"/>
      <w:rPr>
        <w:rFonts w:hint="eastAsia"/>
      </w:rPr>
    </w:lvl>
  </w:abstractNum>
  <w:abstractNum w:abstractNumId="1">
    <w:nsid w:val="9239341B"/>
    <w:multiLevelType w:val="multilevel"/>
    <w:tmpl w:val="9239341B"/>
    <w:lvl w:ilvl="0" w:tentative="0">
      <w:start w:val="1"/>
      <w:numFmt w:val="decimal"/>
      <w:lvlText w:val="%1."/>
      <w:lvlJc w:val="left"/>
      <w:pPr>
        <w:ind w:left="120" w:hanging="202"/>
        <w:jc w:val="left"/>
      </w:pPr>
      <w:rPr>
        <w:rFonts w:hint="default" w:ascii="宋体" w:hAnsi="宋体" w:eastAsia="宋体" w:cs="宋体"/>
        <w:spacing w:val="-2"/>
        <w:w w:val="99"/>
        <w:sz w:val="18"/>
        <w:szCs w:val="18"/>
        <w:lang w:val="zh-CN" w:eastAsia="zh-CN" w:bidi="zh-CN"/>
      </w:rPr>
    </w:lvl>
    <w:lvl w:ilvl="1" w:tentative="0">
      <w:start w:val="0"/>
      <w:numFmt w:val="bullet"/>
      <w:lvlText w:val="•"/>
      <w:lvlJc w:val="left"/>
      <w:pPr>
        <w:ind w:left="1060" w:hanging="202"/>
      </w:pPr>
      <w:rPr>
        <w:rFonts w:hint="default"/>
        <w:lang w:val="zh-CN" w:eastAsia="zh-CN" w:bidi="zh-CN"/>
      </w:rPr>
    </w:lvl>
    <w:lvl w:ilvl="2" w:tentative="0">
      <w:start w:val="0"/>
      <w:numFmt w:val="bullet"/>
      <w:lvlText w:val="•"/>
      <w:lvlJc w:val="left"/>
      <w:pPr>
        <w:ind w:left="2001" w:hanging="202"/>
      </w:pPr>
      <w:rPr>
        <w:rFonts w:hint="default"/>
        <w:lang w:val="zh-CN" w:eastAsia="zh-CN" w:bidi="zh-CN"/>
      </w:rPr>
    </w:lvl>
    <w:lvl w:ilvl="3" w:tentative="0">
      <w:start w:val="0"/>
      <w:numFmt w:val="bullet"/>
      <w:lvlText w:val="•"/>
      <w:lvlJc w:val="left"/>
      <w:pPr>
        <w:ind w:left="2941" w:hanging="202"/>
      </w:pPr>
      <w:rPr>
        <w:rFonts w:hint="default"/>
        <w:lang w:val="zh-CN" w:eastAsia="zh-CN" w:bidi="zh-CN"/>
      </w:rPr>
    </w:lvl>
    <w:lvl w:ilvl="4" w:tentative="0">
      <w:start w:val="0"/>
      <w:numFmt w:val="bullet"/>
      <w:lvlText w:val="•"/>
      <w:lvlJc w:val="left"/>
      <w:pPr>
        <w:ind w:left="3882" w:hanging="202"/>
      </w:pPr>
      <w:rPr>
        <w:rFonts w:hint="default"/>
        <w:lang w:val="zh-CN" w:eastAsia="zh-CN" w:bidi="zh-CN"/>
      </w:rPr>
    </w:lvl>
    <w:lvl w:ilvl="5" w:tentative="0">
      <w:start w:val="0"/>
      <w:numFmt w:val="bullet"/>
      <w:lvlText w:val="•"/>
      <w:lvlJc w:val="left"/>
      <w:pPr>
        <w:ind w:left="4823" w:hanging="202"/>
      </w:pPr>
      <w:rPr>
        <w:rFonts w:hint="default"/>
        <w:lang w:val="zh-CN" w:eastAsia="zh-CN" w:bidi="zh-CN"/>
      </w:rPr>
    </w:lvl>
    <w:lvl w:ilvl="6" w:tentative="0">
      <w:start w:val="0"/>
      <w:numFmt w:val="bullet"/>
      <w:lvlText w:val="•"/>
      <w:lvlJc w:val="left"/>
      <w:pPr>
        <w:ind w:left="5763" w:hanging="202"/>
      </w:pPr>
      <w:rPr>
        <w:rFonts w:hint="default"/>
        <w:lang w:val="zh-CN" w:eastAsia="zh-CN" w:bidi="zh-CN"/>
      </w:rPr>
    </w:lvl>
    <w:lvl w:ilvl="7" w:tentative="0">
      <w:start w:val="0"/>
      <w:numFmt w:val="bullet"/>
      <w:lvlText w:val="•"/>
      <w:lvlJc w:val="left"/>
      <w:pPr>
        <w:ind w:left="6704" w:hanging="202"/>
      </w:pPr>
      <w:rPr>
        <w:rFonts w:hint="default"/>
        <w:lang w:val="zh-CN" w:eastAsia="zh-CN" w:bidi="zh-CN"/>
      </w:rPr>
    </w:lvl>
    <w:lvl w:ilvl="8" w:tentative="0">
      <w:start w:val="0"/>
      <w:numFmt w:val="bullet"/>
      <w:lvlText w:val="•"/>
      <w:lvlJc w:val="left"/>
      <w:pPr>
        <w:ind w:left="7644" w:hanging="202"/>
      </w:pPr>
      <w:rPr>
        <w:rFonts w:hint="default"/>
        <w:lang w:val="zh-CN" w:eastAsia="zh-CN" w:bidi="zh-CN"/>
      </w:rPr>
    </w:lvl>
  </w:abstractNum>
  <w:abstractNum w:abstractNumId="2">
    <w:nsid w:val="9BA0CC2C"/>
    <w:multiLevelType w:val="singleLevel"/>
    <w:tmpl w:val="9BA0CC2C"/>
    <w:lvl w:ilvl="0" w:tentative="0">
      <w:start w:val="6"/>
      <w:numFmt w:val="chineseCounting"/>
      <w:suff w:val="space"/>
      <w:lvlText w:val="第%1章"/>
      <w:lvlJc w:val="left"/>
      <w:rPr>
        <w:rFonts w:hint="eastAsia"/>
      </w:rPr>
    </w:lvl>
  </w:abstractNum>
  <w:abstractNum w:abstractNumId="3">
    <w:nsid w:val="B5CE5093"/>
    <w:multiLevelType w:val="singleLevel"/>
    <w:tmpl w:val="B5CE5093"/>
    <w:lvl w:ilvl="0" w:tentative="0">
      <w:start w:val="1"/>
      <w:numFmt w:val="decimal"/>
      <w:lvlText w:val="%1."/>
      <w:lvlJc w:val="left"/>
      <w:pPr>
        <w:tabs>
          <w:tab w:val="left" w:pos="312"/>
        </w:tabs>
      </w:pPr>
    </w:lvl>
  </w:abstractNum>
  <w:abstractNum w:abstractNumId="4">
    <w:nsid w:val="B5E306ED"/>
    <w:multiLevelType w:val="multilevel"/>
    <w:tmpl w:val="B5E306ED"/>
    <w:lvl w:ilvl="0" w:tentative="0">
      <w:start w:val="1"/>
      <w:numFmt w:val="decimal"/>
      <w:lvlText w:val="%1."/>
      <w:lvlJc w:val="left"/>
      <w:pPr>
        <w:ind w:left="120" w:hanging="303"/>
        <w:jc w:val="left"/>
      </w:pPr>
      <w:rPr>
        <w:rFonts w:hint="default" w:ascii="方正仿宋_GBK" w:hAnsi="方正仿宋_GBK" w:eastAsia="方正仿宋_GBK" w:cs="方正仿宋_GBK"/>
        <w:spacing w:val="-2"/>
        <w:w w:val="99"/>
        <w:sz w:val="30"/>
        <w:szCs w:val="30"/>
        <w:lang w:val="zh-CN" w:eastAsia="zh-CN" w:bidi="zh-CN"/>
      </w:rPr>
    </w:lvl>
    <w:lvl w:ilvl="1" w:tentative="0">
      <w:start w:val="0"/>
      <w:numFmt w:val="bullet"/>
      <w:lvlText w:val="•"/>
      <w:lvlJc w:val="left"/>
      <w:pPr>
        <w:ind w:left="978" w:hanging="303"/>
      </w:pPr>
      <w:rPr>
        <w:rFonts w:hint="default"/>
        <w:lang w:val="zh-CN" w:eastAsia="zh-CN" w:bidi="zh-CN"/>
      </w:rPr>
    </w:lvl>
    <w:lvl w:ilvl="2" w:tentative="0">
      <w:start w:val="0"/>
      <w:numFmt w:val="bullet"/>
      <w:lvlText w:val="•"/>
      <w:lvlJc w:val="left"/>
      <w:pPr>
        <w:ind w:left="1837" w:hanging="303"/>
      </w:pPr>
      <w:rPr>
        <w:rFonts w:hint="default"/>
        <w:lang w:val="zh-CN" w:eastAsia="zh-CN" w:bidi="zh-CN"/>
      </w:rPr>
    </w:lvl>
    <w:lvl w:ilvl="3" w:tentative="0">
      <w:start w:val="0"/>
      <w:numFmt w:val="bullet"/>
      <w:lvlText w:val="•"/>
      <w:lvlJc w:val="left"/>
      <w:pPr>
        <w:ind w:left="2695" w:hanging="303"/>
      </w:pPr>
      <w:rPr>
        <w:rFonts w:hint="default"/>
        <w:lang w:val="zh-CN" w:eastAsia="zh-CN" w:bidi="zh-CN"/>
      </w:rPr>
    </w:lvl>
    <w:lvl w:ilvl="4" w:tentative="0">
      <w:start w:val="0"/>
      <w:numFmt w:val="bullet"/>
      <w:lvlText w:val="•"/>
      <w:lvlJc w:val="left"/>
      <w:pPr>
        <w:ind w:left="3554" w:hanging="303"/>
      </w:pPr>
      <w:rPr>
        <w:rFonts w:hint="default"/>
        <w:lang w:val="zh-CN" w:eastAsia="zh-CN" w:bidi="zh-CN"/>
      </w:rPr>
    </w:lvl>
    <w:lvl w:ilvl="5" w:tentative="0">
      <w:start w:val="0"/>
      <w:numFmt w:val="bullet"/>
      <w:lvlText w:val="•"/>
      <w:lvlJc w:val="left"/>
      <w:pPr>
        <w:ind w:left="4413" w:hanging="303"/>
      </w:pPr>
      <w:rPr>
        <w:rFonts w:hint="default"/>
        <w:lang w:val="zh-CN" w:eastAsia="zh-CN" w:bidi="zh-CN"/>
      </w:rPr>
    </w:lvl>
    <w:lvl w:ilvl="6" w:tentative="0">
      <w:start w:val="0"/>
      <w:numFmt w:val="bullet"/>
      <w:lvlText w:val="•"/>
      <w:lvlJc w:val="left"/>
      <w:pPr>
        <w:ind w:left="5271" w:hanging="303"/>
      </w:pPr>
      <w:rPr>
        <w:rFonts w:hint="default"/>
        <w:lang w:val="zh-CN" w:eastAsia="zh-CN" w:bidi="zh-CN"/>
      </w:rPr>
    </w:lvl>
    <w:lvl w:ilvl="7" w:tentative="0">
      <w:start w:val="0"/>
      <w:numFmt w:val="bullet"/>
      <w:lvlText w:val="•"/>
      <w:lvlJc w:val="left"/>
      <w:pPr>
        <w:ind w:left="6130" w:hanging="303"/>
      </w:pPr>
      <w:rPr>
        <w:rFonts w:hint="default"/>
        <w:lang w:val="zh-CN" w:eastAsia="zh-CN" w:bidi="zh-CN"/>
      </w:rPr>
    </w:lvl>
    <w:lvl w:ilvl="8" w:tentative="0">
      <w:start w:val="0"/>
      <w:numFmt w:val="bullet"/>
      <w:lvlText w:val="•"/>
      <w:lvlJc w:val="left"/>
      <w:pPr>
        <w:ind w:left="6988" w:hanging="303"/>
      </w:pPr>
      <w:rPr>
        <w:rFonts w:hint="default"/>
        <w:lang w:val="zh-CN" w:eastAsia="zh-CN" w:bidi="zh-CN"/>
      </w:rPr>
    </w:lvl>
  </w:abstractNum>
  <w:abstractNum w:abstractNumId="5">
    <w:nsid w:val="BECA8592"/>
    <w:multiLevelType w:val="singleLevel"/>
    <w:tmpl w:val="BECA8592"/>
    <w:lvl w:ilvl="0" w:tentative="0">
      <w:start w:val="6"/>
      <w:numFmt w:val="chineseCounting"/>
      <w:suff w:val="nothing"/>
      <w:lvlText w:val="（%1）"/>
      <w:lvlJc w:val="left"/>
      <w:rPr>
        <w:rFonts w:hint="eastAsia"/>
      </w:rPr>
    </w:lvl>
  </w:abstractNum>
  <w:abstractNum w:abstractNumId="6">
    <w:nsid w:val="C52A9BB4"/>
    <w:multiLevelType w:val="singleLevel"/>
    <w:tmpl w:val="C52A9BB4"/>
    <w:lvl w:ilvl="0" w:tentative="0">
      <w:start w:val="1"/>
      <w:numFmt w:val="chineseCounting"/>
      <w:suff w:val="nothing"/>
      <w:lvlText w:val="（%1）"/>
      <w:lvlJc w:val="left"/>
      <w:rPr>
        <w:rFonts w:hint="eastAsia" w:ascii="方正楷体_GBK" w:eastAsia="方正楷体_GBK"/>
      </w:rPr>
    </w:lvl>
  </w:abstractNum>
  <w:abstractNum w:abstractNumId="7">
    <w:nsid w:val="CF092B84"/>
    <w:multiLevelType w:val="multilevel"/>
    <w:tmpl w:val="CF092B84"/>
    <w:lvl w:ilvl="0" w:tentative="0">
      <w:start w:val="1"/>
      <w:numFmt w:val="decimal"/>
      <w:lvlText w:val="%1."/>
      <w:lvlJc w:val="left"/>
      <w:pPr>
        <w:ind w:left="866" w:hanging="313"/>
        <w:jc w:val="left"/>
      </w:pPr>
      <w:rPr>
        <w:rFonts w:hint="default" w:ascii="Times New Roman" w:hAnsi="Times New Roman" w:eastAsia="Times New Roman" w:cs="Times New Roman"/>
        <w:spacing w:val="0"/>
        <w:w w:val="99"/>
        <w:sz w:val="20"/>
        <w:szCs w:val="20"/>
        <w:lang w:val="zh-CN" w:eastAsia="zh-CN" w:bidi="zh-CN"/>
      </w:rPr>
    </w:lvl>
    <w:lvl w:ilvl="1" w:tentative="0">
      <w:start w:val="0"/>
      <w:numFmt w:val="bullet"/>
      <w:lvlText w:val="•"/>
      <w:lvlJc w:val="left"/>
      <w:pPr>
        <w:ind w:left="2205" w:hanging="313"/>
      </w:pPr>
      <w:rPr>
        <w:rFonts w:hint="default"/>
        <w:lang w:val="zh-CN" w:eastAsia="zh-CN" w:bidi="zh-CN"/>
      </w:rPr>
    </w:lvl>
    <w:lvl w:ilvl="2" w:tentative="0">
      <w:start w:val="0"/>
      <w:numFmt w:val="bullet"/>
      <w:lvlText w:val="•"/>
      <w:lvlJc w:val="left"/>
      <w:pPr>
        <w:ind w:left="3551" w:hanging="313"/>
      </w:pPr>
      <w:rPr>
        <w:rFonts w:hint="default"/>
        <w:lang w:val="zh-CN" w:eastAsia="zh-CN" w:bidi="zh-CN"/>
      </w:rPr>
    </w:lvl>
    <w:lvl w:ilvl="3" w:tentative="0">
      <w:start w:val="0"/>
      <w:numFmt w:val="bullet"/>
      <w:lvlText w:val="•"/>
      <w:lvlJc w:val="left"/>
      <w:pPr>
        <w:ind w:left="4897" w:hanging="313"/>
      </w:pPr>
      <w:rPr>
        <w:rFonts w:hint="default"/>
        <w:lang w:val="zh-CN" w:eastAsia="zh-CN" w:bidi="zh-CN"/>
      </w:rPr>
    </w:lvl>
    <w:lvl w:ilvl="4" w:tentative="0">
      <w:start w:val="0"/>
      <w:numFmt w:val="bullet"/>
      <w:lvlText w:val="•"/>
      <w:lvlJc w:val="left"/>
      <w:pPr>
        <w:ind w:left="6243" w:hanging="313"/>
      </w:pPr>
      <w:rPr>
        <w:rFonts w:hint="default"/>
        <w:lang w:val="zh-CN" w:eastAsia="zh-CN" w:bidi="zh-CN"/>
      </w:rPr>
    </w:lvl>
    <w:lvl w:ilvl="5" w:tentative="0">
      <w:start w:val="0"/>
      <w:numFmt w:val="bullet"/>
      <w:lvlText w:val="•"/>
      <w:lvlJc w:val="left"/>
      <w:pPr>
        <w:ind w:left="7589" w:hanging="313"/>
      </w:pPr>
      <w:rPr>
        <w:rFonts w:hint="default"/>
        <w:lang w:val="zh-CN" w:eastAsia="zh-CN" w:bidi="zh-CN"/>
      </w:rPr>
    </w:lvl>
    <w:lvl w:ilvl="6" w:tentative="0">
      <w:start w:val="0"/>
      <w:numFmt w:val="bullet"/>
      <w:lvlText w:val="•"/>
      <w:lvlJc w:val="left"/>
      <w:pPr>
        <w:ind w:left="8935" w:hanging="313"/>
      </w:pPr>
      <w:rPr>
        <w:rFonts w:hint="default"/>
        <w:lang w:val="zh-CN" w:eastAsia="zh-CN" w:bidi="zh-CN"/>
      </w:rPr>
    </w:lvl>
    <w:lvl w:ilvl="7" w:tentative="0">
      <w:start w:val="0"/>
      <w:numFmt w:val="bullet"/>
      <w:lvlText w:val="•"/>
      <w:lvlJc w:val="left"/>
      <w:pPr>
        <w:ind w:left="10280" w:hanging="313"/>
      </w:pPr>
      <w:rPr>
        <w:rFonts w:hint="default"/>
        <w:lang w:val="zh-CN" w:eastAsia="zh-CN" w:bidi="zh-CN"/>
      </w:rPr>
    </w:lvl>
    <w:lvl w:ilvl="8" w:tentative="0">
      <w:start w:val="0"/>
      <w:numFmt w:val="bullet"/>
      <w:lvlText w:val="•"/>
      <w:lvlJc w:val="left"/>
      <w:pPr>
        <w:ind w:left="11626" w:hanging="313"/>
      </w:pPr>
      <w:rPr>
        <w:rFonts w:hint="default"/>
        <w:lang w:val="zh-CN" w:eastAsia="zh-CN" w:bidi="zh-CN"/>
      </w:rPr>
    </w:lvl>
  </w:abstractNum>
  <w:abstractNum w:abstractNumId="8">
    <w:nsid w:val="F2508FAF"/>
    <w:multiLevelType w:val="singleLevel"/>
    <w:tmpl w:val="F2508FAF"/>
    <w:lvl w:ilvl="0" w:tentative="0">
      <w:start w:val="1"/>
      <w:numFmt w:val="chineseCounting"/>
      <w:suff w:val="space"/>
      <w:lvlText w:val="第%1章"/>
      <w:lvlJc w:val="left"/>
      <w:rPr>
        <w:rFonts w:hint="eastAsia"/>
      </w:rPr>
    </w:lvl>
  </w:abstractNum>
  <w:abstractNum w:abstractNumId="9">
    <w:nsid w:val="0248C179"/>
    <w:multiLevelType w:val="multilevel"/>
    <w:tmpl w:val="0248C179"/>
    <w:lvl w:ilvl="0" w:tentative="0">
      <w:start w:val="1"/>
      <w:numFmt w:val="decimal"/>
      <w:lvlText w:val="%1."/>
      <w:lvlJc w:val="left"/>
      <w:pPr>
        <w:ind w:left="120" w:hanging="202"/>
        <w:jc w:val="left"/>
      </w:pPr>
      <w:rPr>
        <w:rFonts w:hint="default" w:ascii="宋体" w:hAnsi="宋体" w:eastAsia="宋体" w:cs="宋体"/>
        <w:spacing w:val="-2"/>
        <w:w w:val="99"/>
        <w:sz w:val="18"/>
        <w:szCs w:val="18"/>
        <w:lang w:val="zh-CN" w:eastAsia="zh-CN" w:bidi="zh-CN"/>
      </w:rPr>
    </w:lvl>
    <w:lvl w:ilvl="1" w:tentative="0">
      <w:start w:val="0"/>
      <w:numFmt w:val="bullet"/>
      <w:lvlText w:val="•"/>
      <w:lvlJc w:val="left"/>
      <w:pPr>
        <w:ind w:left="1060" w:hanging="202"/>
      </w:pPr>
      <w:rPr>
        <w:rFonts w:hint="default"/>
        <w:lang w:val="zh-CN" w:eastAsia="zh-CN" w:bidi="zh-CN"/>
      </w:rPr>
    </w:lvl>
    <w:lvl w:ilvl="2" w:tentative="0">
      <w:start w:val="0"/>
      <w:numFmt w:val="bullet"/>
      <w:lvlText w:val="•"/>
      <w:lvlJc w:val="left"/>
      <w:pPr>
        <w:ind w:left="2001" w:hanging="202"/>
      </w:pPr>
      <w:rPr>
        <w:rFonts w:hint="default"/>
        <w:lang w:val="zh-CN" w:eastAsia="zh-CN" w:bidi="zh-CN"/>
      </w:rPr>
    </w:lvl>
    <w:lvl w:ilvl="3" w:tentative="0">
      <w:start w:val="0"/>
      <w:numFmt w:val="bullet"/>
      <w:lvlText w:val="•"/>
      <w:lvlJc w:val="left"/>
      <w:pPr>
        <w:ind w:left="2941" w:hanging="202"/>
      </w:pPr>
      <w:rPr>
        <w:rFonts w:hint="default"/>
        <w:lang w:val="zh-CN" w:eastAsia="zh-CN" w:bidi="zh-CN"/>
      </w:rPr>
    </w:lvl>
    <w:lvl w:ilvl="4" w:tentative="0">
      <w:start w:val="0"/>
      <w:numFmt w:val="bullet"/>
      <w:lvlText w:val="•"/>
      <w:lvlJc w:val="left"/>
      <w:pPr>
        <w:ind w:left="3882" w:hanging="202"/>
      </w:pPr>
      <w:rPr>
        <w:rFonts w:hint="default"/>
        <w:lang w:val="zh-CN" w:eastAsia="zh-CN" w:bidi="zh-CN"/>
      </w:rPr>
    </w:lvl>
    <w:lvl w:ilvl="5" w:tentative="0">
      <w:start w:val="0"/>
      <w:numFmt w:val="bullet"/>
      <w:lvlText w:val="•"/>
      <w:lvlJc w:val="left"/>
      <w:pPr>
        <w:ind w:left="4823" w:hanging="202"/>
      </w:pPr>
      <w:rPr>
        <w:rFonts w:hint="default"/>
        <w:lang w:val="zh-CN" w:eastAsia="zh-CN" w:bidi="zh-CN"/>
      </w:rPr>
    </w:lvl>
    <w:lvl w:ilvl="6" w:tentative="0">
      <w:start w:val="0"/>
      <w:numFmt w:val="bullet"/>
      <w:lvlText w:val="•"/>
      <w:lvlJc w:val="left"/>
      <w:pPr>
        <w:ind w:left="5763" w:hanging="202"/>
      </w:pPr>
      <w:rPr>
        <w:rFonts w:hint="default"/>
        <w:lang w:val="zh-CN" w:eastAsia="zh-CN" w:bidi="zh-CN"/>
      </w:rPr>
    </w:lvl>
    <w:lvl w:ilvl="7" w:tentative="0">
      <w:start w:val="0"/>
      <w:numFmt w:val="bullet"/>
      <w:lvlText w:val="•"/>
      <w:lvlJc w:val="left"/>
      <w:pPr>
        <w:ind w:left="6704" w:hanging="202"/>
      </w:pPr>
      <w:rPr>
        <w:rFonts w:hint="default"/>
        <w:lang w:val="zh-CN" w:eastAsia="zh-CN" w:bidi="zh-CN"/>
      </w:rPr>
    </w:lvl>
    <w:lvl w:ilvl="8" w:tentative="0">
      <w:start w:val="0"/>
      <w:numFmt w:val="bullet"/>
      <w:lvlText w:val="•"/>
      <w:lvlJc w:val="left"/>
      <w:pPr>
        <w:ind w:left="7644" w:hanging="202"/>
      </w:pPr>
      <w:rPr>
        <w:rFonts w:hint="default"/>
        <w:lang w:val="zh-CN" w:eastAsia="zh-CN" w:bidi="zh-CN"/>
      </w:rPr>
    </w:lvl>
  </w:abstractNum>
  <w:abstractNum w:abstractNumId="10">
    <w:nsid w:val="03D62ECE"/>
    <w:multiLevelType w:val="multilevel"/>
    <w:tmpl w:val="03D62ECE"/>
    <w:lvl w:ilvl="0" w:tentative="0">
      <w:start w:val="1"/>
      <w:numFmt w:val="decimal"/>
      <w:lvlText w:val="%1."/>
      <w:lvlJc w:val="left"/>
      <w:pPr>
        <w:ind w:left="120" w:hanging="303"/>
        <w:jc w:val="left"/>
      </w:pPr>
      <w:rPr>
        <w:rFonts w:hint="default" w:ascii="方正仿宋_GBK" w:hAnsi="方正仿宋_GBK" w:eastAsia="方正仿宋_GBK" w:cs="方正仿宋_GBK"/>
        <w:spacing w:val="-2"/>
        <w:w w:val="99"/>
        <w:sz w:val="30"/>
        <w:szCs w:val="30"/>
        <w:lang w:val="zh-CN" w:eastAsia="zh-CN" w:bidi="zh-CN"/>
      </w:rPr>
    </w:lvl>
    <w:lvl w:ilvl="1" w:tentative="0">
      <w:start w:val="0"/>
      <w:numFmt w:val="bullet"/>
      <w:lvlText w:val="•"/>
      <w:lvlJc w:val="left"/>
      <w:pPr>
        <w:ind w:left="978" w:hanging="303"/>
      </w:pPr>
      <w:rPr>
        <w:rFonts w:hint="default"/>
        <w:lang w:val="zh-CN" w:eastAsia="zh-CN" w:bidi="zh-CN"/>
      </w:rPr>
    </w:lvl>
    <w:lvl w:ilvl="2" w:tentative="0">
      <w:start w:val="0"/>
      <w:numFmt w:val="bullet"/>
      <w:lvlText w:val="•"/>
      <w:lvlJc w:val="left"/>
      <w:pPr>
        <w:ind w:left="1837" w:hanging="303"/>
      </w:pPr>
      <w:rPr>
        <w:rFonts w:hint="default"/>
        <w:lang w:val="zh-CN" w:eastAsia="zh-CN" w:bidi="zh-CN"/>
      </w:rPr>
    </w:lvl>
    <w:lvl w:ilvl="3" w:tentative="0">
      <w:start w:val="0"/>
      <w:numFmt w:val="bullet"/>
      <w:lvlText w:val="•"/>
      <w:lvlJc w:val="left"/>
      <w:pPr>
        <w:ind w:left="2695" w:hanging="303"/>
      </w:pPr>
      <w:rPr>
        <w:rFonts w:hint="default"/>
        <w:lang w:val="zh-CN" w:eastAsia="zh-CN" w:bidi="zh-CN"/>
      </w:rPr>
    </w:lvl>
    <w:lvl w:ilvl="4" w:tentative="0">
      <w:start w:val="0"/>
      <w:numFmt w:val="bullet"/>
      <w:lvlText w:val="•"/>
      <w:lvlJc w:val="left"/>
      <w:pPr>
        <w:ind w:left="3554" w:hanging="303"/>
      </w:pPr>
      <w:rPr>
        <w:rFonts w:hint="default"/>
        <w:lang w:val="zh-CN" w:eastAsia="zh-CN" w:bidi="zh-CN"/>
      </w:rPr>
    </w:lvl>
    <w:lvl w:ilvl="5" w:tentative="0">
      <w:start w:val="0"/>
      <w:numFmt w:val="bullet"/>
      <w:lvlText w:val="•"/>
      <w:lvlJc w:val="left"/>
      <w:pPr>
        <w:ind w:left="4413" w:hanging="303"/>
      </w:pPr>
      <w:rPr>
        <w:rFonts w:hint="default"/>
        <w:lang w:val="zh-CN" w:eastAsia="zh-CN" w:bidi="zh-CN"/>
      </w:rPr>
    </w:lvl>
    <w:lvl w:ilvl="6" w:tentative="0">
      <w:start w:val="0"/>
      <w:numFmt w:val="bullet"/>
      <w:lvlText w:val="•"/>
      <w:lvlJc w:val="left"/>
      <w:pPr>
        <w:ind w:left="5271" w:hanging="303"/>
      </w:pPr>
      <w:rPr>
        <w:rFonts w:hint="default"/>
        <w:lang w:val="zh-CN" w:eastAsia="zh-CN" w:bidi="zh-CN"/>
      </w:rPr>
    </w:lvl>
    <w:lvl w:ilvl="7" w:tentative="0">
      <w:start w:val="0"/>
      <w:numFmt w:val="bullet"/>
      <w:lvlText w:val="•"/>
      <w:lvlJc w:val="left"/>
      <w:pPr>
        <w:ind w:left="6130" w:hanging="303"/>
      </w:pPr>
      <w:rPr>
        <w:rFonts w:hint="default"/>
        <w:lang w:val="zh-CN" w:eastAsia="zh-CN" w:bidi="zh-CN"/>
      </w:rPr>
    </w:lvl>
    <w:lvl w:ilvl="8" w:tentative="0">
      <w:start w:val="0"/>
      <w:numFmt w:val="bullet"/>
      <w:lvlText w:val="•"/>
      <w:lvlJc w:val="left"/>
      <w:pPr>
        <w:ind w:left="6988" w:hanging="303"/>
      </w:pPr>
      <w:rPr>
        <w:rFonts w:hint="default"/>
        <w:lang w:val="zh-CN" w:eastAsia="zh-CN" w:bidi="zh-CN"/>
      </w:rPr>
    </w:lvl>
  </w:abstractNum>
  <w:abstractNum w:abstractNumId="11">
    <w:nsid w:val="12723BE2"/>
    <w:multiLevelType w:val="singleLevel"/>
    <w:tmpl w:val="12723BE2"/>
    <w:lvl w:ilvl="0" w:tentative="0">
      <w:start w:val="1"/>
      <w:numFmt w:val="chineseCounting"/>
      <w:suff w:val="space"/>
      <w:lvlText w:val="第%1章"/>
      <w:lvlJc w:val="left"/>
      <w:rPr>
        <w:rFonts w:hint="eastAsia"/>
      </w:rPr>
    </w:lvl>
  </w:abstractNum>
  <w:abstractNum w:abstractNumId="12">
    <w:nsid w:val="25B654F3"/>
    <w:multiLevelType w:val="multilevel"/>
    <w:tmpl w:val="25B654F3"/>
    <w:lvl w:ilvl="0" w:tentative="0">
      <w:start w:val="2"/>
      <w:numFmt w:val="decimal"/>
      <w:lvlText w:val="%1."/>
      <w:lvlJc w:val="left"/>
      <w:pPr>
        <w:ind w:left="1716" w:hanging="255"/>
        <w:jc w:val="left"/>
      </w:pPr>
      <w:rPr>
        <w:rFonts w:hint="default" w:ascii="方正仿宋_GBK" w:hAnsi="方正仿宋_GBK" w:eastAsia="方正仿宋_GBK" w:cs="方正仿宋_GBK"/>
        <w:spacing w:val="-1"/>
        <w:w w:val="99"/>
        <w:sz w:val="30"/>
        <w:szCs w:val="30"/>
        <w:lang w:val="zh-CN" w:eastAsia="zh-CN" w:bidi="zh-CN"/>
      </w:rPr>
    </w:lvl>
    <w:lvl w:ilvl="1" w:tentative="0">
      <w:start w:val="0"/>
      <w:numFmt w:val="bullet"/>
      <w:lvlText w:val="•"/>
      <w:lvlJc w:val="left"/>
      <w:pPr>
        <w:ind w:left="2500" w:hanging="255"/>
      </w:pPr>
      <w:rPr>
        <w:rFonts w:hint="default"/>
        <w:lang w:val="zh-CN" w:eastAsia="zh-CN" w:bidi="zh-CN"/>
      </w:rPr>
    </w:lvl>
    <w:lvl w:ilvl="2" w:tentative="0">
      <w:start w:val="0"/>
      <w:numFmt w:val="bullet"/>
      <w:lvlText w:val="•"/>
      <w:lvlJc w:val="left"/>
      <w:pPr>
        <w:ind w:left="3281" w:hanging="255"/>
      </w:pPr>
      <w:rPr>
        <w:rFonts w:hint="default"/>
        <w:lang w:val="zh-CN" w:eastAsia="zh-CN" w:bidi="zh-CN"/>
      </w:rPr>
    </w:lvl>
    <w:lvl w:ilvl="3" w:tentative="0">
      <w:start w:val="0"/>
      <w:numFmt w:val="bullet"/>
      <w:lvlText w:val="•"/>
      <w:lvlJc w:val="left"/>
      <w:pPr>
        <w:ind w:left="4061" w:hanging="255"/>
      </w:pPr>
      <w:rPr>
        <w:rFonts w:hint="default"/>
        <w:lang w:val="zh-CN" w:eastAsia="zh-CN" w:bidi="zh-CN"/>
      </w:rPr>
    </w:lvl>
    <w:lvl w:ilvl="4" w:tentative="0">
      <w:start w:val="0"/>
      <w:numFmt w:val="bullet"/>
      <w:lvlText w:val="•"/>
      <w:lvlJc w:val="left"/>
      <w:pPr>
        <w:ind w:left="4842" w:hanging="255"/>
      </w:pPr>
      <w:rPr>
        <w:rFonts w:hint="default"/>
        <w:lang w:val="zh-CN" w:eastAsia="zh-CN" w:bidi="zh-CN"/>
      </w:rPr>
    </w:lvl>
    <w:lvl w:ilvl="5" w:tentative="0">
      <w:start w:val="0"/>
      <w:numFmt w:val="bullet"/>
      <w:lvlText w:val="•"/>
      <w:lvlJc w:val="left"/>
      <w:pPr>
        <w:ind w:left="5623" w:hanging="255"/>
      </w:pPr>
      <w:rPr>
        <w:rFonts w:hint="default"/>
        <w:lang w:val="zh-CN" w:eastAsia="zh-CN" w:bidi="zh-CN"/>
      </w:rPr>
    </w:lvl>
    <w:lvl w:ilvl="6" w:tentative="0">
      <w:start w:val="0"/>
      <w:numFmt w:val="bullet"/>
      <w:lvlText w:val="•"/>
      <w:lvlJc w:val="left"/>
      <w:pPr>
        <w:ind w:left="6403" w:hanging="255"/>
      </w:pPr>
      <w:rPr>
        <w:rFonts w:hint="default"/>
        <w:lang w:val="zh-CN" w:eastAsia="zh-CN" w:bidi="zh-CN"/>
      </w:rPr>
    </w:lvl>
    <w:lvl w:ilvl="7" w:tentative="0">
      <w:start w:val="0"/>
      <w:numFmt w:val="bullet"/>
      <w:lvlText w:val="•"/>
      <w:lvlJc w:val="left"/>
      <w:pPr>
        <w:ind w:left="7184" w:hanging="255"/>
      </w:pPr>
      <w:rPr>
        <w:rFonts w:hint="default"/>
        <w:lang w:val="zh-CN" w:eastAsia="zh-CN" w:bidi="zh-CN"/>
      </w:rPr>
    </w:lvl>
    <w:lvl w:ilvl="8" w:tentative="0">
      <w:start w:val="0"/>
      <w:numFmt w:val="bullet"/>
      <w:lvlText w:val="•"/>
      <w:lvlJc w:val="left"/>
      <w:pPr>
        <w:ind w:left="7964" w:hanging="255"/>
      </w:pPr>
      <w:rPr>
        <w:rFonts w:hint="default"/>
        <w:lang w:val="zh-CN" w:eastAsia="zh-CN" w:bidi="zh-CN"/>
      </w:rPr>
    </w:lvl>
  </w:abstractNum>
  <w:abstractNum w:abstractNumId="13">
    <w:nsid w:val="29917731"/>
    <w:multiLevelType w:val="singleLevel"/>
    <w:tmpl w:val="29917731"/>
    <w:lvl w:ilvl="0" w:tentative="0">
      <w:start w:val="5"/>
      <w:numFmt w:val="chineseCounting"/>
      <w:suff w:val="space"/>
      <w:lvlText w:val="第%1章"/>
      <w:lvlJc w:val="left"/>
      <w:rPr>
        <w:rFonts w:hint="eastAsia"/>
      </w:rPr>
    </w:lvl>
  </w:abstractNum>
  <w:abstractNum w:abstractNumId="14">
    <w:nsid w:val="2A8F537B"/>
    <w:multiLevelType w:val="multilevel"/>
    <w:tmpl w:val="2A8F537B"/>
    <w:lvl w:ilvl="0" w:tentative="0">
      <w:start w:val="1"/>
      <w:numFmt w:val="decimal"/>
      <w:lvlText w:val="%1."/>
      <w:lvlJc w:val="left"/>
      <w:pPr>
        <w:ind w:left="120" w:hanging="202"/>
        <w:jc w:val="left"/>
      </w:pPr>
      <w:rPr>
        <w:rFonts w:hint="default" w:ascii="宋体" w:hAnsi="宋体" w:eastAsia="宋体" w:cs="宋体"/>
        <w:spacing w:val="-2"/>
        <w:w w:val="99"/>
        <w:sz w:val="18"/>
        <w:szCs w:val="18"/>
        <w:lang w:val="zh-CN" w:eastAsia="zh-CN" w:bidi="zh-CN"/>
      </w:rPr>
    </w:lvl>
    <w:lvl w:ilvl="1" w:tentative="0">
      <w:start w:val="0"/>
      <w:numFmt w:val="bullet"/>
      <w:lvlText w:val="•"/>
      <w:lvlJc w:val="left"/>
      <w:pPr>
        <w:ind w:left="1060" w:hanging="202"/>
      </w:pPr>
      <w:rPr>
        <w:rFonts w:hint="default"/>
        <w:lang w:val="zh-CN" w:eastAsia="zh-CN" w:bidi="zh-CN"/>
      </w:rPr>
    </w:lvl>
    <w:lvl w:ilvl="2" w:tentative="0">
      <w:start w:val="0"/>
      <w:numFmt w:val="bullet"/>
      <w:lvlText w:val="•"/>
      <w:lvlJc w:val="left"/>
      <w:pPr>
        <w:ind w:left="2001" w:hanging="202"/>
      </w:pPr>
      <w:rPr>
        <w:rFonts w:hint="default"/>
        <w:lang w:val="zh-CN" w:eastAsia="zh-CN" w:bidi="zh-CN"/>
      </w:rPr>
    </w:lvl>
    <w:lvl w:ilvl="3" w:tentative="0">
      <w:start w:val="0"/>
      <w:numFmt w:val="bullet"/>
      <w:lvlText w:val="•"/>
      <w:lvlJc w:val="left"/>
      <w:pPr>
        <w:ind w:left="2941" w:hanging="202"/>
      </w:pPr>
      <w:rPr>
        <w:rFonts w:hint="default"/>
        <w:lang w:val="zh-CN" w:eastAsia="zh-CN" w:bidi="zh-CN"/>
      </w:rPr>
    </w:lvl>
    <w:lvl w:ilvl="4" w:tentative="0">
      <w:start w:val="0"/>
      <w:numFmt w:val="bullet"/>
      <w:lvlText w:val="•"/>
      <w:lvlJc w:val="left"/>
      <w:pPr>
        <w:ind w:left="3882" w:hanging="202"/>
      </w:pPr>
      <w:rPr>
        <w:rFonts w:hint="default"/>
        <w:lang w:val="zh-CN" w:eastAsia="zh-CN" w:bidi="zh-CN"/>
      </w:rPr>
    </w:lvl>
    <w:lvl w:ilvl="5" w:tentative="0">
      <w:start w:val="0"/>
      <w:numFmt w:val="bullet"/>
      <w:lvlText w:val="•"/>
      <w:lvlJc w:val="left"/>
      <w:pPr>
        <w:ind w:left="4823" w:hanging="202"/>
      </w:pPr>
      <w:rPr>
        <w:rFonts w:hint="default"/>
        <w:lang w:val="zh-CN" w:eastAsia="zh-CN" w:bidi="zh-CN"/>
      </w:rPr>
    </w:lvl>
    <w:lvl w:ilvl="6" w:tentative="0">
      <w:start w:val="0"/>
      <w:numFmt w:val="bullet"/>
      <w:lvlText w:val="•"/>
      <w:lvlJc w:val="left"/>
      <w:pPr>
        <w:ind w:left="5763" w:hanging="202"/>
      </w:pPr>
      <w:rPr>
        <w:rFonts w:hint="default"/>
        <w:lang w:val="zh-CN" w:eastAsia="zh-CN" w:bidi="zh-CN"/>
      </w:rPr>
    </w:lvl>
    <w:lvl w:ilvl="7" w:tentative="0">
      <w:start w:val="0"/>
      <w:numFmt w:val="bullet"/>
      <w:lvlText w:val="•"/>
      <w:lvlJc w:val="left"/>
      <w:pPr>
        <w:ind w:left="6704" w:hanging="202"/>
      </w:pPr>
      <w:rPr>
        <w:rFonts w:hint="default"/>
        <w:lang w:val="zh-CN" w:eastAsia="zh-CN" w:bidi="zh-CN"/>
      </w:rPr>
    </w:lvl>
    <w:lvl w:ilvl="8" w:tentative="0">
      <w:start w:val="0"/>
      <w:numFmt w:val="bullet"/>
      <w:lvlText w:val="•"/>
      <w:lvlJc w:val="left"/>
      <w:pPr>
        <w:ind w:left="7644" w:hanging="202"/>
      </w:pPr>
      <w:rPr>
        <w:rFonts w:hint="default"/>
        <w:lang w:val="zh-CN" w:eastAsia="zh-CN" w:bidi="zh-CN"/>
      </w:rPr>
    </w:lvl>
  </w:abstractNum>
  <w:abstractNum w:abstractNumId="15">
    <w:nsid w:val="35E0D9E1"/>
    <w:multiLevelType w:val="singleLevel"/>
    <w:tmpl w:val="35E0D9E1"/>
    <w:lvl w:ilvl="0" w:tentative="0">
      <w:start w:val="1"/>
      <w:numFmt w:val="chineseCounting"/>
      <w:suff w:val="nothing"/>
      <w:lvlText w:val="（%1）"/>
      <w:lvlJc w:val="left"/>
      <w:rPr>
        <w:rFonts w:hint="eastAsia"/>
      </w:rPr>
    </w:lvl>
  </w:abstractNum>
  <w:abstractNum w:abstractNumId="16">
    <w:nsid w:val="360C5054"/>
    <w:multiLevelType w:val="singleLevel"/>
    <w:tmpl w:val="360C5054"/>
    <w:lvl w:ilvl="0" w:tentative="0">
      <w:start w:val="1"/>
      <w:numFmt w:val="chineseCounting"/>
      <w:suff w:val="space"/>
      <w:lvlText w:val="第%1条"/>
      <w:lvlJc w:val="left"/>
      <w:pPr>
        <w:ind w:left="-10"/>
      </w:pPr>
      <w:rPr>
        <w:rFonts w:hint="eastAsia" w:ascii="方正楷体_GBK" w:hAnsi="方正楷体_GBK" w:eastAsia="方正楷体_GBK" w:cs="方正楷体_GBK"/>
        <w:b/>
        <w:bCs/>
        <w:sz w:val="32"/>
        <w:szCs w:val="32"/>
      </w:rPr>
    </w:lvl>
  </w:abstractNum>
  <w:abstractNum w:abstractNumId="17">
    <w:nsid w:val="4B959835"/>
    <w:multiLevelType w:val="singleLevel"/>
    <w:tmpl w:val="4B959835"/>
    <w:lvl w:ilvl="0" w:tentative="0">
      <w:start w:val="1"/>
      <w:numFmt w:val="chineseCounting"/>
      <w:suff w:val="space"/>
      <w:lvlText w:val="第%1篇"/>
      <w:lvlJc w:val="left"/>
      <w:rPr>
        <w:rFonts w:hint="eastAsia"/>
      </w:rPr>
    </w:lvl>
  </w:abstractNum>
  <w:abstractNum w:abstractNumId="18">
    <w:nsid w:val="4D5FBB32"/>
    <w:multiLevelType w:val="singleLevel"/>
    <w:tmpl w:val="4D5FBB32"/>
    <w:lvl w:ilvl="0" w:tentative="0">
      <w:start w:val="6"/>
      <w:numFmt w:val="chineseCounting"/>
      <w:suff w:val="space"/>
      <w:lvlText w:val="第%1章"/>
      <w:lvlJc w:val="left"/>
      <w:rPr>
        <w:rFonts w:hint="eastAsia"/>
      </w:rPr>
    </w:lvl>
  </w:abstractNum>
  <w:abstractNum w:abstractNumId="19">
    <w:nsid w:val="4FDD1DAB"/>
    <w:multiLevelType w:val="singleLevel"/>
    <w:tmpl w:val="4FDD1DAB"/>
    <w:lvl w:ilvl="0" w:tentative="0">
      <w:start w:val="4"/>
      <w:numFmt w:val="chineseCounting"/>
      <w:suff w:val="space"/>
      <w:lvlText w:val="第%1章"/>
      <w:lvlJc w:val="left"/>
      <w:rPr>
        <w:rFonts w:hint="eastAsia"/>
      </w:rPr>
    </w:lvl>
  </w:abstractNum>
  <w:abstractNum w:abstractNumId="20">
    <w:nsid w:val="72183CF9"/>
    <w:multiLevelType w:val="multilevel"/>
    <w:tmpl w:val="72183CF9"/>
    <w:lvl w:ilvl="0" w:tentative="0">
      <w:start w:val="1"/>
      <w:numFmt w:val="decimal"/>
      <w:lvlText w:val="%1."/>
      <w:lvlJc w:val="left"/>
      <w:pPr>
        <w:ind w:left="120" w:hanging="202"/>
        <w:jc w:val="left"/>
      </w:pPr>
      <w:rPr>
        <w:rFonts w:hint="default" w:ascii="宋体" w:hAnsi="宋体" w:eastAsia="宋体" w:cs="宋体"/>
        <w:spacing w:val="-2"/>
        <w:w w:val="99"/>
        <w:sz w:val="18"/>
        <w:szCs w:val="18"/>
        <w:lang w:val="zh-CN" w:eastAsia="zh-CN" w:bidi="zh-CN"/>
      </w:rPr>
    </w:lvl>
    <w:lvl w:ilvl="1" w:tentative="0">
      <w:start w:val="0"/>
      <w:numFmt w:val="bullet"/>
      <w:lvlText w:val="•"/>
      <w:lvlJc w:val="left"/>
      <w:pPr>
        <w:ind w:left="1060" w:hanging="202"/>
      </w:pPr>
      <w:rPr>
        <w:rFonts w:hint="default"/>
        <w:lang w:val="zh-CN" w:eastAsia="zh-CN" w:bidi="zh-CN"/>
      </w:rPr>
    </w:lvl>
    <w:lvl w:ilvl="2" w:tentative="0">
      <w:start w:val="0"/>
      <w:numFmt w:val="bullet"/>
      <w:lvlText w:val="•"/>
      <w:lvlJc w:val="left"/>
      <w:pPr>
        <w:ind w:left="2001" w:hanging="202"/>
      </w:pPr>
      <w:rPr>
        <w:rFonts w:hint="default"/>
        <w:lang w:val="zh-CN" w:eastAsia="zh-CN" w:bidi="zh-CN"/>
      </w:rPr>
    </w:lvl>
    <w:lvl w:ilvl="3" w:tentative="0">
      <w:start w:val="0"/>
      <w:numFmt w:val="bullet"/>
      <w:lvlText w:val="•"/>
      <w:lvlJc w:val="left"/>
      <w:pPr>
        <w:ind w:left="2941" w:hanging="202"/>
      </w:pPr>
      <w:rPr>
        <w:rFonts w:hint="default"/>
        <w:lang w:val="zh-CN" w:eastAsia="zh-CN" w:bidi="zh-CN"/>
      </w:rPr>
    </w:lvl>
    <w:lvl w:ilvl="4" w:tentative="0">
      <w:start w:val="0"/>
      <w:numFmt w:val="bullet"/>
      <w:lvlText w:val="•"/>
      <w:lvlJc w:val="left"/>
      <w:pPr>
        <w:ind w:left="3882" w:hanging="202"/>
      </w:pPr>
      <w:rPr>
        <w:rFonts w:hint="default"/>
        <w:lang w:val="zh-CN" w:eastAsia="zh-CN" w:bidi="zh-CN"/>
      </w:rPr>
    </w:lvl>
    <w:lvl w:ilvl="5" w:tentative="0">
      <w:start w:val="0"/>
      <w:numFmt w:val="bullet"/>
      <w:lvlText w:val="•"/>
      <w:lvlJc w:val="left"/>
      <w:pPr>
        <w:ind w:left="4823" w:hanging="202"/>
      </w:pPr>
      <w:rPr>
        <w:rFonts w:hint="default"/>
        <w:lang w:val="zh-CN" w:eastAsia="zh-CN" w:bidi="zh-CN"/>
      </w:rPr>
    </w:lvl>
    <w:lvl w:ilvl="6" w:tentative="0">
      <w:start w:val="0"/>
      <w:numFmt w:val="bullet"/>
      <w:lvlText w:val="•"/>
      <w:lvlJc w:val="left"/>
      <w:pPr>
        <w:ind w:left="5763" w:hanging="202"/>
      </w:pPr>
      <w:rPr>
        <w:rFonts w:hint="default"/>
        <w:lang w:val="zh-CN" w:eastAsia="zh-CN" w:bidi="zh-CN"/>
      </w:rPr>
    </w:lvl>
    <w:lvl w:ilvl="7" w:tentative="0">
      <w:start w:val="0"/>
      <w:numFmt w:val="bullet"/>
      <w:lvlText w:val="•"/>
      <w:lvlJc w:val="left"/>
      <w:pPr>
        <w:ind w:left="6704" w:hanging="202"/>
      </w:pPr>
      <w:rPr>
        <w:rFonts w:hint="default"/>
        <w:lang w:val="zh-CN" w:eastAsia="zh-CN" w:bidi="zh-CN"/>
      </w:rPr>
    </w:lvl>
    <w:lvl w:ilvl="8" w:tentative="0">
      <w:start w:val="0"/>
      <w:numFmt w:val="bullet"/>
      <w:lvlText w:val="•"/>
      <w:lvlJc w:val="left"/>
      <w:pPr>
        <w:ind w:left="7644" w:hanging="202"/>
      </w:pPr>
      <w:rPr>
        <w:rFonts w:hint="default"/>
        <w:lang w:val="zh-CN" w:eastAsia="zh-CN" w:bidi="zh-CN"/>
      </w:rPr>
    </w:lvl>
  </w:abstractNum>
  <w:num w:numId="1">
    <w:abstractNumId w:val="17"/>
  </w:num>
  <w:num w:numId="2">
    <w:abstractNumId w:val="11"/>
  </w:num>
  <w:num w:numId="3">
    <w:abstractNumId w:val="18"/>
  </w:num>
  <w:num w:numId="4">
    <w:abstractNumId w:val="5"/>
  </w:num>
  <w:num w:numId="5">
    <w:abstractNumId w:val="4"/>
  </w:num>
  <w:num w:numId="6">
    <w:abstractNumId w:val="10"/>
  </w:num>
  <w:num w:numId="7">
    <w:abstractNumId w:val="19"/>
  </w:num>
  <w:num w:numId="8">
    <w:abstractNumId w:val="12"/>
  </w:num>
  <w:num w:numId="9">
    <w:abstractNumId w:val="20"/>
  </w:num>
  <w:num w:numId="10">
    <w:abstractNumId w:val="9"/>
  </w:num>
  <w:num w:numId="11">
    <w:abstractNumId w:val="1"/>
  </w:num>
  <w:num w:numId="12">
    <w:abstractNumId w:val="14"/>
  </w:num>
  <w:num w:numId="13">
    <w:abstractNumId w:val="6"/>
  </w:num>
  <w:num w:numId="14">
    <w:abstractNumId w:val="16"/>
  </w:num>
  <w:num w:numId="15">
    <w:abstractNumId w:val="0"/>
  </w:num>
  <w:num w:numId="16">
    <w:abstractNumId w:val="3"/>
  </w:num>
  <w:num w:numId="17">
    <w:abstractNumId w:val="15"/>
  </w:num>
  <w:num w:numId="18">
    <w:abstractNumId w:val="8"/>
  </w:num>
  <w:num w:numId="19">
    <w:abstractNumId w:val="13"/>
  </w:num>
  <w:num w:numId="20">
    <w:abstractNumId w:val="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4YzM3YWYzYmMwNDZhMDUzMmZiNzA1NGU3ZDY1ZDkifQ=="/>
  </w:docVars>
  <w:rsids>
    <w:rsidRoot w:val="0055569B"/>
    <w:rsid w:val="000068D4"/>
    <w:rsid w:val="00103EC8"/>
    <w:rsid w:val="00196EA3"/>
    <w:rsid w:val="001C5109"/>
    <w:rsid w:val="00200734"/>
    <w:rsid w:val="002F1DD7"/>
    <w:rsid w:val="003930C4"/>
    <w:rsid w:val="003A6851"/>
    <w:rsid w:val="004F69CB"/>
    <w:rsid w:val="00521824"/>
    <w:rsid w:val="00534466"/>
    <w:rsid w:val="0054682B"/>
    <w:rsid w:val="0055569B"/>
    <w:rsid w:val="00611153"/>
    <w:rsid w:val="006A5323"/>
    <w:rsid w:val="006A7B9E"/>
    <w:rsid w:val="006D4E48"/>
    <w:rsid w:val="007328B5"/>
    <w:rsid w:val="00746D72"/>
    <w:rsid w:val="007977F3"/>
    <w:rsid w:val="00857357"/>
    <w:rsid w:val="008E72EF"/>
    <w:rsid w:val="009274EB"/>
    <w:rsid w:val="00983333"/>
    <w:rsid w:val="00A70549"/>
    <w:rsid w:val="00B629DF"/>
    <w:rsid w:val="00B90C4B"/>
    <w:rsid w:val="00C4095F"/>
    <w:rsid w:val="00C92CA3"/>
    <w:rsid w:val="00CB4105"/>
    <w:rsid w:val="00CC2860"/>
    <w:rsid w:val="00E61DDD"/>
    <w:rsid w:val="00EC50DC"/>
    <w:rsid w:val="00FF7811"/>
    <w:rsid w:val="018F3007"/>
    <w:rsid w:val="01AD641D"/>
    <w:rsid w:val="01C92F27"/>
    <w:rsid w:val="01E833A4"/>
    <w:rsid w:val="01FF389D"/>
    <w:rsid w:val="0232533B"/>
    <w:rsid w:val="023B4A42"/>
    <w:rsid w:val="024431D5"/>
    <w:rsid w:val="02472A38"/>
    <w:rsid w:val="027278E3"/>
    <w:rsid w:val="02944504"/>
    <w:rsid w:val="02D45B6D"/>
    <w:rsid w:val="03647448"/>
    <w:rsid w:val="036E67C9"/>
    <w:rsid w:val="038027A9"/>
    <w:rsid w:val="03AE1339"/>
    <w:rsid w:val="041355FB"/>
    <w:rsid w:val="043639AB"/>
    <w:rsid w:val="045B0264"/>
    <w:rsid w:val="048B3CEC"/>
    <w:rsid w:val="04903A3B"/>
    <w:rsid w:val="04C61BC0"/>
    <w:rsid w:val="054B1981"/>
    <w:rsid w:val="0558171F"/>
    <w:rsid w:val="055F2605"/>
    <w:rsid w:val="056026F1"/>
    <w:rsid w:val="056E6A84"/>
    <w:rsid w:val="05D312B3"/>
    <w:rsid w:val="06575DDC"/>
    <w:rsid w:val="0672169A"/>
    <w:rsid w:val="06752458"/>
    <w:rsid w:val="06767323"/>
    <w:rsid w:val="067A6E23"/>
    <w:rsid w:val="067F09FF"/>
    <w:rsid w:val="070F60EB"/>
    <w:rsid w:val="073B62BD"/>
    <w:rsid w:val="075330F9"/>
    <w:rsid w:val="07C92941"/>
    <w:rsid w:val="07F00745"/>
    <w:rsid w:val="07F40EB6"/>
    <w:rsid w:val="081049CB"/>
    <w:rsid w:val="08192622"/>
    <w:rsid w:val="08375ACD"/>
    <w:rsid w:val="085E2F82"/>
    <w:rsid w:val="087A7831"/>
    <w:rsid w:val="08824A67"/>
    <w:rsid w:val="08B0744A"/>
    <w:rsid w:val="08C73DDE"/>
    <w:rsid w:val="08CA22A3"/>
    <w:rsid w:val="08DC74B7"/>
    <w:rsid w:val="08F50910"/>
    <w:rsid w:val="090B042A"/>
    <w:rsid w:val="090F273E"/>
    <w:rsid w:val="091E55F2"/>
    <w:rsid w:val="097C0A70"/>
    <w:rsid w:val="0980270B"/>
    <w:rsid w:val="09B96952"/>
    <w:rsid w:val="0A0F0E0A"/>
    <w:rsid w:val="0A2F2825"/>
    <w:rsid w:val="0A316C64"/>
    <w:rsid w:val="0A721977"/>
    <w:rsid w:val="0A7662C9"/>
    <w:rsid w:val="0A880175"/>
    <w:rsid w:val="0A9B1BE3"/>
    <w:rsid w:val="0AA5529D"/>
    <w:rsid w:val="0AB7038C"/>
    <w:rsid w:val="0ADF1744"/>
    <w:rsid w:val="0B071917"/>
    <w:rsid w:val="0B206C05"/>
    <w:rsid w:val="0B4A0CB4"/>
    <w:rsid w:val="0B712C61"/>
    <w:rsid w:val="0B741A76"/>
    <w:rsid w:val="0B9B6658"/>
    <w:rsid w:val="0BCA7789"/>
    <w:rsid w:val="0BDA3511"/>
    <w:rsid w:val="0BEB756A"/>
    <w:rsid w:val="0C080E92"/>
    <w:rsid w:val="0C2778B1"/>
    <w:rsid w:val="0C32029E"/>
    <w:rsid w:val="0C356BFB"/>
    <w:rsid w:val="0C8E00C1"/>
    <w:rsid w:val="0CCB565D"/>
    <w:rsid w:val="0CDA50E1"/>
    <w:rsid w:val="0DA91E88"/>
    <w:rsid w:val="0DD25099"/>
    <w:rsid w:val="0DEB6BD1"/>
    <w:rsid w:val="0E0A6876"/>
    <w:rsid w:val="0E160F91"/>
    <w:rsid w:val="0E6C1DA7"/>
    <w:rsid w:val="0E6E3849"/>
    <w:rsid w:val="0E6F47D0"/>
    <w:rsid w:val="0E6F49AA"/>
    <w:rsid w:val="0E775780"/>
    <w:rsid w:val="0EA60A83"/>
    <w:rsid w:val="0ED21376"/>
    <w:rsid w:val="0F396D26"/>
    <w:rsid w:val="0F633AAF"/>
    <w:rsid w:val="0F781653"/>
    <w:rsid w:val="0F8A63A0"/>
    <w:rsid w:val="0F934FBC"/>
    <w:rsid w:val="0FA23164"/>
    <w:rsid w:val="0FB31DC5"/>
    <w:rsid w:val="0FC11AD9"/>
    <w:rsid w:val="0FF2714F"/>
    <w:rsid w:val="0FF95DB3"/>
    <w:rsid w:val="10027836"/>
    <w:rsid w:val="100E280A"/>
    <w:rsid w:val="101E749A"/>
    <w:rsid w:val="10385DDC"/>
    <w:rsid w:val="105347C9"/>
    <w:rsid w:val="105B2F4B"/>
    <w:rsid w:val="105C129C"/>
    <w:rsid w:val="10600F2E"/>
    <w:rsid w:val="108027C1"/>
    <w:rsid w:val="10907E47"/>
    <w:rsid w:val="109D2BAA"/>
    <w:rsid w:val="10A4489C"/>
    <w:rsid w:val="10E836FC"/>
    <w:rsid w:val="10F34799"/>
    <w:rsid w:val="112E66BA"/>
    <w:rsid w:val="117E5C83"/>
    <w:rsid w:val="11D47334"/>
    <w:rsid w:val="11F80EF0"/>
    <w:rsid w:val="123F2F33"/>
    <w:rsid w:val="124C7530"/>
    <w:rsid w:val="12553D6C"/>
    <w:rsid w:val="125700DB"/>
    <w:rsid w:val="128A1BCB"/>
    <w:rsid w:val="12A406CA"/>
    <w:rsid w:val="12D20BED"/>
    <w:rsid w:val="12D9638C"/>
    <w:rsid w:val="12EA2BFA"/>
    <w:rsid w:val="12EA47A9"/>
    <w:rsid w:val="13BA32EC"/>
    <w:rsid w:val="13C94CB8"/>
    <w:rsid w:val="13CA3AC8"/>
    <w:rsid w:val="13D5130E"/>
    <w:rsid w:val="14112672"/>
    <w:rsid w:val="14113281"/>
    <w:rsid w:val="14140CA4"/>
    <w:rsid w:val="1420761C"/>
    <w:rsid w:val="14364C06"/>
    <w:rsid w:val="14612A07"/>
    <w:rsid w:val="1462023A"/>
    <w:rsid w:val="147978DE"/>
    <w:rsid w:val="14C750F7"/>
    <w:rsid w:val="14E63FC3"/>
    <w:rsid w:val="14ED0326"/>
    <w:rsid w:val="150A2B6F"/>
    <w:rsid w:val="152B2288"/>
    <w:rsid w:val="155771C7"/>
    <w:rsid w:val="15613F1E"/>
    <w:rsid w:val="159F1B63"/>
    <w:rsid w:val="15D7070F"/>
    <w:rsid w:val="15F27557"/>
    <w:rsid w:val="165A2970"/>
    <w:rsid w:val="16924E9C"/>
    <w:rsid w:val="16C450B3"/>
    <w:rsid w:val="170B3FCF"/>
    <w:rsid w:val="1726527E"/>
    <w:rsid w:val="175F7B93"/>
    <w:rsid w:val="176A53B3"/>
    <w:rsid w:val="17A66F21"/>
    <w:rsid w:val="17B8586B"/>
    <w:rsid w:val="17C90389"/>
    <w:rsid w:val="180C0045"/>
    <w:rsid w:val="181B37A3"/>
    <w:rsid w:val="18464BFB"/>
    <w:rsid w:val="18727233"/>
    <w:rsid w:val="18954796"/>
    <w:rsid w:val="18B173DC"/>
    <w:rsid w:val="18D77D5C"/>
    <w:rsid w:val="18F030A8"/>
    <w:rsid w:val="19215573"/>
    <w:rsid w:val="19334BC9"/>
    <w:rsid w:val="19550C67"/>
    <w:rsid w:val="19BE03E4"/>
    <w:rsid w:val="19DD6EA9"/>
    <w:rsid w:val="19EC2437"/>
    <w:rsid w:val="1A1D14AE"/>
    <w:rsid w:val="1A423C9E"/>
    <w:rsid w:val="1A5D1887"/>
    <w:rsid w:val="1A734383"/>
    <w:rsid w:val="1A805BB5"/>
    <w:rsid w:val="1A813D39"/>
    <w:rsid w:val="1A8F38ED"/>
    <w:rsid w:val="1A9906EA"/>
    <w:rsid w:val="1B0B7A1D"/>
    <w:rsid w:val="1B244047"/>
    <w:rsid w:val="1B3A1841"/>
    <w:rsid w:val="1B513316"/>
    <w:rsid w:val="1B762D07"/>
    <w:rsid w:val="1BA05F73"/>
    <w:rsid w:val="1BB12ADA"/>
    <w:rsid w:val="1BBF0DD2"/>
    <w:rsid w:val="1BBF793F"/>
    <w:rsid w:val="1BC044FB"/>
    <w:rsid w:val="1BFB7492"/>
    <w:rsid w:val="1BFC035B"/>
    <w:rsid w:val="1C25700D"/>
    <w:rsid w:val="1C3664DC"/>
    <w:rsid w:val="1C4B69F4"/>
    <w:rsid w:val="1C561FC3"/>
    <w:rsid w:val="1C620A7E"/>
    <w:rsid w:val="1C81066D"/>
    <w:rsid w:val="1C882842"/>
    <w:rsid w:val="1C9E4D58"/>
    <w:rsid w:val="1CA626D5"/>
    <w:rsid w:val="1CB076C9"/>
    <w:rsid w:val="1CCB27FF"/>
    <w:rsid w:val="1D214D54"/>
    <w:rsid w:val="1D305AEC"/>
    <w:rsid w:val="1D321A74"/>
    <w:rsid w:val="1D746D43"/>
    <w:rsid w:val="1D7640E9"/>
    <w:rsid w:val="1DBF468B"/>
    <w:rsid w:val="1E18767D"/>
    <w:rsid w:val="1E724712"/>
    <w:rsid w:val="1E763D17"/>
    <w:rsid w:val="1F0C742D"/>
    <w:rsid w:val="1F192B7F"/>
    <w:rsid w:val="1F86364D"/>
    <w:rsid w:val="1FB40E75"/>
    <w:rsid w:val="1FCE1061"/>
    <w:rsid w:val="1FE40550"/>
    <w:rsid w:val="2004663C"/>
    <w:rsid w:val="20216806"/>
    <w:rsid w:val="202F4C3F"/>
    <w:rsid w:val="20AD77D1"/>
    <w:rsid w:val="20B85D10"/>
    <w:rsid w:val="20C12A61"/>
    <w:rsid w:val="20FC7F59"/>
    <w:rsid w:val="210C3E26"/>
    <w:rsid w:val="21355F21"/>
    <w:rsid w:val="21774A7B"/>
    <w:rsid w:val="21C718DF"/>
    <w:rsid w:val="21DB4773"/>
    <w:rsid w:val="21E806D3"/>
    <w:rsid w:val="22055BF7"/>
    <w:rsid w:val="222B77E5"/>
    <w:rsid w:val="22313089"/>
    <w:rsid w:val="2237129A"/>
    <w:rsid w:val="2249684F"/>
    <w:rsid w:val="225A67AD"/>
    <w:rsid w:val="226E00DF"/>
    <w:rsid w:val="2290202C"/>
    <w:rsid w:val="22AC742A"/>
    <w:rsid w:val="22BD567B"/>
    <w:rsid w:val="22DF2EA0"/>
    <w:rsid w:val="22F11B5E"/>
    <w:rsid w:val="23014A1E"/>
    <w:rsid w:val="23414016"/>
    <w:rsid w:val="23510CA0"/>
    <w:rsid w:val="23A47432"/>
    <w:rsid w:val="24403EF8"/>
    <w:rsid w:val="245356DD"/>
    <w:rsid w:val="24A860E9"/>
    <w:rsid w:val="24BF6DA3"/>
    <w:rsid w:val="24F533E4"/>
    <w:rsid w:val="25116434"/>
    <w:rsid w:val="257057B9"/>
    <w:rsid w:val="25807C74"/>
    <w:rsid w:val="25840779"/>
    <w:rsid w:val="25CC795E"/>
    <w:rsid w:val="25D677FE"/>
    <w:rsid w:val="25D91D8A"/>
    <w:rsid w:val="25E11CA8"/>
    <w:rsid w:val="25E96E7B"/>
    <w:rsid w:val="25F6446B"/>
    <w:rsid w:val="26002506"/>
    <w:rsid w:val="26083742"/>
    <w:rsid w:val="26322BA6"/>
    <w:rsid w:val="266D28C9"/>
    <w:rsid w:val="26C01A21"/>
    <w:rsid w:val="270C45B2"/>
    <w:rsid w:val="27172A0D"/>
    <w:rsid w:val="27221F7E"/>
    <w:rsid w:val="272C6876"/>
    <w:rsid w:val="275B5720"/>
    <w:rsid w:val="27B777E1"/>
    <w:rsid w:val="27E575BC"/>
    <w:rsid w:val="27ED085D"/>
    <w:rsid w:val="27F05FFF"/>
    <w:rsid w:val="28082261"/>
    <w:rsid w:val="280F02BF"/>
    <w:rsid w:val="282A079F"/>
    <w:rsid w:val="28D32CB0"/>
    <w:rsid w:val="28DB513E"/>
    <w:rsid w:val="29086341"/>
    <w:rsid w:val="29240418"/>
    <w:rsid w:val="2928641D"/>
    <w:rsid w:val="29663B6F"/>
    <w:rsid w:val="29AD13B9"/>
    <w:rsid w:val="29BB43A6"/>
    <w:rsid w:val="29C71D96"/>
    <w:rsid w:val="29D425F3"/>
    <w:rsid w:val="29F40784"/>
    <w:rsid w:val="2A0203B9"/>
    <w:rsid w:val="2A1B43FF"/>
    <w:rsid w:val="2A276BA3"/>
    <w:rsid w:val="2A3976BC"/>
    <w:rsid w:val="2A8F3821"/>
    <w:rsid w:val="2AB67BE1"/>
    <w:rsid w:val="2AC109ED"/>
    <w:rsid w:val="2AD44AA3"/>
    <w:rsid w:val="2AE25698"/>
    <w:rsid w:val="2AFE1406"/>
    <w:rsid w:val="2B1968CA"/>
    <w:rsid w:val="2BB37649"/>
    <w:rsid w:val="2C2F52A1"/>
    <w:rsid w:val="2C566A7B"/>
    <w:rsid w:val="2C943CFE"/>
    <w:rsid w:val="2CB90037"/>
    <w:rsid w:val="2CC03C13"/>
    <w:rsid w:val="2CEF037E"/>
    <w:rsid w:val="2D1D5273"/>
    <w:rsid w:val="2D857BC5"/>
    <w:rsid w:val="2DBB6ED3"/>
    <w:rsid w:val="2DE802B8"/>
    <w:rsid w:val="2E152F36"/>
    <w:rsid w:val="2E3579CD"/>
    <w:rsid w:val="2E36019A"/>
    <w:rsid w:val="2E815FD9"/>
    <w:rsid w:val="2E896685"/>
    <w:rsid w:val="2E981E34"/>
    <w:rsid w:val="2E9B0DDE"/>
    <w:rsid w:val="2ECD058C"/>
    <w:rsid w:val="2EEC23B4"/>
    <w:rsid w:val="2F556FE1"/>
    <w:rsid w:val="2F5E3972"/>
    <w:rsid w:val="2F7A2F1A"/>
    <w:rsid w:val="2F856C8D"/>
    <w:rsid w:val="2FB220D6"/>
    <w:rsid w:val="2FCD61EA"/>
    <w:rsid w:val="2FFC1969"/>
    <w:rsid w:val="301044DB"/>
    <w:rsid w:val="30785C0C"/>
    <w:rsid w:val="309A1863"/>
    <w:rsid w:val="30D42D79"/>
    <w:rsid w:val="30D62A7E"/>
    <w:rsid w:val="30E4623D"/>
    <w:rsid w:val="3164372E"/>
    <w:rsid w:val="316E7340"/>
    <w:rsid w:val="31866C2F"/>
    <w:rsid w:val="3188205D"/>
    <w:rsid w:val="31AB40EE"/>
    <w:rsid w:val="31AB6179"/>
    <w:rsid w:val="31B10310"/>
    <w:rsid w:val="31C60634"/>
    <w:rsid w:val="31E71312"/>
    <w:rsid w:val="31EC3D91"/>
    <w:rsid w:val="320A22D3"/>
    <w:rsid w:val="321E6FFE"/>
    <w:rsid w:val="32A27422"/>
    <w:rsid w:val="32A6578C"/>
    <w:rsid w:val="32A747CC"/>
    <w:rsid w:val="33315654"/>
    <w:rsid w:val="333F610D"/>
    <w:rsid w:val="33D97772"/>
    <w:rsid w:val="3400536A"/>
    <w:rsid w:val="3409304D"/>
    <w:rsid w:val="341743F5"/>
    <w:rsid w:val="34953625"/>
    <w:rsid w:val="349B2848"/>
    <w:rsid w:val="34F97435"/>
    <w:rsid w:val="355B4849"/>
    <w:rsid w:val="358C1FE7"/>
    <w:rsid w:val="35AA3D24"/>
    <w:rsid w:val="35C8531C"/>
    <w:rsid w:val="35CD7C11"/>
    <w:rsid w:val="368B21D6"/>
    <w:rsid w:val="36D31EDD"/>
    <w:rsid w:val="371A5523"/>
    <w:rsid w:val="37446D2F"/>
    <w:rsid w:val="37462BB8"/>
    <w:rsid w:val="374D40DF"/>
    <w:rsid w:val="3766687C"/>
    <w:rsid w:val="37E74508"/>
    <w:rsid w:val="38484BBC"/>
    <w:rsid w:val="38686A37"/>
    <w:rsid w:val="38CE4DCD"/>
    <w:rsid w:val="38E32495"/>
    <w:rsid w:val="39084680"/>
    <w:rsid w:val="390E006F"/>
    <w:rsid w:val="39122724"/>
    <w:rsid w:val="39241A6B"/>
    <w:rsid w:val="393F7A59"/>
    <w:rsid w:val="39551982"/>
    <w:rsid w:val="39765B4D"/>
    <w:rsid w:val="39954F88"/>
    <w:rsid w:val="39987605"/>
    <w:rsid w:val="3A5C410A"/>
    <w:rsid w:val="3A5F165A"/>
    <w:rsid w:val="3AB74E7A"/>
    <w:rsid w:val="3AC1750A"/>
    <w:rsid w:val="3AE067E8"/>
    <w:rsid w:val="3AF53206"/>
    <w:rsid w:val="3B222244"/>
    <w:rsid w:val="3B511FF4"/>
    <w:rsid w:val="3B603816"/>
    <w:rsid w:val="3B795CEA"/>
    <w:rsid w:val="3B8F2F30"/>
    <w:rsid w:val="3B94418A"/>
    <w:rsid w:val="3BBD55CD"/>
    <w:rsid w:val="3BD0476D"/>
    <w:rsid w:val="3C282305"/>
    <w:rsid w:val="3C5B59A8"/>
    <w:rsid w:val="3CAA7CD6"/>
    <w:rsid w:val="3CBC04D3"/>
    <w:rsid w:val="3CDF53EB"/>
    <w:rsid w:val="3D031A04"/>
    <w:rsid w:val="3D5429E6"/>
    <w:rsid w:val="3D8C68F7"/>
    <w:rsid w:val="3DE80903"/>
    <w:rsid w:val="3DF3060E"/>
    <w:rsid w:val="3DF726EB"/>
    <w:rsid w:val="3E11542C"/>
    <w:rsid w:val="3E407AAF"/>
    <w:rsid w:val="3E606C71"/>
    <w:rsid w:val="3F134F7F"/>
    <w:rsid w:val="3F27092E"/>
    <w:rsid w:val="3F472C0F"/>
    <w:rsid w:val="3FA54FED"/>
    <w:rsid w:val="3FF62DFA"/>
    <w:rsid w:val="40415E17"/>
    <w:rsid w:val="40AE6D91"/>
    <w:rsid w:val="40B631BB"/>
    <w:rsid w:val="40C02A42"/>
    <w:rsid w:val="40D41B30"/>
    <w:rsid w:val="40EE3148"/>
    <w:rsid w:val="41185F99"/>
    <w:rsid w:val="41362082"/>
    <w:rsid w:val="41395311"/>
    <w:rsid w:val="414D29E8"/>
    <w:rsid w:val="415C73D7"/>
    <w:rsid w:val="41C227A7"/>
    <w:rsid w:val="420D7D65"/>
    <w:rsid w:val="424E2E43"/>
    <w:rsid w:val="425B5747"/>
    <w:rsid w:val="42950B9C"/>
    <w:rsid w:val="42B847F7"/>
    <w:rsid w:val="42DA6EF6"/>
    <w:rsid w:val="431726D1"/>
    <w:rsid w:val="431E11AE"/>
    <w:rsid w:val="439A0FE7"/>
    <w:rsid w:val="43C505F1"/>
    <w:rsid w:val="43D74CE3"/>
    <w:rsid w:val="43EC6677"/>
    <w:rsid w:val="43FC5C25"/>
    <w:rsid w:val="440E208E"/>
    <w:rsid w:val="4422361E"/>
    <w:rsid w:val="44402C86"/>
    <w:rsid w:val="44485577"/>
    <w:rsid w:val="446F0B4F"/>
    <w:rsid w:val="449B6956"/>
    <w:rsid w:val="44CF75C6"/>
    <w:rsid w:val="45542F96"/>
    <w:rsid w:val="459D2A51"/>
    <w:rsid w:val="45A674F6"/>
    <w:rsid w:val="45BD102B"/>
    <w:rsid w:val="45F24FDB"/>
    <w:rsid w:val="45F94897"/>
    <w:rsid w:val="45FE107E"/>
    <w:rsid w:val="460274C0"/>
    <w:rsid w:val="46217820"/>
    <w:rsid w:val="462D37A3"/>
    <w:rsid w:val="463527C1"/>
    <w:rsid w:val="46F01054"/>
    <w:rsid w:val="470D2DCF"/>
    <w:rsid w:val="47273237"/>
    <w:rsid w:val="474F17B5"/>
    <w:rsid w:val="475541EB"/>
    <w:rsid w:val="47701ED1"/>
    <w:rsid w:val="47974D0E"/>
    <w:rsid w:val="47FB1510"/>
    <w:rsid w:val="47FE36DC"/>
    <w:rsid w:val="485A71E7"/>
    <w:rsid w:val="48940731"/>
    <w:rsid w:val="48EF3554"/>
    <w:rsid w:val="49160C88"/>
    <w:rsid w:val="49471C69"/>
    <w:rsid w:val="494C1168"/>
    <w:rsid w:val="49613D56"/>
    <w:rsid w:val="497031FE"/>
    <w:rsid w:val="49BD5B31"/>
    <w:rsid w:val="49C952A6"/>
    <w:rsid w:val="49DB288D"/>
    <w:rsid w:val="49FA32DC"/>
    <w:rsid w:val="4A110E94"/>
    <w:rsid w:val="4A2826F0"/>
    <w:rsid w:val="4A344B14"/>
    <w:rsid w:val="4A9179BC"/>
    <w:rsid w:val="4A9B39C5"/>
    <w:rsid w:val="4A9B7DAB"/>
    <w:rsid w:val="4AE90964"/>
    <w:rsid w:val="4B246727"/>
    <w:rsid w:val="4B48763B"/>
    <w:rsid w:val="4B6F3B48"/>
    <w:rsid w:val="4B7005EE"/>
    <w:rsid w:val="4B7F16F7"/>
    <w:rsid w:val="4B910895"/>
    <w:rsid w:val="4C4164E5"/>
    <w:rsid w:val="4C4E2D1A"/>
    <w:rsid w:val="4C7E4D1F"/>
    <w:rsid w:val="4CB9368F"/>
    <w:rsid w:val="4CD6764F"/>
    <w:rsid w:val="4CF2622C"/>
    <w:rsid w:val="4D05544D"/>
    <w:rsid w:val="4D292D99"/>
    <w:rsid w:val="4D2E736F"/>
    <w:rsid w:val="4D333DAA"/>
    <w:rsid w:val="4DFC46EF"/>
    <w:rsid w:val="4E256EE4"/>
    <w:rsid w:val="4E58728D"/>
    <w:rsid w:val="4E844869"/>
    <w:rsid w:val="4E8B69D4"/>
    <w:rsid w:val="4E8F4ED8"/>
    <w:rsid w:val="4E9A323D"/>
    <w:rsid w:val="4EA24B94"/>
    <w:rsid w:val="4EA93266"/>
    <w:rsid w:val="4EAA57BC"/>
    <w:rsid w:val="4EC55D78"/>
    <w:rsid w:val="4ED437F2"/>
    <w:rsid w:val="4EDA4124"/>
    <w:rsid w:val="4EF24494"/>
    <w:rsid w:val="4EFE0C14"/>
    <w:rsid w:val="4F037358"/>
    <w:rsid w:val="4F1F6D64"/>
    <w:rsid w:val="4F2A7BAB"/>
    <w:rsid w:val="4F391F2C"/>
    <w:rsid w:val="4F6C1E0C"/>
    <w:rsid w:val="4F852BFF"/>
    <w:rsid w:val="501001F7"/>
    <w:rsid w:val="50187523"/>
    <w:rsid w:val="50563417"/>
    <w:rsid w:val="505F5011"/>
    <w:rsid w:val="50C75D12"/>
    <w:rsid w:val="50D340D7"/>
    <w:rsid w:val="513F1016"/>
    <w:rsid w:val="515613A5"/>
    <w:rsid w:val="51653EFE"/>
    <w:rsid w:val="51D25ED6"/>
    <w:rsid w:val="51E12A52"/>
    <w:rsid w:val="527C05C3"/>
    <w:rsid w:val="52A90CE4"/>
    <w:rsid w:val="52AD5041"/>
    <w:rsid w:val="52C61007"/>
    <w:rsid w:val="52DA6C64"/>
    <w:rsid w:val="53093043"/>
    <w:rsid w:val="53166B7E"/>
    <w:rsid w:val="53703FA1"/>
    <w:rsid w:val="537C2468"/>
    <w:rsid w:val="5387592B"/>
    <w:rsid w:val="538A3832"/>
    <w:rsid w:val="543B614E"/>
    <w:rsid w:val="5456599B"/>
    <w:rsid w:val="545E3A8C"/>
    <w:rsid w:val="54667781"/>
    <w:rsid w:val="546D273B"/>
    <w:rsid w:val="54BC0307"/>
    <w:rsid w:val="54C2184F"/>
    <w:rsid w:val="54C923CA"/>
    <w:rsid w:val="553B7E15"/>
    <w:rsid w:val="558F6457"/>
    <w:rsid w:val="55AA027E"/>
    <w:rsid w:val="55D430EC"/>
    <w:rsid w:val="55DE0FE0"/>
    <w:rsid w:val="55ED3B6A"/>
    <w:rsid w:val="564C55F1"/>
    <w:rsid w:val="56C74671"/>
    <w:rsid w:val="56EA4DFA"/>
    <w:rsid w:val="574E06FD"/>
    <w:rsid w:val="57522F99"/>
    <w:rsid w:val="57643BD9"/>
    <w:rsid w:val="577576B2"/>
    <w:rsid w:val="57940721"/>
    <w:rsid w:val="57A57D68"/>
    <w:rsid w:val="57B76803"/>
    <w:rsid w:val="57C42046"/>
    <w:rsid w:val="580570D8"/>
    <w:rsid w:val="58153261"/>
    <w:rsid w:val="58157DD2"/>
    <w:rsid w:val="581B3C44"/>
    <w:rsid w:val="582C55F9"/>
    <w:rsid w:val="58303794"/>
    <w:rsid w:val="58461971"/>
    <w:rsid w:val="588030B8"/>
    <w:rsid w:val="58B9088D"/>
    <w:rsid w:val="58CA54CF"/>
    <w:rsid w:val="58E418BE"/>
    <w:rsid w:val="58F6613B"/>
    <w:rsid w:val="592E7F1A"/>
    <w:rsid w:val="59D35090"/>
    <w:rsid w:val="59D6575A"/>
    <w:rsid w:val="59ED6B37"/>
    <w:rsid w:val="59F347BC"/>
    <w:rsid w:val="5A0741B4"/>
    <w:rsid w:val="5A527293"/>
    <w:rsid w:val="5A630DFA"/>
    <w:rsid w:val="5A9B1906"/>
    <w:rsid w:val="5AA413BF"/>
    <w:rsid w:val="5AAE6C9A"/>
    <w:rsid w:val="5AC03CC2"/>
    <w:rsid w:val="5AE458E6"/>
    <w:rsid w:val="5B1373B3"/>
    <w:rsid w:val="5B3B5003"/>
    <w:rsid w:val="5B4B578B"/>
    <w:rsid w:val="5B630E50"/>
    <w:rsid w:val="5BE5781A"/>
    <w:rsid w:val="5BF8631A"/>
    <w:rsid w:val="5C0D16AC"/>
    <w:rsid w:val="5C17705B"/>
    <w:rsid w:val="5C6E5EDA"/>
    <w:rsid w:val="5C8E7830"/>
    <w:rsid w:val="5CA80468"/>
    <w:rsid w:val="5CD57A53"/>
    <w:rsid w:val="5CDD6ED4"/>
    <w:rsid w:val="5CED1969"/>
    <w:rsid w:val="5D2D4E12"/>
    <w:rsid w:val="5D62152C"/>
    <w:rsid w:val="5D706FBD"/>
    <w:rsid w:val="5D8D145B"/>
    <w:rsid w:val="5DAD6EB4"/>
    <w:rsid w:val="5DE93BA9"/>
    <w:rsid w:val="5E031C07"/>
    <w:rsid w:val="5E353040"/>
    <w:rsid w:val="5E3D4EC8"/>
    <w:rsid w:val="5E9B28E2"/>
    <w:rsid w:val="5EB16F29"/>
    <w:rsid w:val="5EFD4A5B"/>
    <w:rsid w:val="5F346729"/>
    <w:rsid w:val="5F4A1124"/>
    <w:rsid w:val="5F5313B0"/>
    <w:rsid w:val="5F79466B"/>
    <w:rsid w:val="5FAE2BD8"/>
    <w:rsid w:val="5FDB7855"/>
    <w:rsid w:val="5FE5768F"/>
    <w:rsid w:val="600824D7"/>
    <w:rsid w:val="6015532F"/>
    <w:rsid w:val="604D0965"/>
    <w:rsid w:val="60560759"/>
    <w:rsid w:val="60636EA0"/>
    <w:rsid w:val="608E18D3"/>
    <w:rsid w:val="60B85AA5"/>
    <w:rsid w:val="60BF0FB1"/>
    <w:rsid w:val="60FF5E56"/>
    <w:rsid w:val="610135DD"/>
    <w:rsid w:val="612543EC"/>
    <w:rsid w:val="6165422F"/>
    <w:rsid w:val="616744A2"/>
    <w:rsid w:val="61956BF1"/>
    <w:rsid w:val="61D702BC"/>
    <w:rsid w:val="621946DB"/>
    <w:rsid w:val="62326E2F"/>
    <w:rsid w:val="62365F94"/>
    <w:rsid w:val="629C1217"/>
    <w:rsid w:val="62BC5F9F"/>
    <w:rsid w:val="62C66095"/>
    <w:rsid w:val="62F37E7C"/>
    <w:rsid w:val="630031E7"/>
    <w:rsid w:val="633F131A"/>
    <w:rsid w:val="63472E0B"/>
    <w:rsid w:val="63715BB1"/>
    <w:rsid w:val="63785A91"/>
    <w:rsid w:val="638D5385"/>
    <w:rsid w:val="63B024EF"/>
    <w:rsid w:val="63CC2606"/>
    <w:rsid w:val="63CD798D"/>
    <w:rsid w:val="641110CC"/>
    <w:rsid w:val="64296857"/>
    <w:rsid w:val="642A61AB"/>
    <w:rsid w:val="64502A56"/>
    <w:rsid w:val="645D7124"/>
    <w:rsid w:val="6499284C"/>
    <w:rsid w:val="64C41264"/>
    <w:rsid w:val="64CF040A"/>
    <w:rsid w:val="64D2386A"/>
    <w:rsid w:val="64FF7BA6"/>
    <w:rsid w:val="650672BD"/>
    <w:rsid w:val="651F7FF7"/>
    <w:rsid w:val="653361C3"/>
    <w:rsid w:val="655F3763"/>
    <w:rsid w:val="65B20695"/>
    <w:rsid w:val="65CE6989"/>
    <w:rsid w:val="65F32787"/>
    <w:rsid w:val="661123AA"/>
    <w:rsid w:val="66207633"/>
    <w:rsid w:val="663A6C6E"/>
    <w:rsid w:val="665E3BE1"/>
    <w:rsid w:val="666D4BB2"/>
    <w:rsid w:val="667313D3"/>
    <w:rsid w:val="668D6AE8"/>
    <w:rsid w:val="66A77698"/>
    <w:rsid w:val="66AE2620"/>
    <w:rsid w:val="66BC58AB"/>
    <w:rsid w:val="66D869A0"/>
    <w:rsid w:val="66E6795B"/>
    <w:rsid w:val="672A2AC7"/>
    <w:rsid w:val="67355407"/>
    <w:rsid w:val="681A75A4"/>
    <w:rsid w:val="6841087B"/>
    <w:rsid w:val="68427DE9"/>
    <w:rsid w:val="68455CF6"/>
    <w:rsid w:val="68546612"/>
    <w:rsid w:val="68974EB6"/>
    <w:rsid w:val="68B04F86"/>
    <w:rsid w:val="68E5696D"/>
    <w:rsid w:val="691D3EFD"/>
    <w:rsid w:val="695312C3"/>
    <w:rsid w:val="695F26E1"/>
    <w:rsid w:val="69653D43"/>
    <w:rsid w:val="69BF2310"/>
    <w:rsid w:val="6A1163CD"/>
    <w:rsid w:val="6A204DF0"/>
    <w:rsid w:val="6A4D13D2"/>
    <w:rsid w:val="6A7D4DA7"/>
    <w:rsid w:val="6A9D3F20"/>
    <w:rsid w:val="6AA07B29"/>
    <w:rsid w:val="6AB12744"/>
    <w:rsid w:val="6AF028F7"/>
    <w:rsid w:val="6AF569B3"/>
    <w:rsid w:val="6B233D1E"/>
    <w:rsid w:val="6B673FCD"/>
    <w:rsid w:val="6B843205"/>
    <w:rsid w:val="6B915E93"/>
    <w:rsid w:val="6BCC5FB6"/>
    <w:rsid w:val="6BCF68BE"/>
    <w:rsid w:val="6BE86B77"/>
    <w:rsid w:val="6C0515EF"/>
    <w:rsid w:val="6C3D3739"/>
    <w:rsid w:val="6C440710"/>
    <w:rsid w:val="6C531B25"/>
    <w:rsid w:val="6C6A6DFB"/>
    <w:rsid w:val="6C9551C7"/>
    <w:rsid w:val="6C962D7F"/>
    <w:rsid w:val="6CA16B03"/>
    <w:rsid w:val="6CB36C5F"/>
    <w:rsid w:val="6CC717A9"/>
    <w:rsid w:val="6CF668A1"/>
    <w:rsid w:val="6D04168F"/>
    <w:rsid w:val="6D1924A9"/>
    <w:rsid w:val="6D3A2324"/>
    <w:rsid w:val="6D4C66E1"/>
    <w:rsid w:val="6D562D4C"/>
    <w:rsid w:val="6D6F2C96"/>
    <w:rsid w:val="6D7633D3"/>
    <w:rsid w:val="6D7A3DC2"/>
    <w:rsid w:val="6D861901"/>
    <w:rsid w:val="6D882C42"/>
    <w:rsid w:val="6D9D778B"/>
    <w:rsid w:val="6E1317BA"/>
    <w:rsid w:val="6E19439B"/>
    <w:rsid w:val="6E1A627D"/>
    <w:rsid w:val="6E462510"/>
    <w:rsid w:val="6E4A1BFA"/>
    <w:rsid w:val="6E5F4256"/>
    <w:rsid w:val="6E91128C"/>
    <w:rsid w:val="6EAA4FC9"/>
    <w:rsid w:val="6EC67B1A"/>
    <w:rsid w:val="6EC83B10"/>
    <w:rsid w:val="6F25227A"/>
    <w:rsid w:val="6F3A35C5"/>
    <w:rsid w:val="6F527D24"/>
    <w:rsid w:val="6F533FE8"/>
    <w:rsid w:val="6F693948"/>
    <w:rsid w:val="6FCB133F"/>
    <w:rsid w:val="6FE829B4"/>
    <w:rsid w:val="6FEE3D65"/>
    <w:rsid w:val="6FF033A7"/>
    <w:rsid w:val="700A54C2"/>
    <w:rsid w:val="700A5FF9"/>
    <w:rsid w:val="700E2C38"/>
    <w:rsid w:val="70450812"/>
    <w:rsid w:val="708A2E9A"/>
    <w:rsid w:val="70BE5865"/>
    <w:rsid w:val="710A1B42"/>
    <w:rsid w:val="710D431D"/>
    <w:rsid w:val="718E15D9"/>
    <w:rsid w:val="721C428C"/>
    <w:rsid w:val="721D722A"/>
    <w:rsid w:val="7242118A"/>
    <w:rsid w:val="72490D3A"/>
    <w:rsid w:val="72755DBD"/>
    <w:rsid w:val="728C2FAB"/>
    <w:rsid w:val="72DE539D"/>
    <w:rsid w:val="72ED6382"/>
    <w:rsid w:val="73252371"/>
    <w:rsid w:val="73490229"/>
    <w:rsid w:val="73905246"/>
    <w:rsid w:val="73982ED9"/>
    <w:rsid w:val="73B153B2"/>
    <w:rsid w:val="73C804CC"/>
    <w:rsid w:val="73E155B4"/>
    <w:rsid w:val="73ED45F8"/>
    <w:rsid w:val="73FF76C5"/>
    <w:rsid w:val="744161C6"/>
    <w:rsid w:val="7455530A"/>
    <w:rsid w:val="74822F52"/>
    <w:rsid w:val="74904171"/>
    <w:rsid w:val="74D36E4C"/>
    <w:rsid w:val="753D558A"/>
    <w:rsid w:val="753F5BEB"/>
    <w:rsid w:val="757613EC"/>
    <w:rsid w:val="75A53275"/>
    <w:rsid w:val="75BD0D2C"/>
    <w:rsid w:val="75C770DF"/>
    <w:rsid w:val="75D96F2C"/>
    <w:rsid w:val="761B28A0"/>
    <w:rsid w:val="76475D19"/>
    <w:rsid w:val="766B54D7"/>
    <w:rsid w:val="767A0930"/>
    <w:rsid w:val="76A81C3E"/>
    <w:rsid w:val="76A827F7"/>
    <w:rsid w:val="76FC2BEA"/>
    <w:rsid w:val="7711542C"/>
    <w:rsid w:val="77241FA3"/>
    <w:rsid w:val="77305FDB"/>
    <w:rsid w:val="775D26E3"/>
    <w:rsid w:val="77645000"/>
    <w:rsid w:val="776A2327"/>
    <w:rsid w:val="77787268"/>
    <w:rsid w:val="77952404"/>
    <w:rsid w:val="77AC0E5B"/>
    <w:rsid w:val="77D539CE"/>
    <w:rsid w:val="77EB05E1"/>
    <w:rsid w:val="78252D9C"/>
    <w:rsid w:val="785C2872"/>
    <w:rsid w:val="787607E3"/>
    <w:rsid w:val="789E5D11"/>
    <w:rsid w:val="78B858C1"/>
    <w:rsid w:val="78C63A2F"/>
    <w:rsid w:val="78FE1F5F"/>
    <w:rsid w:val="79230A2E"/>
    <w:rsid w:val="79530F44"/>
    <w:rsid w:val="79722F59"/>
    <w:rsid w:val="797D76ED"/>
    <w:rsid w:val="79993A9B"/>
    <w:rsid w:val="79B03873"/>
    <w:rsid w:val="79B537B5"/>
    <w:rsid w:val="79FF3214"/>
    <w:rsid w:val="7A020521"/>
    <w:rsid w:val="7A1B6DC4"/>
    <w:rsid w:val="7A1E3018"/>
    <w:rsid w:val="7A363ECA"/>
    <w:rsid w:val="7A634481"/>
    <w:rsid w:val="7A8E2FB4"/>
    <w:rsid w:val="7A9872B4"/>
    <w:rsid w:val="7A99760A"/>
    <w:rsid w:val="7AE10896"/>
    <w:rsid w:val="7AFB63CC"/>
    <w:rsid w:val="7B0D2966"/>
    <w:rsid w:val="7B1505E2"/>
    <w:rsid w:val="7B1579C9"/>
    <w:rsid w:val="7B674924"/>
    <w:rsid w:val="7B754163"/>
    <w:rsid w:val="7B767897"/>
    <w:rsid w:val="7B9904B8"/>
    <w:rsid w:val="7BA83127"/>
    <w:rsid w:val="7BAA255D"/>
    <w:rsid w:val="7BB676A6"/>
    <w:rsid w:val="7C031295"/>
    <w:rsid w:val="7C0E0751"/>
    <w:rsid w:val="7C12418F"/>
    <w:rsid w:val="7C273280"/>
    <w:rsid w:val="7C2B5AE4"/>
    <w:rsid w:val="7C8971B2"/>
    <w:rsid w:val="7C957CDC"/>
    <w:rsid w:val="7CA5757B"/>
    <w:rsid w:val="7CC43069"/>
    <w:rsid w:val="7D187E27"/>
    <w:rsid w:val="7D5048EC"/>
    <w:rsid w:val="7D8A125E"/>
    <w:rsid w:val="7D8E2A31"/>
    <w:rsid w:val="7DA9206C"/>
    <w:rsid w:val="7DB435E1"/>
    <w:rsid w:val="7DB64027"/>
    <w:rsid w:val="7DCD5944"/>
    <w:rsid w:val="7DD55759"/>
    <w:rsid w:val="7DFD5179"/>
    <w:rsid w:val="7E4D38B7"/>
    <w:rsid w:val="7E506E96"/>
    <w:rsid w:val="7E510D06"/>
    <w:rsid w:val="7E801A0C"/>
    <w:rsid w:val="7E9D0824"/>
    <w:rsid w:val="7EA2259D"/>
    <w:rsid w:val="7ECD6CBC"/>
    <w:rsid w:val="7EEE764C"/>
    <w:rsid w:val="7F0F139E"/>
    <w:rsid w:val="7F2547CC"/>
    <w:rsid w:val="7F323C09"/>
    <w:rsid w:val="7F356020"/>
    <w:rsid w:val="7F5D2FD4"/>
    <w:rsid w:val="7F654FC7"/>
    <w:rsid w:val="7F8B32FC"/>
    <w:rsid w:val="7F8F1676"/>
    <w:rsid w:val="7F923345"/>
    <w:rsid w:val="7FE568DA"/>
    <w:rsid w:val="7FF41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snapToGrid w:val="0"/>
      <w:spacing w:before="50" w:beforeLines="50" w:line="192" w:lineRule="auto"/>
      <w:ind w:firstLine="200" w:firstLineChars="200"/>
      <w:jc w:val="center"/>
      <w:outlineLvl w:val="0"/>
    </w:pPr>
    <w:rPr>
      <w:rFonts w:ascii="宋体" w:hAnsi="宋体" w:eastAsia="方正黑体_GBK" w:cs="Times New Roman"/>
      <w:b/>
      <w:kern w:val="44"/>
      <w:sz w:val="36"/>
      <w:szCs w:val="48"/>
    </w:rPr>
  </w:style>
  <w:style w:type="paragraph" w:styleId="3">
    <w:name w:val="heading 2"/>
    <w:basedOn w:val="1"/>
    <w:next w:val="1"/>
    <w:link w:val="28"/>
    <w:unhideWhenUsed/>
    <w:qFormat/>
    <w:uiPriority w:val="9"/>
    <w:pPr>
      <w:keepNext/>
      <w:keepLines/>
      <w:spacing w:line="312" w:lineRule="auto"/>
      <w:jc w:val="center"/>
      <w:outlineLvl w:val="1"/>
    </w:pPr>
    <w:rPr>
      <w:rFonts w:eastAsia="黑体" w:asciiTheme="majorHAnsi" w:hAnsiTheme="majorHAnsi" w:cstheme="majorBidi"/>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Body Text"/>
    <w:basedOn w:val="1"/>
    <w:qFormat/>
    <w:uiPriority w:val="1"/>
    <w:pPr>
      <w:ind w:left="120"/>
    </w:pPr>
    <w:rPr>
      <w:rFonts w:ascii="方正仿宋_GBK" w:hAnsi="方正仿宋_GBK" w:eastAsia="方正仿宋_GBK" w:cs="方正仿宋_GBK"/>
      <w:sz w:val="32"/>
      <w:szCs w:val="32"/>
      <w:lang w:val="zh-CN" w:eastAsia="zh-CN" w:bidi="zh-CN"/>
    </w:rPr>
  </w:style>
  <w:style w:type="paragraph" w:styleId="7">
    <w:name w:val="toc 5"/>
    <w:basedOn w:val="1"/>
    <w:next w:val="1"/>
    <w:unhideWhenUsed/>
    <w:qFormat/>
    <w:uiPriority w:val="39"/>
    <w:pPr>
      <w:ind w:left="1680" w:leftChars="800"/>
    </w:pPr>
  </w:style>
  <w:style w:type="paragraph" w:styleId="8">
    <w:name w:val="toc 3"/>
    <w:basedOn w:val="1"/>
    <w:next w:val="1"/>
    <w:unhideWhenUsed/>
    <w:qFormat/>
    <w:uiPriority w:val="39"/>
    <w:pPr>
      <w:ind w:left="840" w:leftChars="400"/>
    </w:pPr>
  </w:style>
  <w:style w:type="paragraph" w:styleId="9">
    <w:name w:val="toc 8"/>
    <w:basedOn w:val="1"/>
    <w:next w:val="1"/>
    <w:unhideWhenUsed/>
    <w:qFormat/>
    <w:uiPriority w:val="39"/>
    <w:pPr>
      <w:ind w:left="2940" w:leftChars="1400"/>
    </w:pPr>
  </w:style>
  <w:style w:type="paragraph" w:styleId="10">
    <w:name w:val="Body Text Indent 2"/>
    <w:basedOn w:val="1"/>
    <w:link w:val="30"/>
    <w:qFormat/>
    <w:uiPriority w:val="0"/>
    <w:pPr>
      <w:spacing w:line="480" w:lineRule="exact"/>
      <w:ind w:firstLine="560" w:firstLineChars="200"/>
    </w:pPr>
    <w:rPr>
      <w:rFonts w:ascii="Times New Roman" w:hAnsi="Times New Roman" w:eastAsia="宋体" w:cs="Times New Roman"/>
      <w:sz w:val="28"/>
      <w:szCs w:val="20"/>
    </w:rPr>
  </w:style>
  <w:style w:type="paragraph" w:styleId="11">
    <w:name w:val="Balloon Text"/>
    <w:basedOn w:val="1"/>
    <w:link w:val="37"/>
    <w:semiHidden/>
    <w:unhideWhenUsed/>
    <w:qFormat/>
    <w:uiPriority w:val="99"/>
    <w:rPr>
      <w:sz w:val="18"/>
      <w:szCs w:val="18"/>
    </w:rPr>
  </w:style>
  <w:style w:type="paragraph" w:styleId="12">
    <w:name w:val="footer"/>
    <w:basedOn w:val="1"/>
    <w:link w:val="31"/>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toc 4"/>
    <w:basedOn w:val="1"/>
    <w:next w:val="1"/>
    <w:unhideWhenUsed/>
    <w:qFormat/>
    <w:uiPriority w:val="39"/>
    <w:pPr>
      <w:ind w:left="1260" w:leftChars="600"/>
    </w:pPr>
  </w:style>
  <w:style w:type="paragraph" w:styleId="16">
    <w:name w:val="footnote text"/>
    <w:basedOn w:val="1"/>
    <w:semiHidden/>
    <w:qFormat/>
    <w:uiPriority w:val="99"/>
    <w:pPr>
      <w:snapToGrid w:val="0"/>
      <w:jc w:val="left"/>
    </w:pPr>
    <w:rPr>
      <w:rFonts w:ascii="Times New Roman" w:hAnsi="Times New Roman"/>
      <w:sz w:val="18"/>
      <w:szCs w:val="18"/>
    </w:rPr>
  </w:style>
  <w:style w:type="paragraph" w:styleId="17">
    <w:name w:val="toc 6"/>
    <w:basedOn w:val="1"/>
    <w:next w:val="1"/>
    <w:unhideWhenUsed/>
    <w:qFormat/>
    <w:uiPriority w:val="39"/>
    <w:pPr>
      <w:ind w:left="2100" w:leftChars="1000"/>
    </w:pPr>
  </w:style>
  <w:style w:type="paragraph" w:styleId="18">
    <w:name w:val="toc 2"/>
    <w:basedOn w:val="1"/>
    <w:next w:val="1"/>
    <w:unhideWhenUsed/>
    <w:qFormat/>
    <w:uiPriority w:val="39"/>
    <w:pPr>
      <w:ind w:left="420" w:leftChars="200"/>
    </w:pPr>
  </w:style>
  <w:style w:type="paragraph" w:styleId="19">
    <w:name w:val="toc 9"/>
    <w:basedOn w:val="1"/>
    <w:next w:val="1"/>
    <w:unhideWhenUsed/>
    <w:qFormat/>
    <w:uiPriority w:val="39"/>
    <w:pPr>
      <w:ind w:left="3360" w:leftChars="1600"/>
    </w:pPr>
  </w:style>
  <w:style w:type="paragraph" w:styleId="20">
    <w:name w:val="Body Text 2"/>
    <w:basedOn w:val="1"/>
    <w:semiHidden/>
    <w:qFormat/>
    <w:uiPriority w:val="0"/>
    <w:pPr>
      <w:spacing w:after="120" w:line="480" w:lineRule="auto"/>
    </w:pPr>
  </w:style>
  <w:style w:type="paragraph" w:styleId="21">
    <w:name w:val="Normal (Web)"/>
    <w:basedOn w:val="1"/>
    <w:qFormat/>
    <w:uiPriority w:val="99"/>
    <w:pPr>
      <w:spacing w:beforeAutospacing="1" w:afterAutospacing="1" w:line="312" w:lineRule="auto"/>
      <w:ind w:firstLine="200" w:firstLineChars="200"/>
      <w:jc w:val="left"/>
    </w:pPr>
    <w:rPr>
      <w:rFonts w:eastAsia="仿宋_GB2312" w:cs="Times New Roman"/>
      <w:kern w:val="0"/>
      <w:sz w:val="24"/>
    </w:rPr>
  </w:style>
  <w:style w:type="character" w:styleId="24">
    <w:name w:val="Strong"/>
    <w:basedOn w:val="23"/>
    <w:qFormat/>
    <w:uiPriority w:val="0"/>
    <w:rPr>
      <w:b/>
    </w:rPr>
  </w:style>
  <w:style w:type="character" w:styleId="25">
    <w:name w:val="Hyperlink"/>
    <w:basedOn w:val="23"/>
    <w:unhideWhenUsed/>
    <w:qFormat/>
    <w:uiPriority w:val="99"/>
    <w:rPr>
      <w:color w:val="0000FF" w:themeColor="hyperlink"/>
      <w:u w:val="single"/>
      <w14:textFill>
        <w14:solidFill>
          <w14:schemeClr w14:val="hlink"/>
        </w14:solidFill>
      </w14:textFill>
    </w:rPr>
  </w:style>
  <w:style w:type="character" w:styleId="26">
    <w:name w:val="footnote reference"/>
    <w:basedOn w:val="23"/>
    <w:semiHidden/>
    <w:qFormat/>
    <w:uiPriority w:val="99"/>
    <w:rPr>
      <w:rFonts w:cs="Times New Roman"/>
      <w:vertAlign w:val="superscript"/>
    </w:rPr>
  </w:style>
  <w:style w:type="character" w:customStyle="1" w:styleId="27">
    <w:name w:val="标题 1 字符"/>
    <w:basedOn w:val="23"/>
    <w:link w:val="2"/>
    <w:qFormat/>
    <w:uiPriority w:val="0"/>
    <w:rPr>
      <w:rFonts w:ascii="宋体" w:hAnsi="宋体" w:eastAsia="方正黑体_GBK" w:cs="Times New Roman"/>
      <w:b/>
      <w:kern w:val="44"/>
      <w:sz w:val="36"/>
      <w:szCs w:val="48"/>
    </w:rPr>
  </w:style>
  <w:style w:type="character" w:customStyle="1" w:styleId="28">
    <w:name w:val="标题 2 字符"/>
    <w:basedOn w:val="23"/>
    <w:link w:val="3"/>
    <w:qFormat/>
    <w:uiPriority w:val="9"/>
    <w:rPr>
      <w:rFonts w:eastAsia="黑体" w:asciiTheme="majorHAnsi" w:hAnsiTheme="majorHAnsi" w:cstheme="majorBidi"/>
      <w:bCs/>
      <w:sz w:val="32"/>
      <w:szCs w:val="32"/>
    </w:rPr>
  </w:style>
  <w:style w:type="character" w:customStyle="1" w:styleId="29">
    <w:name w:val="标题 3 字符"/>
    <w:basedOn w:val="23"/>
    <w:link w:val="4"/>
    <w:qFormat/>
    <w:uiPriority w:val="9"/>
    <w:rPr>
      <w:b/>
      <w:bCs/>
      <w:kern w:val="2"/>
      <w:sz w:val="32"/>
      <w:szCs w:val="32"/>
    </w:rPr>
  </w:style>
  <w:style w:type="character" w:customStyle="1" w:styleId="30">
    <w:name w:val="正文文本缩进 2 字符"/>
    <w:basedOn w:val="23"/>
    <w:link w:val="10"/>
    <w:qFormat/>
    <w:uiPriority w:val="0"/>
    <w:rPr>
      <w:rFonts w:ascii="Times New Roman" w:hAnsi="Times New Roman" w:eastAsia="宋体" w:cs="Times New Roman"/>
      <w:sz w:val="28"/>
      <w:szCs w:val="20"/>
    </w:rPr>
  </w:style>
  <w:style w:type="character" w:customStyle="1" w:styleId="31">
    <w:name w:val="页脚 字符"/>
    <w:basedOn w:val="23"/>
    <w:link w:val="12"/>
    <w:qFormat/>
    <w:uiPriority w:val="99"/>
    <w:rPr>
      <w:sz w:val="18"/>
      <w:szCs w:val="18"/>
    </w:rPr>
  </w:style>
  <w:style w:type="character" w:customStyle="1" w:styleId="32">
    <w:name w:val="页眉 字符"/>
    <w:basedOn w:val="23"/>
    <w:link w:val="13"/>
    <w:qFormat/>
    <w:uiPriority w:val="99"/>
    <w:rPr>
      <w:sz w:val="18"/>
      <w:szCs w:val="18"/>
    </w:rPr>
  </w:style>
  <w:style w:type="paragraph" w:customStyle="1" w:styleId="33">
    <w:name w:val="_Style 11"/>
    <w:basedOn w:val="1"/>
    <w:next w:val="1"/>
    <w:qFormat/>
    <w:uiPriority w:val="0"/>
    <w:pPr>
      <w:pBdr>
        <w:bottom w:val="single" w:color="auto" w:sz="6" w:space="1"/>
      </w:pBdr>
      <w:jc w:val="center"/>
    </w:pPr>
    <w:rPr>
      <w:rFonts w:ascii="Arial" w:eastAsia="宋体"/>
      <w:vanish/>
      <w:sz w:val="16"/>
    </w:rPr>
  </w:style>
  <w:style w:type="paragraph" w:customStyle="1" w:styleId="34">
    <w:name w:val="_Style 12"/>
    <w:basedOn w:val="1"/>
    <w:next w:val="1"/>
    <w:qFormat/>
    <w:uiPriority w:val="0"/>
    <w:pPr>
      <w:pBdr>
        <w:top w:val="single" w:color="auto" w:sz="6" w:space="1"/>
      </w:pBdr>
      <w:jc w:val="center"/>
    </w:pPr>
    <w:rPr>
      <w:rFonts w:ascii="Arial" w:eastAsia="宋体"/>
      <w:vanish/>
      <w:sz w:val="16"/>
    </w:rPr>
  </w:style>
  <w:style w:type="paragraph" w:styleId="35">
    <w:name w:val="List Paragraph"/>
    <w:basedOn w:val="1"/>
    <w:qFormat/>
    <w:uiPriority w:val="34"/>
    <w:pPr>
      <w:ind w:firstLine="420" w:firstLineChars="200"/>
    </w:pPr>
  </w:style>
  <w:style w:type="paragraph" w:customStyle="1" w:styleId="36">
    <w:name w:val="TOC 标题1"/>
    <w:basedOn w:val="2"/>
    <w:next w:val="1"/>
    <w:semiHidden/>
    <w:unhideWhenUsed/>
    <w:qFormat/>
    <w:uiPriority w:val="39"/>
    <w:pPr>
      <w:keepNext/>
      <w:keepLines/>
      <w:widowControl/>
      <w:snapToGrid/>
      <w:spacing w:before="480" w:beforeLines="0" w:line="276" w:lineRule="auto"/>
      <w:ind w:firstLine="0" w:firstLineChars="0"/>
      <w:jc w:val="left"/>
      <w:outlineLvl w:val="9"/>
    </w:pPr>
    <w:rPr>
      <w:rFonts w:asciiTheme="majorHAnsi" w:hAnsiTheme="majorHAnsi" w:eastAsiaTheme="majorEastAsia" w:cstheme="majorBidi"/>
      <w:bCs/>
      <w:color w:val="376092" w:themeColor="accent1" w:themeShade="BF"/>
      <w:kern w:val="0"/>
      <w:sz w:val="28"/>
      <w:szCs w:val="28"/>
    </w:rPr>
  </w:style>
  <w:style w:type="character" w:customStyle="1" w:styleId="37">
    <w:name w:val="批注框文本 字符"/>
    <w:basedOn w:val="23"/>
    <w:link w:val="11"/>
    <w:semiHidden/>
    <w:qFormat/>
    <w:uiPriority w:val="99"/>
    <w:rPr>
      <w:kern w:val="2"/>
      <w:sz w:val="18"/>
      <w:szCs w:val="18"/>
    </w:rPr>
  </w:style>
  <w:style w:type="paragraph" w:customStyle="1" w:styleId="38">
    <w:name w:val="_Style 1"/>
    <w:basedOn w:val="1"/>
    <w:next w:val="1"/>
    <w:qFormat/>
    <w:uiPriority w:val="0"/>
    <w:pPr>
      <w:pBdr>
        <w:bottom w:val="single" w:color="auto" w:sz="6" w:space="1"/>
      </w:pBdr>
      <w:jc w:val="center"/>
    </w:pPr>
    <w:rPr>
      <w:rFonts w:ascii="Arial" w:eastAsia="宋体"/>
      <w:vanish/>
      <w:sz w:val="16"/>
    </w:rPr>
  </w:style>
  <w:style w:type="paragraph" w:customStyle="1" w:styleId="39">
    <w:name w:val="Style6"/>
    <w:basedOn w:val="1"/>
    <w:unhideWhenUsed/>
    <w:qFormat/>
    <w:uiPriority w:val="99"/>
    <w:pPr>
      <w:spacing w:line="480" w:lineRule="exact"/>
      <w:ind w:firstLine="547"/>
    </w:pPr>
    <w:rPr>
      <w:sz w:val="24"/>
    </w:rPr>
  </w:style>
  <w:style w:type="paragraph" w:customStyle="1" w:styleId="40">
    <w:name w:val="Style8"/>
    <w:basedOn w:val="1"/>
    <w:unhideWhenUsed/>
    <w:qFormat/>
    <w:uiPriority w:val="99"/>
    <w:pPr>
      <w:spacing w:line="485" w:lineRule="exact"/>
      <w:ind w:firstLine="307"/>
    </w:pPr>
    <w:rPr>
      <w:sz w:val="24"/>
    </w:rPr>
  </w:style>
  <w:style w:type="paragraph" w:customStyle="1" w:styleId="41">
    <w:name w:val="Style17"/>
    <w:basedOn w:val="1"/>
    <w:unhideWhenUsed/>
    <w:qFormat/>
    <w:uiPriority w:val="99"/>
    <w:pPr>
      <w:spacing w:line="480" w:lineRule="exact"/>
      <w:ind w:firstLine="1243"/>
    </w:pPr>
    <w:rPr>
      <w:sz w:val="24"/>
    </w:rPr>
  </w:style>
  <w:style w:type="paragraph" w:customStyle="1" w:styleId="42">
    <w:name w:val="Style18"/>
    <w:basedOn w:val="1"/>
    <w:unhideWhenUsed/>
    <w:qFormat/>
    <w:uiPriority w:val="99"/>
    <w:pPr>
      <w:spacing w:line="475" w:lineRule="exact"/>
      <w:ind w:firstLine="706"/>
    </w:pPr>
    <w:rPr>
      <w:sz w:val="24"/>
    </w:rPr>
  </w:style>
  <w:style w:type="paragraph" w:customStyle="1" w:styleId="43">
    <w:name w:val="WPSOffice手动目录 1"/>
    <w:qFormat/>
    <w:uiPriority w:val="0"/>
    <w:rPr>
      <w:rFonts w:ascii="Times New Roman" w:hAnsi="Times New Roman" w:eastAsia="宋体" w:cs="Times New Roman"/>
      <w:lang w:val="en-US" w:eastAsia="zh-CN" w:bidi="ar-SA"/>
    </w:rPr>
  </w:style>
  <w:style w:type="paragraph" w:customStyle="1" w:styleId="44">
    <w:name w:val="Table Paragraph"/>
    <w:basedOn w:val="1"/>
    <w:qFormat/>
    <w:uiPriority w:val="1"/>
    <w:rPr>
      <w:rFonts w:ascii="宋体" w:hAnsi="宋体" w:eastAsia="宋体" w:cs="宋体"/>
      <w:lang w:val="zh-CN" w:eastAsia="zh-CN" w:bidi="zh-CN"/>
    </w:rPr>
  </w:style>
  <w:style w:type="paragraph" w:customStyle="1" w:styleId="45">
    <w:name w:val="一、"/>
    <w:basedOn w:val="20"/>
    <w:qFormat/>
    <w:uiPriority w:val="0"/>
    <w:pPr>
      <w:spacing w:after="0" w:line="360" w:lineRule="auto"/>
      <w:ind w:firstLine="207" w:firstLineChars="98"/>
    </w:pPr>
    <w:rPr>
      <w:b/>
      <w:szCs w:val="21"/>
    </w:rPr>
  </w:style>
  <w:style w:type="paragraph" w:customStyle="1" w:styleId="46">
    <w:name w:val="（一）"/>
    <w:basedOn w:val="20"/>
    <w:qFormat/>
    <w:uiPriority w:val="0"/>
    <w:pPr>
      <w:spacing w:after="0" w:line="360" w:lineRule="auto"/>
      <w:ind w:left="531" w:firstLine="422"/>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0B529-8ADC-4172-BDBF-10E02EC811BA}">
  <ds:schemaRefs/>
</ds:datastoreItem>
</file>

<file path=docProps/app.xml><?xml version="1.0" encoding="utf-8"?>
<Properties xmlns="http://schemas.openxmlformats.org/officeDocument/2006/extended-properties" xmlns:vt="http://schemas.openxmlformats.org/officeDocument/2006/docPropsVTypes">
  <Template>Normal</Template>
  <Pages>355</Pages>
  <Words>160000</Words>
  <Characters>161631</Characters>
  <Lines>772</Lines>
  <Paragraphs>217</Paragraphs>
  <TotalTime>3</TotalTime>
  <ScaleCrop>false</ScaleCrop>
  <LinksUpToDate>false</LinksUpToDate>
  <CharactersWithSpaces>165877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2021-07-26T11:17:00Z</dcterms:created>
  <dc:creator>lenovo</dc:creator>
  <cp:lastModifiedBy>HC</cp:lastModifiedBy>
  <cp:lastPrinted>2022-07-17T08:42:00Z</cp:lastPrinted>
  <dcterms:modified xsi:type="dcterms:W3CDTF">2023-06-05T01:46:40Z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371948733_btnclosed</vt:lpwstr>
  </property>
  <property fmtid="{D5CDD505-2E9C-101B-9397-08002B2CF9AE}" pid="4" name="ICV">
    <vt:lpwstr>C10498B2F5264919AF65EE0B5129F6D5</vt:lpwstr>
  </property>
</Properties>
</file>