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hanging="436"/>
        <w:jc w:val="center"/>
        <w:rPr>
          <w:rFonts w:ascii="宋体" w:hAnsi="宋体" w:eastAsia="宋体" w:cs="宋体"/>
          <w:b/>
          <w:bCs/>
          <w:color w:val="E60012"/>
          <w:w w:val="85"/>
          <w:sz w:val="52"/>
          <w:szCs w:val="52"/>
        </w:rPr>
      </w:pPr>
      <w:r>
        <w:rPr>
          <w:rFonts w:hint="eastAsia" w:ascii="华文中宋" w:hAnsi="华文中宋" w:eastAsia="华文中宋" w:cs="华文中宋"/>
          <w:b/>
          <w:bCs/>
          <w:color w:val="E60012"/>
          <w:w w:val="85"/>
          <w:sz w:val="53"/>
          <w:szCs w:val="53"/>
        </w:rPr>
        <w:t xml:space="preserve">  中国教育发展战略学会人才发展专业委员会</w:t>
      </w:r>
    </w:p>
    <w:p>
      <w:pPr>
        <w:ind w:left="-440" w:leftChars="-200" w:firstLine="440" w:firstLineChars="100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67945</wp:posOffset>
                </wp:positionV>
                <wp:extent cx="5624830" cy="8255"/>
                <wp:effectExtent l="0" t="7620" r="13970" b="14605"/>
                <wp:wrapNone/>
                <wp:docPr id="1026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4830" cy="8254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4680" cap="flat" cmpd="sng">
                          <a:solidFill>
                            <a:srgbClr val="E60012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6" o:spt="20" style="position:absolute;left:0pt;margin-left:-0.05pt;margin-top:5.35pt;height:0.65pt;width:442.9pt;z-index:251659264;mso-width-relative:page;mso-height-relative:page;" fillcolor="#FFFFFF" filled="t" stroked="t" coordsize="21600,21600" o:gfxdata="UEsDBAoAAAAAAIdO4kAAAAAAAAAAAAAAAAAEAAAAZHJzL1BLAwQUAAAACACHTuJAxo8Z59MAAAAH&#10;AQAADwAAAGRycy9kb3ducmV2LnhtbE2OPU/DMBCGdyT+g3VIbK2dSIUoxOlQqSsSBamrE1+T0Pjs&#10;xm4T+PUcE2z3fui9p9oubhQ3nOLgSUO2ViCQWm8H6jR8vO9XBYiYDFkzekINXxhhW9/fVaa0fqY3&#10;vB1SJ3iEYmk09CmFUsrY9uhMXPuAxNnJT84kllMn7WRmHnejzJV6ks4MxB96E3DXY3s+XJ0G89mo&#10;4/xa7PNduDT++7hpl1PQ+vEhUy8gEi7prwy/+IwONTM1/ko2ilHDKuMi2+oZBMdFseGjYSNXIOtK&#10;/uevfwBQSwMEFAAAAAgAh07iQIiMPozMAQAAvwMAAA4AAABkcnMvZTJvRG9jLnhtbK1TTY/bIBC9&#10;V+p/QNwbO27Wiqw4e9g0vVRtpLY/YIKxjcSXGDZO/n0HnGY328se6gMMMPN47zHePJ6NZicZUDnb&#10;8uWi5Exa4Tplh5b//rX/tOYMI9gOtLOy5ReJ/HH78cNm8o2s3Oh0JwMjEIvN5Fs+xuibokAxSgO4&#10;cF5aOuxdMBBpGYaiCzARutFFVZZ1MbnQ+eCERKTd3XzIr4jhPYCu75WQOyeejbRxRg1SQyRJOCqP&#10;fJvZ9r0U8Uffo4xMt5yUxjzSJRQf01hsN9AMAfyoxJUCvIfCG00GlKVLb1A7iMCeg/oHyigRHLo+&#10;LoQzxSwkO0IqluUbb36O4GXWQlajv5mO/w9WfD8dAlMddUJZ1ZxZMPTm+WJWJXcmjw0lPdlDuK7Q&#10;H0KSeu6DSTOJYOfs6OXmqDxHJmjzoa5W689ktqCzdfWwSpDFS60PGL9KZ1gKWq6VTXqhgdM3jHPq&#10;35S0jU6rbq+0zoswHJ90YCegt93n74p+l6Ytm0jdql4nGkAd21OnUGg8qUY75AvvSvA18pe6LJfZ&#10;CuJ9l5aY7QDHmUE+SgSgMSrK5BYVaEtT8nB2LUVH112ymXmf3jUnXnswNc7rda5++e+2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Gjxnn0wAAAAcBAAAPAAAAAAAAAAEAIAAAACIAAABkcnMvZG93&#10;bnJldi54bWxQSwECFAAUAAAACACHTuJAiIw+jMwBAAC/AwAADgAAAAAAAAABACAAAAAiAQAAZHJz&#10;L2Uyb0RvYy54bWxQSwUGAAAAAAYABgBZAQAAYAUAAAAA&#10;">
                <v:fill on="t" focussize="0,0"/>
                <v:stroke weight="1.15590551181102pt" color="#E60012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16510</wp:posOffset>
                </wp:positionV>
                <wp:extent cx="5624830" cy="8255"/>
                <wp:effectExtent l="0" t="14605" r="13970" b="22860"/>
                <wp:wrapNone/>
                <wp:docPr id="1027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4830" cy="825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29375" cap="flat" cmpd="sng">
                          <a:solidFill>
                            <a:srgbClr val="E60012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" o:spid="_x0000_s1026" o:spt="20" style="position:absolute;left:0pt;margin-left:0pt;margin-top:1.3pt;height:0.65pt;width:442.9pt;z-index:251659264;mso-width-relative:page;mso-height-relative:page;" fillcolor="#FFFFFF" filled="t" stroked="t" coordsize="21600,21600" o:gfxdata="UEsDBAoAAAAAAIdO4kAAAAAAAAAAAAAAAAAEAAAAZHJzL1BLAwQUAAAACACHTuJAzUEivNMAAAAE&#10;AQAADwAAAGRycy9kb3ducmV2LnhtbE2Py07DMBBF90j8gzVIbBB1+qAKaZwukLIEiYDEdhpPk6jx&#10;OI2dpvw9wwqWozs699x8f3W9utAYOs8GlosEFHHtbceNgc+P8jEFFSKyxd4zGfimAPvi9ibHzPqZ&#10;3+lSxUYJhEOGBtoYh0zrULfkMCz8QCzZ0Y8Oo5xjo+2Is8Bdr1dJstUOO5aGFgd6aak+VZMzsK7W&#10;4WwfzqfNq34rv4bNNKclGXN/t0x2oCJd498z/OqLOhTidPAT26B6AzIkGlhtQUmYpk+y4yDkZ9BF&#10;rv/LFz9QSwMEFAAAAAgAh07iQJd58DfLAQAAvwMAAA4AAABkcnMvZTJvRG9jLnhtbK1TTW/bMAy9&#10;D9h/EHRf7LhLmhpxemiWXYYtwLYfoMiyLUBfINU4+fej5Cz92A491AeZpKhHvidqfX+yhh0VoPau&#10;4fNZyZly0rfa9Q3//Wv3acUZRuFaYbxTDT8r5Pebjx/WY6hV5QdvWgWMQBzWY2j4EGOoiwLloKzA&#10;mQ/K0WbnwYpILvRFC2IkdGuKqiyXxeihDeClQqTodtrkF0R4C6DvOi3V1stHq1ycUEEZEYkSDjog&#10;3+Ruu07J+KPrUEVmGk5MY16pCNmHtBabtah7EGHQ8tKCeEsLrzhZoR0VvUJtRRTsEfQ/UFZL8Oi7&#10;OJPeFhORrAixmJevtPk5iKAyF5Iaw1V0fD9Y+f24B6ZbmoSyuuXMCUt3nguzeVJnDFhT0oPbw8XD&#10;sIdE9dSBTX8iwU5Z0fNVUXWKTFJwsaw+r25IbEl7q2qxSJDF09kAGL8qb1kyGm60S3xFLY7fME6p&#10;f1NSGL3R7U4bkx3oDw8G2FHQ3e7yd0F/kWYcGxte3d3cLqgNQRPb0aSQaQOxRtfngi+O4HPkL8uy&#10;nFf/Q06dbQUOUwcZIaWJ2uqoYOreOOKbNJxUS9bBt+csZo7TvWZFLjOYBue5n08/vbvN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1BIrzTAAAABAEAAA8AAAAAAAAAAQAgAAAAIgAAAGRycy9kb3du&#10;cmV2LnhtbFBLAQIUABQAAAAIAIdO4kCXefA3ywEAAL8DAAAOAAAAAAAAAAEAIAAAACIBAABkcnMv&#10;ZTJvRG9jLnhtbFBLBQYAAAAABgAGAFkBAABfBQAAAAA=&#10;">
                <v:fill on="t" focussize="0,0"/>
                <v:stroke weight="2.31299212598425pt" color="#E60012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44"/>
        </w:rPr>
        <w:t xml:space="preserve">          </w:t>
      </w:r>
      <w:r>
        <w:rPr>
          <w:rFonts w:hint="eastAsia" w:ascii="黑体" w:hAnsi="黑体" w:eastAsia="黑体" w:cs="微软雅黑"/>
          <w:b/>
          <w:spacing w:val="20"/>
          <w:sz w:val="27"/>
          <w:szCs w:val="27"/>
        </w:rPr>
        <w:t xml:space="preserve">      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301" w:hangingChars="100"/>
        <w:jc w:val="center"/>
        <w:textAlignment w:val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中国教育发展战略学会人才发展专业委员会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301" w:hangingChars="100"/>
        <w:jc w:val="center"/>
        <w:textAlignment w:val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20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23-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20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24年度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课题指南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301" w:hangingChars="100"/>
        <w:jc w:val="center"/>
        <w:textAlignment w:val="auto"/>
        <w:rPr>
          <w:rFonts w:hint="eastAsia" w:ascii="仿宋" w:hAnsi="仿宋" w:eastAsia="仿宋" w:cs="仿宋"/>
          <w:b/>
          <w:bCs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hanging="240" w:hangingChars="1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一．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人才发展、人才引进相关课题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1.  新时代人才工作的新理念、新战略、新举措案例研究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2.  新时代抢占科技和人才竞争制高点对策研究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3.  新时代加快建设世界重要人才中心和创新高地策略研究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  新时代人才强国战略背景下人才创新活力研究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5.  国际人才引进、激励、融入战略探析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6.  科研项目“揭榜挂帅”制度对人才发展促进研究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7.  高校引才投入和人才发展贡献对比研究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8.  新时代高校引才工作对猎头服务模式的需求研究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9.  我国海外科研人才的需求分析及人才引进对策研究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10.  高校人才需求与高端猎头服务适配性研究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11.  关于教师队伍管理和服务的政策保障机制研究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12.  新时代高校人才发展和人才管理体制机制改革研究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二、人才评价改革相关课题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1.  习近平总书记关于人才评价的重要论述研究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2.  高校人才评价机制问题探析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3.  开放科学环境下人才评价的新标准、新方法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  引进高层次人才管理与评价指标体系研究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5.  人工智能对小同行专家精准匹配应用研究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6.  新时代新医科人才评价创新研究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7.  新时代新工科人才评价创新研究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8.  新时代新文科人才评价创新研究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9.  新时代交叉学科人才评价创新研究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10.  高校人才评价中特色引领与科学评价研究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11.  高校职称晋升评审中小同行学术评价标准与应用研究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12.  新时代人才评价中定性与定量关系研究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13.  小同行与大同行专家评价在人才评价中的作用对比研究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14.  高校教师数字化素养评价、考核相关研究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leftChars="109" w:firstLine="0" w:firstLineChars="0"/>
        <w:jc w:val="left"/>
        <w:textAlignment w:val="auto"/>
        <w:rPr>
          <w:rFonts w:hint="eastAsia"/>
        </w:rPr>
      </w:pPr>
      <w:r>
        <w:rPr>
          <w:rFonts w:hint="eastAsia"/>
        </w:rPr>
        <w:t>……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240" w:hanging="241" w:hangingChars="1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其他自选课题，请直接与秘书处联系：office@hr.edu.cn</w:t>
      </w: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240" w:hangingChars="1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240" w:hangingChars="1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240" w:hangingChars="1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240" w:hangingChars="1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240" w:hanging="240" w:hangingChars="100"/>
        <w:jc w:val="left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</w:p>
    <w:sectPr>
      <w:pgSz w:w="11900" w:h="16838"/>
      <w:pgMar w:top="1134" w:right="1587" w:bottom="1020" w:left="1367" w:header="0" w:footer="0" w:gutter="0"/>
      <w:cols w:equalWidth="0" w:num="1">
        <w:col w:w="96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1MWQ4MzZkMTMwYTAyM2Y1MTYzNjU3MmYwOGM0M2MifQ=="/>
  </w:docVars>
  <w:rsids>
    <w:rsidRoot w:val="00000000"/>
    <w:rsid w:val="04BA584F"/>
    <w:rsid w:val="051F0D56"/>
    <w:rsid w:val="06427384"/>
    <w:rsid w:val="080A0B4A"/>
    <w:rsid w:val="08A82849"/>
    <w:rsid w:val="08B71AA8"/>
    <w:rsid w:val="090F0B60"/>
    <w:rsid w:val="0B0F0202"/>
    <w:rsid w:val="0EB30E5C"/>
    <w:rsid w:val="12772E16"/>
    <w:rsid w:val="13DA52C0"/>
    <w:rsid w:val="173914CE"/>
    <w:rsid w:val="177F7F62"/>
    <w:rsid w:val="1844012A"/>
    <w:rsid w:val="18572966"/>
    <w:rsid w:val="19D55F12"/>
    <w:rsid w:val="19DC4BBA"/>
    <w:rsid w:val="1A8C7B66"/>
    <w:rsid w:val="1AB30F35"/>
    <w:rsid w:val="1B3B1CB8"/>
    <w:rsid w:val="1BDF39B5"/>
    <w:rsid w:val="1BE55200"/>
    <w:rsid w:val="1F63300D"/>
    <w:rsid w:val="21996F9C"/>
    <w:rsid w:val="22F164DE"/>
    <w:rsid w:val="2503462D"/>
    <w:rsid w:val="2AF2166C"/>
    <w:rsid w:val="2D955CF6"/>
    <w:rsid w:val="2DA42713"/>
    <w:rsid w:val="2DD35B16"/>
    <w:rsid w:val="2E084AD9"/>
    <w:rsid w:val="2EAF2DA0"/>
    <w:rsid w:val="2FDB12CA"/>
    <w:rsid w:val="31CB056C"/>
    <w:rsid w:val="33CF6A29"/>
    <w:rsid w:val="34C76745"/>
    <w:rsid w:val="3585461C"/>
    <w:rsid w:val="36073E19"/>
    <w:rsid w:val="376665E7"/>
    <w:rsid w:val="3847098F"/>
    <w:rsid w:val="394B57D9"/>
    <w:rsid w:val="39A148C7"/>
    <w:rsid w:val="3B217306"/>
    <w:rsid w:val="3C6E5D55"/>
    <w:rsid w:val="3CD506D8"/>
    <w:rsid w:val="3D0D0A10"/>
    <w:rsid w:val="3D88080F"/>
    <w:rsid w:val="43B16DFF"/>
    <w:rsid w:val="444603C3"/>
    <w:rsid w:val="45281C96"/>
    <w:rsid w:val="45AA102A"/>
    <w:rsid w:val="46AA4368"/>
    <w:rsid w:val="4A6D6CBE"/>
    <w:rsid w:val="4CBD1022"/>
    <w:rsid w:val="4D7D666F"/>
    <w:rsid w:val="4F98252E"/>
    <w:rsid w:val="504B1C98"/>
    <w:rsid w:val="50CE2A9D"/>
    <w:rsid w:val="50D549C1"/>
    <w:rsid w:val="51D24E17"/>
    <w:rsid w:val="52BB38BA"/>
    <w:rsid w:val="52F164A6"/>
    <w:rsid w:val="53727261"/>
    <w:rsid w:val="55135A8E"/>
    <w:rsid w:val="55AA2417"/>
    <w:rsid w:val="55D22AF2"/>
    <w:rsid w:val="598C0FEA"/>
    <w:rsid w:val="599649D6"/>
    <w:rsid w:val="5B3F248C"/>
    <w:rsid w:val="5B515337"/>
    <w:rsid w:val="5BA26C95"/>
    <w:rsid w:val="5BF62E65"/>
    <w:rsid w:val="5CDA35ED"/>
    <w:rsid w:val="5D9F3233"/>
    <w:rsid w:val="5E7D25E2"/>
    <w:rsid w:val="5EFB7B26"/>
    <w:rsid w:val="5FFD4887"/>
    <w:rsid w:val="60354212"/>
    <w:rsid w:val="60E53316"/>
    <w:rsid w:val="61CE48E1"/>
    <w:rsid w:val="626866FE"/>
    <w:rsid w:val="627B319E"/>
    <w:rsid w:val="627F47F2"/>
    <w:rsid w:val="662C23B3"/>
    <w:rsid w:val="67256D7E"/>
    <w:rsid w:val="67F6521F"/>
    <w:rsid w:val="68261406"/>
    <w:rsid w:val="68D72A0A"/>
    <w:rsid w:val="696025E6"/>
    <w:rsid w:val="6A114AC5"/>
    <w:rsid w:val="6A6343F9"/>
    <w:rsid w:val="6B3C6B2A"/>
    <w:rsid w:val="6D3756EA"/>
    <w:rsid w:val="6E242FCD"/>
    <w:rsid w:val="6F6A18DF"/>
    <w:rsid w:val="6FD92553"/>
    <w:rsid w:val="711C32DC"/>
    <w:rsid w:val="711D0567"/>
    <w:rsid w:val="73071FB0"/>
    <w:rsid w:val="735C01EE"/>
    <w:rsid w:val="7532750B"/>
    <w:rsid w:val="75F80F27"/>
    <w:rsid w:val="76F63C07"/>
    <w:rsid w:val="76FD6684"/>
    <w:rsid w:val="77D104C3"/>
    <w:rsid w:val="787337C9"/>
    <w:rsid w:val="78920CEB"/>
    <w:rsid w:val="7A306137"/>
    <w:rsid w:val="7E351192"/>
    <w:rsid w:val="7ECA572A"/>
    <w:rsid w:val="7EDA15F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qFormat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5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paragraph" w:styleId="4">
    <w:name w:val="Balloon Text"/>
    <w:basedOn w:val="1"/>
    <w:link w:val="15"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qFormat/>
    <w:uiPriority w:val="0"/>
    <w:pPr>
      <w:jc w:val="center"/>
    </w:pPr>
    <w:rPr>
      <w:rFonts w:ascii="Times New Roman" w:hAnsi="Times New Roman" w:eastAsia="宋体" w:cs="Times New Roman"/>
      <w:b/>
      <w:color w:val="17365D"/>
      <w:sz w:val="28"/>
      <w:szCs w:val="24"/>
      <w:u w:val="single"/>
      <w:lang w:eastAsia="en-US"/>
    </w:rPr>
  </w:style>
  <w:style w:type="table" w:styleId="10">
    <w:name w:val="Table Grid"/>
    <w:basedOn w:val="9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page number"/>
    <w:basedOn w:val="11"/>
    <w:qFormat/>
    <w:uiPriority w:val="0"/>
    <w:rPr>
      <w:rFonts w:ascii="Calibri" w:hAnsi="Calibri" w:eastAsia="宋体" w:cs="Times New Roman"/>
      <w:lang w:val="en-US" w:eastAsia="zh-CN" w:bidi="ar-SA"/>
    </w:rPr>
  </w:style>
  <w:style w:type="character" w:styleId="14">
    <w:name w:val="Hyperlink"/>
    <w:qFormat/>
    <w:uiPriority w:val="0"/>
    <w:rPr>
      <w:color w:val="333333"/>
      <w:u w:val="none"/>
    </w:rPr>
  </w:style>
  <w:style w:type="character" w:customStyle="1" w:styleId="15">
    <w:name w:val="批注框文本 Char"/>
    <w:basedOn w:val="11"/>
    <w:link w:val="4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1"/>
    <w:pPr>
      <w:ind w:left="903" w:hanging="360"/>
    </w:pPr>
    <w:rPr>
      <w:rFonts w:ascii="仿宋" w:hAnsi="仿宋" w:eastAsia="仿宋" w:cs="仿宋"/>
      <w:lang w:val="zh-CN" w:bidi="zh-CN"/>
    </w:rPr>
  </w:style>
  <w:style w:type="character" w:customStyle="1" w:styleId="17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8">
    <w:name w:val="c-gap-right2"/>
    <w:basedOn w:val="11"/>
    <w:qFormat/>
    <w:uiPriority w:val="0"/>
  </w:style>
  <w:style w:type="character" w:customStyle="1" w:styleId="19">
    <w:name w:val="未处理的提及1"/>
    <w:basedOn w:val="11"/>
    <w:qFormat/>
    <w:uiPriority w:val="99"/>
    <w:rPr>
      <w:color w:val="605E5C"/>
      <w:shd w:val="clear" w:color="auto" w:fill="E1DFDD"/>
    </w:rPr>
  </w:style>
  <w:style w:type="character" w:customStyle="1" w:styleId="20">
    <w:name w:val="未处理的提及2"/>
    <w:basedOn w:val="11"/>
    <w:qFormat/>
    <w:uiPriority w:val="99"/>
    <w:rPr>
      <w:color w:val="605E5C"/>
      <w:shd w:val="clear" w:color="auto" w:fill="E1DFDD"/>
    </w:rPr>
  </w:style>
  <w:style w:type="paragraph" w:customStyle="1" w:styleId="21">
    <w:name w:val="Table Paragraph"/>
    <w:basedOn w:val="1"/>
    <w:qFormat/>
    <w:uiPriority w:val="1"/>
    <w:pPr>
      <w:spacing w:before="120"/>
      <w:ind w:left="107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XiTongPan.Com</Company>
  <Pages>5</Pages>
  <Words>2288</Words>
  <Characters>2548</Characters>
  <Paragraphs>24</Paragraphs>
  <TotalTime>34</TotalTime>
  <ScaleCrop>false</ScaleCrop>
  <LinksUpToDate>false</LinksUpToDate>
  <CharactersWithSpaces>2689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2021-11-29T13:04:00Z</dcterms:created>
  <dc:creator>Windows User</dc:creator>
  <cp:lastModifiedBy>Lenovo</cp:lastModifiedBy>
  <cp:lastPrinted>2021-10-29T06:08:00Z</cp:lastPrinted>
  <dcterms:modified xsi:type="dcterms:W3CDTF">2023-05-15T06:33:27Z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F6D25A8956654EC9B4C380F4B136EAB2_13</vt:lpwstr>
  </property>
  <property fmtid="{D5CDD505-2E9C-101B-9397-08002B2CF9AE}" pid="4" name="commondata">
    <vt:lpwstr>eyJoZGlkIjoiZWZlNmI1MjFjNjRlNmIzMjU3MGQxNTNjNDA4NDg3YjkifQ==</vt:lpwstr>
  </property>
</Properties>
</file>