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600" w:lineRule="exact"/>
        <w:jc w:val="left"/>
        <w:rPr>
          <w:rFonts w:ascii="黑体" w:hAnsi="宋体" w:eastAsia="黑体" w:cs="宋体"/>
          <w:color w:val="000000"/>
          <w:kern w:val="0"/>
          <w:sz w:val="32"/>
          <w:szCs w:val="32"/>
        </w:rPr>
      </w:pPr>
    </w:p>
    <w:p>
      <w:pPr>
        <w:adjustRightInd w:val="0"/>
        <w:snapToGrid w:val="0"/>
        <w:spacing w:line="680" w:lineRule="exact"/>
        <w:jc w:val="center"/>
        <w:rPr>
          <w:rFonts w:ascii="方正小标宋简体" w:hAnsi="华文中宋" w:eastAsia="方正小标宋简体" w:cs="宋体"/>
          <w:color w:val="000000"/>
          <w:kern w:val="0"/>
          <w:sz w:val="38"/>
          <w:szCs w:val="38"/>
        </w:rPr>
      </w:pPr>
      <w:r>
        <w:rPr>
          <w:rFonts w:hint="eastAsia" w:ascii="方正小标宋简体" w:hAnsi="华文中宋" w:eastAsia="方正小标宋简体" w:cs="宋体"/>
          <w:color w:val="000000"/>
          <w:kern w:val="0"/>
          <w:sz w:val="38"/>
          <w:szCs w:val="38"/>
        </w:rPr>
        <w:t>上海高校市级重点课程</w:t>
      </w:r>
    </w:p>
    <w:p>
      <w:pPr>
        <w:adjustRightInd w:val="0"/>
        <w:snapToGrid w:val="0"/>
        <w:spacing w:line="680" w:lineRule="exact"/>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 xml:space="preserve">（  </w:t>
      </w:r>
      <w:r>
        <w:rPr>
          <w:rFonts w:ascii="华文中宋" w:hAnsi="华文中宋" w:eastAsia="华文中宋" w:cs="宋体"/>
          <w:color w:val="000000"/>
          <w:kern w:val="0"/>
          <w:sz w:val="32"/>
          <w:szCs w:val="32"/>
        </w:rPr>
        <w:t>2020</w:t>
      </w:r>
      <w:r>
        <w:rPr>
          <w:rFonts w:hint="eastAsia" w:ascii="华文中宋" w:hAnsi="华文中宋" w:eastAsia="华文中宋" w:cs="宋体"/>
          <w:color w:val="000000"/>
          <w:kern w:val="0"/>
          <w:sz w:val="32"/>
          <w:szCs w:val="32"/>
        </w:rPr>
        <w:t xml:space="preserve">    年度）</w:t>
      </w:r>
    </w:p>
    <w:p>
      <w:pPr>
        <w:adjustRightInd w:val="0"/>
        <w:snapToGrid w:val="0"/>
        <w:spacing w:line="680" w:lineRule="exact"/>
        <w:jc w:val="center"/>
        <w:rPr>
          <w:rFonts w:ascii="华文中宋" w:hAnsi="华文中宋" w:eastAsia="华文中宋" w:cs="宋体"/>
          <w:b/>
          <w:color w:val="000000"/>
          <w:kern w:val="0"/>
          <w:sz w:val="36"/>
          <w:szCs w:val="36"/>
        </w:rPr>
      </w:pPr>
      <w:r>
        <w:rPr>
          <w:rFonts w:hint="eastAsia" w:ascii="华文中宋" w:hAnsi="华文中宋" w:eastAsia="华文中宋" w:cs="宋体"/>
          <w:b/>
          <w:color w:val="000000"/>
          <w:kern w:val="0"/>
          <w:sz w:val="36"/>
          <w:szCs w:val="36"/>
        </w:rPr>
        <w:t>申 报 书</w:t>
      </w:r>
    </w:p>
    <w:p>
      <w:pPr>
        <w:spacing w:line="600" w:lineRule="exact"/>
      </w:pPr>
    </w:p>
    <w:p>
      <w:pPr>
        <w:spacing w:line="600" w:lineRule="exact"/>
      </w:pPr>
    </w:p>
    <w:p>
      <w:pPr>
        <w:widowControl/>
        <w:tabs>
          <w:tab w:val="left" w:pos="5565"/>
        </w:tabs>
        <w:snapToGrid w:val="0"/>
        <w:spacing w:line="360" w:lineRule="auto"/>
        <w:ind w:firstLine="840" w:firstLineChars="300"/>
        <w:jc w:val="left"/>
        <w:rPr>
          <w:rFonts w:ascii="宋体" w:hAnsi="宋体" w:cs="宋体"/>
          <w:color w:val="000000"/>
          <w:kern w:val="0"/>
          <w:sz w:val="28"/>
          <w:szCs w:val="28"/>
          <w:u w:val="single"/>
        </w:rPr>
      </w:pPr>
      <w:r>
        <w:rPr>
          <w:rFonts w:hint="eastAsia" w:ascii="宋体" w:hAnsi="宋体" w:cs="宋体"/>
          <w:color w:val="000000"/>
          <w:kern w:val="0"/>
          <w:sz w:val="28"/>
          <w:szCs w:val="28"/>
        </w:rPr>
        <w:t xml:space="preserve">学校名称  </w:t>
      </w:r>
      <w:r>
        <w:rPr>
          <w:rFonts w:hint="eastAsia" w:ascii="宋体" w:hAnsi="宋体" w:cs="宋体"/>
          <w:color w:val="000000"/>
          <w:kern w:val="0"/>
          <w:sz w:val="28"/>
          <w:szCs w:val="28"/>
          <w:u w:val="single"/>
        </w:rPr>
        <w:t xml:space="preserve">      上海立达学院                   </w:t>
      </w:r>
    </w:p>
    <w:p>
      <w:pPr>
        <w:widowControl/>
        <w:snapToGrid w:val="0"/>
        <w:spacing w:line="360" w:lineRule="auto"/>
        <w:ind w:firstLine="840" w:firstLineChars="300"/>
        <w:jc w:val="left"/>
        <w:rPr>
          <w:rFonts w:ascii="宋体" w:hAnsi="宋体" w:cs="宋体"/>
          <w:color w:val="000000"/>
          <w:kern w:val="0"/>
          <w:sz w:val="28"/>
          <w:szCs w:val="28"/>
        </w:rPr>
      </w:pPr>
    </w:p>
    <w:p>
      <w:pPr>
        <w:widowControl/>
        <w:snapToGrid w:val="0"/>
        <w:spacing w:line="360" w:lineRule="auto"/>
        <w:ind w:firstLine="840" w:firstLineChars="300"/>
        <w:jc w:val="left"/>
        <w:rPr>
          <w:rFonts w:ascii="宋体" w:hAnsi="宋体" w:cs="宋体"/>
          <w:color w:val="000000"/>
          <w:kern w:val="0"/>
          <w:sz w:val="28"/>
          <w:szCs w:val="28"/>
        </w:rPr>
      </w:pPr>
      <w:r>
        <w:rPr>
          <w:rFonts w:hint="eastAsia" w:ascii="宋体" w:hAnsi="宋体" w:cs="宋体"/>
          <w:color w:val="000000"/>
          <w:kern w:val="0"/>
          <w:sz w:val="28"/>
          <w:szCs w:val="28"/>
        </w:rPr>
        <w:t xml:space="preserve">课程名称  </w:t>
      </w:r>
      <w:r>
        <w:rPr>
          <w:rFonts w:hint="eastAsia" w:ascii="宋体" w:hAnsi="宋体" w:cs="宋体"/>
          <w:color w:val="000000"/>
          <w:kern w:val="0"/>
          <w:sz w:val="28"/>
          <w:szCs w:val="28"/>
          <w:u w:val="single"/>
        </w:rPr>
        <w:t xml:space="preserve">       财务共享                        </w:t>
      </w:r>
    </w:p>
    <w:p>
      <w:pPr>
        <w:widowControl/>
        <w:snapToGrid w:val="0"/>
        <w:spacing w:line="360" w:lineRule="auto"/>
        <w:jc w:val="left"/>
        <w:rPr>
          <w:rFonts w:ascii="宋体" w:hAnsi="宋体" w:cs="宋体"/>
          <w:color w:val="000000"/>
          <w:kern w:val="0"/>
          <w:sz w:val="28"/>
          <w:szCs w:val="28"/>
        </w:rPr>
      </w:pPr>
    </w:p>
    <w:p>
      <w:pPr>
        <w:widowControl/>
        <w:snapToGrid w:val="0"/>
        <w:spacing w:line="360" w:lineRule="auto"/>
        <w:ind w:left="2240" w:leftChars="400" w:hanging="1400" w:hangingChars="500"/>
        <w:jc w:val="left"/>
        <w:rPr>
          <w:rFonts w:ascii="宋体" w:hAnsi="宋体" w:cs="宋体"/>
          <w:color w:val="000000"/>
          <w:kern w:val="0"/>
          <w:sz w:val="28"/>
          <w:szCs w:val="28"/>
        </w:rPr>
      </w:pPr>
      <w:r>
        <w:rPr>
          <w:rFonts w:hint="eastAsia" w:ascii="宋体" w:hAnsi="宋体" w:cs="宋体"/>
          <w:color w:val="000000"/>
          <w:kern w:val="0"/>
          <w:sz w:val="28"/>
          <w:szCs w:val="28"/>
        </w:rPr>
        <w:t>课程类型  □在线课程；□线下课程；□社会实践课程；          □虚拟仿真实验教学课程； □全英语课程；</w:t>
      </w:r>
    </w:p>
    <w:p>
      <w:pPr>
        <w:widowControl/>
        <w:snapToGrid w:val="0"/>
        <w:spacing w:line="360" w:lineRule="auto"/>
        <w:ind w:firstLine="840" w:firstLineChars="300"/>
        <w:jc w:val="left"/>
        <w:rPr>
          <w:rFonts w:ascii="宋体" w:hAnsi="宋体" w:cs="宋体"/>
          <w:color w:val="000000"/>
          <w:kern w:val="0"/>
          <w:sz w:val="28"/>
          <w:szCs w:val="28"/>
        </w:rPr>
      </w:pPr>
      <w:r>
        <w:rPr>
          <w:rFonts w:hint="eastAsia" w:ascii="宋体" w:hAnsi="宋体" w:cs="宋体"/>
          <w:color w:val="000000"/>
          <w:kern w:val="0"/>
          <w:sz w:val="28"/>
          <w:szCs w:val="28"/>
        </w:rPr>
        <w:t xml:space="preserve">          ■线上线下混合式课程；□其他 </w:t>
      </w:r>
      <w:r>
        <w:rPr>
          <w:rFonts w:hint="eastAsia" w:ascii="宋体" w:hAnsi="宋体" w:cs="宋体"/>
          <w:color w:val="000000"/>
          <w:kern w:val="0"/>
          <w:sz w:val="28"/>
          <w:szCs w:val="28"/>
          <w:u w:val="single"/>
        </w:rPr>
        <w:t xml:space="preserve">         </w:t>
      </w:r>
    </w:p>
    <w:p>
      <w:pPr>
        <w:widowControl/>
        <w:snapToGrid w:val="0"/>
        <w:spacing w:line="360" w:lineRule="auto"/>
        <w:jc w:val="left"/>
        <w:rPr>
          <w:rFonts w:ascii="宋体" w:hAnsi="宋体" w:cs="宋体"/>
          <w:color w:val="000000"/>
          <w:kern w:val="0"/>
          <w:sz w:val="28"/>
          <w:szCs w:val="28"/>
        </w:rPr>
      </w:pPr>
    </w:p>
    <w:p>
      <w:pPr>
        <w:widowControl/>
        <w:snapToGrid w:val="0"/>
        <w:spacing w:line="360" w:lineRule="auto"/>
        <w:ind w:firstLine="840" w:firstLineChars="300"/>
        <w:jc w:val="left"/>
        <w:rPr>
          <w:rFonts w:ascii="宋体" w:hAnsi="宋体" w:cs="宋体"/>
          <w:color w:val="000000"/>
          <w:kern w:val="0"/>
          <w:sz w:val="28"/>
          <w:szCs w:val="28"/>
          <w:u w:val="single"/>
        </w:rPr>
      </w:pPr>
      <w:r>
        <w:rPr>
          <w:rFonts w:hint="eastAsia" w:ascii="宋体" w:hAnsi="宋体" w:cs="宋体"/>
          <w:color w:val="000000"/>
          <w:kern w:val="0"/>
          <w:sz w:val="28"/>
          <w:szCs w:val="28"/>
        </w:rPr>
        <w:t xml:space="preserve">课程负责人姓名 </w:t>
      </w:r>
      <w:r>
        <w:rPr>
          <w:rFonts w:hint="eastAsia" w:ascii="宋体" w:hAnsi="宋体" w:cs="宋体"/>
          <w:color w:val="000000"/>
          <w:kern w:val="0"/>
          <w:sz w:val="28"/>
          <w:szCs w:val="28"/>
          <w:u w:val="single"/>
        </w:rPr>
        <w:t xml:space="preserve">     张燕雪                       </w:t>
      </w:r>
    </w:p>
    <w:p>
      <w:pPr>
        <w:widowControl/>
        <w:snapToGrid w:val="0"/>
        <w:spacing w:line="360" w:lineRule="auto"/>
        <w:jc w:val="left"/>
        <w:rPr>
          <w:rFonts w:ascii="宋体" w:hAnsi="宋体" w:cs="宋体"/>
          <w:color w:val="000000"/>
          <w:kern w:val="0"/>
          <w:sz w:val="28"/>
          <w:szCs w:val="28"/>
        </w:rPr>
      </w:pPr>
    </w:p>
    <w:p>
      <w:pPr>
        <w:widowControl/>
        <w:snapToGrid w:val="0"/>
        <w:spacing w:line="360" w:lineRule="auto"/>
        <w:jc w:val="left"/>
        <w:rPr>
          <w:rFonts w:ascii="宋体" w:hAnsi="宋体" w:cs="宋体"/>
          <w:color w:val="000000"/>
          <w:kern w:val="0"/>
          <w:sz w:val="28"/>
          <w:szCs w:val="28"/>
        </w:rPr>
      </w:pPr>
      <w:r>
        <w:rPr>
          <w:rFonts w:hint="eastAsia" w:ascii="宋体" w:hAnsi="宋体" w:cs="宋体"/>
          <w:color w:val="000000"/>
          <w:kern w:val="0"/>
          <w:sz w:val="28"/>
          <w:szCs w:val="28"/>
        </w:rPr>
        <w:t xml:space="preserve">      联系电话 </w:t>
      </w:r>
      <w:r>
        <w:rPr>
          <w:rFonts w:hint="eastAsia" w:ascii="宋体" w:hAnsi="宋体" w:cs="宋体"/>
          <w:color w:val="000000"/>
          <w:kern w:val="0"/>
          <w:sz w:val="28"/>
          <w:szCs w:val="28"/>
          <w:u w:val="single"/>
        </w:rPr>
        <w:t xml:space="preserve">        </w:t>
      </w:r>
      <w:r>
        <w:rPr>
          <w:rFonts w:ascii="宋体" w:hAnsi="宋体" w:cs="宋体"/>
          <w:color w:val="000000"/>
          <w:kern w:val="0"/>
          <w:sz w:val="28"/>
          <w:szCs w:val="28"/>
          <w:u w:val="single"/>
        </w:rPr>
        <w:t>15105960531</w:t>
      </w:r>
      <w:r>
        <w:rPr>
          <w:rFonts w:hint="eastAsia" w:ascii="宋体" w:hAnsi="宋体" w:cs="宋体"/>
          <w:color w:val="000000"/>
          <w:kern w:val="0"/>
          <w:sz w:val="28"/>
          <w:szCs w:val="28"/>
          <w:u w:val="single"/>
        </w:rPr>
        <w:t xml:space="preserve">                     </w:t>
      </w:r>
    </w:p>
    <w:p>
      <w:pPr>
        <w:widowControl/>
        <w:snapToGrid w:val="0"/>
        <w:spacing w:line="360" w:lineRule="auto"/>
        <w:jc w:val="left"/>
        <w:rPr>
          <w:rFonts w:ascii="宋体" w:hAnsi="宋体" w:cs="宋体"/>
          <w:color w:val="000000"/>
          <w:kern w:val="0"/>
          <w:sz w:val="28"/>
          <w:szCs w:val="28"/>
        </w:rPr>
      </w:pPr>
    </w:p>
    <w:p>
      <w:pPr>
        <w:widowControl/>
        <w:snapToGrid w:val="0"/>
        <w:spacing w:line="360" w:lineRule="auto"/>
        <w:ind w:firstLine="840" w:firstLineChars="300"/>
        <w:jc w:val="left"/>
        <w:rPr>
          <w:rFonts w:ascii="宋体" w:hAnsi="宋体" w:cs="宋体"/>
          <w:color w:val="000000"/>
          <w:kern w:val="0"/>
          <w:sz w:val="28"/>
          <w:szCs w:val="28"/>
        </w:rPr>
      </w:pPr>
      <w:r>
        <w:rPr>
          <w:rFonts w:hint="eastAsia" w:ascii="宋体" w:hAnsi="宋体" w:cs="宋体"/>
          <w:color w:val="000000"/>
          <w:kern w:val="0"/>
          <w:sz w:val="28"/>
          <w:szCs w:val="28"/>
        </w:rPr>
        <w:t xml:space="preserve">填表日期 </w:t>
      </w:r>
      <w:r>
        <w:rPr>
          <w:rFonts w:hint="eastAsia" w:ascii="宋体" w:hAnsi="宋体" w:cs="宋体"/>
          <w:color w:val="000000"/>
          <w:kern w:val="0"/>
          <w:sz w:val="28"/>
          <w:szCs w:val="28"/>
          <w:u w:val="single"/>
        </w:rPr>
        <w:t xml:space="preserve">   </w:t>
      </w:r>
      <w:r>
        <w:rPr>
          <w:rFonts w:ascii="宋体" w:hAnsi="宋体" w:cs="宋体"/>
          <w:color w:val="000000"/>
          <w:kern w:val="0"/>
          <w:sz w:val="28"/>
          <w:szCs w:val="28"/>
          <w:u w:val="single"/>
        </w:rPr>
        <w:t>2020</w:t>
      </w:r>
      <w:r>
        <w:rPr>
          <w:rFonts w:hint="eastAsia" w:ascii="宋体" w:hAnsi="宋体" w:cs="宋体"/>
          <w:color w:val="000000"/>
          <w:kern w:val="0"/>
          <w:sz w:val="28"/>
          <w:szCs w:val="28"/>
          <w:u w:val="single"/>
        </w:rPr>
        <w:t xml:space="preserve">    </w:t>
      </w:r>
      <w:r>
        <w:rPr>
          <w:rFonts w:hint="eastAsia" w:ascii="宋体" w:hAnsi="宋体" w:cs="宋体"/>
          <w:color w:val="000000"/>
          <w:kern w:val="0"/>
          <w:sz w:val="28"/>
          <w:szCs w:val="28"/>
        </w:rPr>
        <w:t>年</w:t>
      </w:r>
      <w:r>
        <w:rPr>
          <w:rFonts w:hint="eastAsia" w:ascii="宋体" w:hAnsi="宋体" w:cs="宋体"/>
          <w:color w:val="000000"/>
          <w:kern w:val="0"/>
          <w:sz w:val="28"/>
          <w:szCs w:val="28"/>
          <w:u w:val="single"/>
        </w:rPr>
        <w:t xml:space="preserve">    </w:t>
      </w:r>
      <w:r>
        <w:rPr>
          <w:rFonts w:ascii="宋体" w:hAnsi="宋体" w:cs="宋体"/>
          <w:color w:val="000000"/>
          <w:kern w:val="0"/>
          <w:sz w:val="28"/>
          <w:szCs w:val="28"/>
          <w:u w:val="single"/>
        </w:rPr>
        <w:t>6</w:t>
      </w:r>
      <w:r>
        <w:rPr>
          <w:rFonts w:hint="eastAsia" w:ascii="宋体" w:hAnsi="宋体" w:cs="宋体"/>
          <w:color w:val="000000"/>
          <w:kern w:val="0"/>
          <w:sz w:val="28"/>
          <w:szCs w:val="28"/>
          <w:u w:val="single"/>
        </w:rPr>
        <w:t xml:space="preserve">     </w:t>
      </w:r>
      <w:r>
        <w:rPr>
          <w:rFonts w:hint="eastAsia" w:ascii="宋体" w:hAnsi="宋体" w:cs="宋体"/>
          <w:color w:val="000000"/>
          <w:kern w:val="0"/>
          <w:sz w:val="28"/>
          <w:szCs w:val="28"/>
        </w:rPr>
        <w:t>月</w:t>
      </w:r>
      <w:r>
        <w:rPr>
          <w:rFonts w:hint="eastAsia" w:ascii="宋体" w:hAnsi="宋体" w:cs="宋体"/>
          <w:color w:val="000000"/>
          <w:kern w:val="0"/>
          <w:sz w:val="28"/>
          <w:szCs w:val="28"/>
          <w:u w:val="single"/>
        </w:rPr>
        <w:t xml:space="preserve">    </w:t>
      </w:r>
      <w:r>
        <w:rPr>
          <w:rFonts w:ascii="宋体" w:hAnsi="宋体" w:cs="宋体"/>
          <w:color w:val="000000"/>
          <w:kern w:val="0"/>
          <w:sz w:val="28"/>
          <w:szCs w:val="28"/>
          <w:u w:val="single"/>
        </w:rPr>
        <w:t>24</w:t>
      </w:r>
      <w:r>
        <w:rPr>
          <w:rFonts w:hint="eastAsia" w:ascii="宋体" w:hAnsi="宋体" w:cs="宋体"/>
          <w:color w:val="000000"/>
          <w:kern w:val="0"/>
          <w:sz w:val="28"/>
          <w:szCs w:val="28"/>
          <w:u w:val="single"/>
        </w:rPr>
        <w:t xml:space="preserve">      </w:t>
      </w:r>
      <w:r>
        <w:rPr>
          <w:rFonts w:hint="eastAsia" w:ascii="宋体" w:hAnsi="宋体" w:cs="宋体"/>
          <w:color w:val="000000"/>
          <w:kern w:val="0"/>
          <w:sz w:val="28"/>
          <w:szCs w:val="28"/>
        </w:rPr>
        <w:t>日</w:t>
      </w:r>
    </w:p>
    <w:p>
      <w:pPr>
        <w:widowControl/>
        <w:snapToGrid w:val="0"/>
        <w:spacing w:line="360" w:lineRule="auto"/>
        <w:jc w:val="left"/>
        <w:rPr>
          <w:rFonts w:ascii="仿宋_GB2312" w:hAnsi="宋体" w:eastAsia="仿宋_GB2312" w:cs="宋体"/>
          <w:color w:val="000000"/>
          <w:kern w:val="0"/>
          <w:sz w:val="24"/>
        </w:rPr>
      </w:pPr>
    </w:p>
    <w:p>
      <w:pPr>
        <w:widowControl/>
        <w:snapToGrid w:val="0"/>
        <w:spacing w:line="360" w:lineRule="auto"/>
        <w:jc w:val="left"/>
        <w:rPr>
          <w:rFonts w:ascii="仿宋_GB2312" w:hAnsi="宋体" w:eastAsia="仿宋_GB2312" w:cs="宋体"/>
          <w:color w:val="000000"/>
          <w:kern w:val="0"/>
          <w:sz w:val="24"/>
        </w:rPr>
      </w:pPr>
    </w:p>
    <w:p>
      <w:pPr>
        <w:widowControl/>
        <w:snapToGrid w:val="0"/>
        <w:spacing w:line="360" w:lineRule="auto"/>
        <w:jc w:val="left"/>
        <w:rPr>
          <w:rFonts w:ascii="仿宋_GB2312" w:hAnsi="宋体" w:eastAsia="仿宋_GB2312" w:cs="宋体"/>
          <w:color w:val="000000"/>
          <w:kern w:val="0"/>
          <w:sz w:val="24"/>
        </w:rPr>
      </w:pPr>
    </w:p>
    <w:p>
      <w:pPr>
        <w:widowControl/>
        <w:snapToGrid w:val="0"/>
        <w:spacing w:line="360" w:lineRule="auto"/>
        <w:jc w:val="center"/>
        <w:rPr>
          <w:rFonts w:ascii="楷体_GB2312" w:eastAsia="楷体_GB2312" w:cs="宋体"/>
          <w:b/>
          <w:color w:val="000000"/>
          <w:kern w:val="0"/>
          <w:sz w:val="30"/>
          <w:szCs w:val="30"/>
        </w:rPr>
      </w:pPr>
      <w:r>
        <w:rPr>
          <w:rFonts w:hint="eastAsia" w:ascii="楷体_GB2312" w:eastAsia="楷体_GB2312" w:cs="宋体"/>
          <w:b/>
          <w:color w:val="000000"/>
          <w:kern w:val="0"/>
          <w:sz w:val="30"/>
          <w:szCs w:val="30"/>
        </w:rPr>
        <w:t>上 海 市 教 育 委 员 会</w:t>
      </w:r>
    </w:p>
    <w:p>
      <w:pPr>
        <w:widowControl/>
        <w:snapToGrid w:val="0"/>
        <w:spacing w:line="360" w:lineRule="auto"/>
        <w:jc w:val="left"/>
        <w:rPr>
          <w:rFonts w:ascii="华文中宋" w:hAnsi="华文中宋" w:eastAsia="华文中宋" w:cs="宋体"/>
          <w:b/>
          <w:color w:val="000000"/>
          <w:kern w:val="0"/>
          <w:sz w:val="28"/>
          <w:szCs w:val="28"/>
        </w:rPr>
      </w:pPr>
      <w:r>
        <w:rPr>
          <w:rFonts w:ascii="仿宋_GB2312" w:hAnsi="宋体" w:eastAsia="仿宋_GB2312" w:cs="宋体"/>
          <w:b/>
          <w:color w:val="000000"/>
          <w:kern w:val="0"/>
          <w:sz w:val="28"/>
          <w:szCs w:val="28"/>
        </w:rPr>
        <w:br w:type="page"/>
      </w:r>
      <w:r>
        <w:rPr>
          <w:rFonts w:hint="eastAsia" w:ascii="华文中宋" w:hAnsi="华文中宋" w:eastAsia="华文中宋" w:cs="宋体"/>
          <w:b/>
          <w:color w:val="000000"/>
          <w:kern w:val="0"/>
          <w:sz w:val="28"/>
          <w:szCs w:val="28"/>
        </w:rPr>
        <w:t>1.课程基本情况</w:t>
      </w:r>
    </w:p>
    <w:tbl>
      <w:tblPr>
        <w:tblStyle w:val="6"/>
        <w:tblW w:w="87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0"/>
        <w:gridCol w:w="819"/>
        <w:gridCol w:w="183"/>
        <w:gridCol w:w="1224"/>
        <w:gridCol w:w="173"/>
        <w:gridCol w:w="261"/>
        <w:gridCol w:w="425"/>
        <w:gridCol w:w="203"/>
        <w:gridCol w:w="71"/>
        <w:gridCol w:w="1185"/>
        <w:gridCol w:w="176"/>
        <w:gridCol w:w="238"/>
        <w:gridCol w:w="361"/>
        <w:gridCol w:w="521"/>
        <w:gridCol w:w="235"/>
        <w:gridCol w:w="282"/>
        <w:gridCol w:w="18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1572" w:type="dxa"/>
            <w:gridSpan w:val="3"/>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课程名称</w:t>
            </w:r>
          </w:p>
        </w:tc>
        <w:tc>
          <w:tcPr>
            <w:tcW w:w="7183" w:type="dxa"/>
            <w:gridSpan w:val="14"/>
            <w:vAlign w:val="center"/>
          </w:tcPr>
          <w:p>
            <w:pPr>
              <w:widowControl/>
              <w:snapToGrid w:val="0"/>
              <w:jc w:val="left"/>
              <w:rPr>
                <w:rFonts w:ascii="宋体" w:hAnsi="宋体" w:cs="宋体"/>
                <w:color w:val="000000"/>
                <w:kern w:val="0"/>
                <w:sz w:val="24"/>
                <w:szCs w:val="24"/>
              </w:rPr>
            </w:pPr>
            <w:r>
              <w:rPr>
                <w:rFonts w:hint="eastAsia" w:ascii="宋体" w:hAnsi="宋体" w:cs="宋体"/>
                <w:color w:val="000000"/>
                <w:kern w:val="0"/>
                <w:sz w:val="24"/>
                <w:szCs w:val="24"/>
              </w:rPr>
              <w:t>财务共享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1572" w:type="dxa"/>
            <w:gridSpan w:val="3"/>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课程类型</w:t>
            </w:r>
          </w:p>
        </w:tc>
        <w:tc>
          <w:tcPr>
            <w:tcW w:w="1229" w:type="dxa"/>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考试</w:t>
            </w:r>
          </w:p>
        </w:tc>
        <w:tc>
          <w:tcPr>
            <w:tcW w:w="1141" w:type="dxa"/>
            <w:gridSpan w:val="5"/>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课程对象</w:t>
            </w:r>
          </w:p>
        </w:tc>
        <w:tc>
          <w:tcPr>
            <w:tcW w:w="1361"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本科</w:t>
            </w:r>
          </w:p>
        </w:tc>
        <w:tc>
          <w:tcPr>
            <w:tcW w:w="1594" w:type="dxa"/>
            <w:gridSpan w:val="5"/>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开课时间</w:t>
            </w:r>
          </w:p>
        </w:tc>
        <w:tc>
          <w:tcPr>
            <w:tcW w:w="1858" w:type="dxa"/>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2</w:t>
            </w:r>
            <w:r>
              <w:rPr>
                <w:rFonts w:ascii="宋体" w:hAnsi="宋体" w:cs="宋体"/>
                <w:color w:val="000000"/>
                <w:kern w:val="0"/>
                <w:sz w:val="24"/>
                <w:szCs w:val="24"/>
              </w:rPr>
              <w:t>019.09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1572" w:type="dxa"/>
            <w:gridSpan w:val="3"/>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总学时</w:t>
            </w:r>
          </w:p>
        </w:tc>
        <w:tc>
          <w:tcPr>
            <w:tcW w:w="2093" w:type="dxa"/>
            <w:gridSpan w:val="4"/>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4</w:t>
            </w:r>
            <w:r>
              <w:rPr>
                <w:rFonts w:ascii="宋体" w:hAnsi="宋体" w:cs="宋体"/>
                <w:color w:val="000000"/>
                <w:kern w:val="0"/>
                <w:sz w:val="24"/>
                <w:szCs w:val="24"/>
              </w:rPr>
              <w:t>8</w:t>
            </w:r>
          </w:p>
        </w:tc>
        <w:tc>
          <w:tcPr>
            <w:tcW w:w="2208" w:type="dxa"/>
            <w:gridSpan w:val="6"/>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总学分</w:t>
            </w:r>
          </w:p>
        </w:tc>
        <w:tc>
          <w:tcPr>
            <w:tcW w:w="2882" w:type="dxa"/>
            <w:gridSpan w:val="4"/>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1572" w:type="dxa"/>
            <w:gridSpan w:val="3"/>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选用教材及</w:t>
            </w:r>
          </w:p>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出版社</w:t>
            </w:r>
          </w:p>
        </w:tc>
        <w:tc>
          <w:tcPr>
            <w:tcW w:w="7183" w:type="dxa"/>
            <w:gridSpan w:val="14"/>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财务共享服务（新道科技股份有限公司）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5" w:type="dxa"/>
            <w:vMerge w:val="restart"/>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课程负责人概况</w:t>
            </w:r>
          </w:p>
        </w:tc>
        <w:tc>
          <w:tcPr>
            <w:tcW w:w="1027"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姓名</w:t>
            </w:r>
          </w:p>
        </w:tc>
        <w:tc>
          <w:tcPr>
            <w:tcW w:w="1664" w:type="dxa"/>
            <w:gridSpan w:val="3"/>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张燕雪</w:t>
            </w:r>
          </w:p>
        </w:tc>
        <w:tc>
          <w:tcPr>
            <w:tcW w:w="635"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性别</w:t>
            </w:r>
          </w:p>
        </w:tc>
        <w:tc>
          <w:tcPr>
            <w:tcW w:w="1653" w:type="dxa"/>
            <w:gridSpan w:val="4"/>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女</w:t>
            </w:r>
          </w:p>
        </w:tc>
        <w:tc>
          <w:tcPr>
            <w:tcW w:w="1091" w:type="dxa"/>
            <w:gridSpan w:val="3"/>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出生年月</w:t>
            </w:r>
          </w:p>
        </w:tc>
        <w:tc>
          <w:tcPr>
            <w:tcW w:w="2140" w:type="dxa"/>
            <w:gridSpan w:val="2"/>
            <w:vAlign w:val="center"/>
          </w:tcPr>
          <w:p>
            <w:pPr>
              <w:widowControl/>
              <w:snapToGrid w:val="0"/>
              <w:rPr>
                <w:rFonts w:ascii="宋体" w:hAnsi="宋体" w:cs="宋体"/>
                <w:color w:val="000000"/>
                <w:kern w:val="0"/>
                <w:sz w:val="24"/>
                <w:szCs w:val="24"/>
              </w:rPr>
            </w:pPr>
            <w:r>
              <w:rPr>
                <w:rFonts w:hint="eastAsia" w:ascii="宋体" w:hAnsi="宋体" w:cs="宋体"/>
                <w:color w:val="000000"/>
                <w:kern w:val="0"/>
                <w:sz w:val="24"/>
                <w:szCs w:val="24"/>
              </w:rPr>
              <w:t>1984.10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5" w:type="dxa"/>
            <w:vMerge w:val="continue"/>
            <w:vAlign w:val="center"/>
          </w:tcPr>
          <w:p>
            <w:pPr>
              <w:widowControl/>
              <w:snapToGrid w:val="0"/>
              <w:rPr>
                <w:rFonts w:ascii="宋体" w:hAnsi="宋体" w:cs="宋体"/>
                <w:color w:val="000000"/>
                <w:kern w:val="0"/>
                <w:sz w:val="24"/>
                <w:szCs w:val="24"/>
              </w:rPr>
            </w:pPr>
          </w:p>
        </w:tc>
        <w:tc>
          <w:tcPr>
            <w:tcW w:w="1027"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学历</w:t>
            </w:r>
          </w:p>
        </w:tc>
        <w:tc>
          <w:tcPr>
            <w:tcW w:w="1664" w:type="dxa"/>
            <w:gridSpan w:val="3"/>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硕士</w:t>
            </w:r>
          </w:p>
        </w:tc>
        <w:tc>
          <w:tcPr>
            <w:tcW w:w="635"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学位</w:t>
            </w:r>
          </w:p>
        </w:tc>
        <w:tc>
          <w:tcPr>
            <w:tcW w:w="1653" w:type="dxa"/>
            <w:gridSpan w:val="4"/>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硕士</w:t>
            </w:r>
          </w:p>
        </w:tc>
        <w:tc>
          <w:tcPr>
            <w:tcW w:w="1091" w:type="dxa"/>
            <w:gridSpan w:val="3"/>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职称</w:t>
            </w:r>
          </w:p>
        </w:tc>
        <w:tc>
          <w:tcPr>
            <w:tcW w:w="2140" w:type="dxa"/>
            <w:gridSpan w:val="2"/>
            <w:vAlign w:val="center"/>
          </w:tcPr>
          <w:p>
            <w:pPr>
              <w:widowControl/>
              <w:snapToGrid w:val="0"/>
              <w:rPr>
                <w:rFonts w:ascii="宋体" w:hAnsi="宋体" w:cs="宋体"/>
                <w:color w:val="000000"/>
                <w:kern w:val="0"/>
                <w:sz w:val="24"/>
                <w:szCs w:val="24"/>
              </w:rPr>
            </w:pPr>
            <w:r>
              <w:rPr>
                <w:rFonts w:hint="eastAsia" w:ascii="宋体" w:hAnsi="宋体" w:cs="宋体"/>
                <w:color w:val="000000"/>
                <w:kern w:val="0"/>
                <w:sz w:val="24"/>
                <w:szCs w:val="24"/>
              </w:rPr>
              <w:t>讲师、会计师、经济师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5" w:type="dxa"/>
            <w:vMerge w:val="continue"/>
            <w:vAlign w:val="center"/>
          </w:tcPr>
          <w:p>
            <w:pPr>
              <w:widowControl/>
              <w:snapToGrid w:val="0"/>
              <w:rPr>
                <w:rFonts w:ascii="宋体" w:hAnsi="宋体" w:cs="宋体"/>
                <w:color w:val="000000"/>
                <w:kern w:val="0"/>
                <w:sz w:val="24"/>
                <w:szCs w:val="24"/>
              </w:rPr>
            </w:pPr>
          </w:p>
        </w:tc>
        <w:tc>
          <w:tcPr>
            <w:tcW w:w="1027"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研究方向</w:t>
            </w:r>
          </w:p>
        </w:tc>
        <w:tc>
          <w:tcPr>
            <w:tcW w:w="1664" w:type="dxa"/>
            <w:gridSpan w:val="3"/>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会计</w:t>
            </w:r>
          </w:p>
        </w:tc>
        <w:tc>
          <w:tcPr>
            <w:tcW w:w="635"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院系</w:t>
            </w:r>
          </w:p>
        </w:tc>
        <w:tc>
          <w:tcPr>
            <w:tcW w:w="1653" w:type="dxa"/>
            <w:gridSpan w:val="4"/>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经管学院</w:t>
            </w:r>
          </w:p>
        </w:tc>
        <w:tc>
          <w:tcPr>
            <w:tcW w:w="1091" w:type="dxa"/>
            <w:gridSpan w:val="3"/>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行政职务</w:t>
            </w:r>
          </w:p>
        </w:tc>
        <w:tc>
          <w:tcPr>
            <w:tcW w:w="2140" w:type="dxa"/>
            <w:gridSpan w:val="2"/>
            <w:vAlign w:val="center"/>
          </w:tcPr>
          <w:p>
            <w:pPr>
              <w:widowControl/>
              <w:snapToGrid w:val="0"/>
              <w:rPr>
                <w:rFonts w:ascii="宋体" w:hAnsi="宋体" w:cs="宋体"/>
                <w:color w:val="000000"/>
                <w:kern w:val="0"/>
                <w:sz w:val="24"/>
                <w:szCs w:val="24"/>
              </w:rPr>
            </w:pPr>
            <w:r>
              <w:rPr>
                <w:rFonts w:hint="eastAsia" w:ascii="宋体" w:hAnsi="宋体" w:cs="宋体"/>
                <w:color w:val="000000"/>
                <w:kern w:val="0"/>
                <w:sz w:val="24"/>
                <w:szCs w:val="24"/>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5" w:type="dxa"/>
            <w:vMerge w:val="continue"/>
            <w:vAlign w:val="center"/>
          </w:tcPr>
          <w:p>
            <w:pPr>
              <w:widowControl/>
              <w:snapToGrid w:val="0"/>
              <w:rPr>
                <w:rFonts w:ascii="宋体" w:hAnsi="宋体" w:cs="宋体"/>
                <w:color w:val="000000"/>
                <w:kern w:val="0"/>
                <w:sz w:val="24"/>
                <w:szCs w:val="24"/>
              </w:rPr>
            </w:pPr>
          </w:p>
        </w:tc>
        <w:tc>
          <w:tcPr>
            <w:tcW w:w="1027"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电话</w:t>
            </w:r>
          </w:p>
        </w:tc>
        <w:tc>
          <w:tcPr>
            <w:tcW w:w="1664" w:type="dxa"/>
            <w:gridSpan w:val="3"/>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15105960531</w:t>
            </w:r>
          </w:p>
        </w:tc>
        <w:tc>
          <w:tcPr>
            <w:tcW w:w="635"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手机</w:t>
            </w:r>
          </w:p>
        </w:tc>
        <w:tc>
          <w:tcPr>
            <w:tcW w:w="1653" w:type="dxa"/>
            <w:gridSpan w:val="4"/>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15105960531</w:t>
            </w:r>
          </w:p>
        </w:tc>
        <w:tc>
          <w:tcPr>
            <w:tcW w:w="1091" w:type="dxa"/>
            <w:gridSpan w:val="3"/>
            <w:vAlign w:val="center"/>
          </w:tcPr>
          <w:p>
            <w:pPr>
              <w:widowControl/>
              <w:snapToGrid w:val="0"/>
              <w:jc w:val="center"/>
              <w:rPr>
                <w:color w:val="000000"/>
                <w:kern w:val="0"/>
                <w:sz w:val="24"/>
                <w:szCs w:val="24"/>
              </w:rPr>
            </w:pPr>
            <w:r>
              <w:rPr>
                <w:color w:val="000000"/>
                <w:kern w:val="0"/>
                <w:sz w:val="24"/>
                <w:szCs w:val="24"/>
              </w:rPr>
              <w:t>E-mail</w:t>
            </w:r>
          </w:p>
        </w:tc>
        <w:tc>
          <w:tcPr>
            <w:tcW w:w="2140" w:type="dxa"/>
            <w:gridSpan w:val="2"/>
            <w:vAlign w:val="center"/>
          </w:tcPr>
          <w:p>
            <w:pPr>
              <w:widowControl/>
              <w:snapToGrid w:val="0"/>
              <w:rPr>
                <w:rFonts w:ascii="宋体" w:hAnsi="宋体" w:cs="宋体"/>
                <w:color w:val="000000"/>
                <w:kern w:val="0"/>
                <w:sz w:val="24"/>
                <w:szCs w:val="24"/>
              </w:rPr>
            </w:pPr>
            <w:r>
              <w:rPr>
                <w:rFonts w:hint="eastAsia" w:ascii="宋体" w:hAnsi="宋体" w:cs="宋体"/>
                <w:color w:val="000000"/>
                <w:kern w:val="0"/>
                <w:sz w:val="24"/>
                <w:szCs w:val="24"/>
              </w:rPr>
              <w:t>491620548@qq</w:t>
            </w:r>
            <w:r>
              <w:rPr>
                <w:rFonts w:ascii="宋体" w:hAnsi="宋体" w:cs="宋体"/>
                <w:color w:val="000000"/>
                <w:kern w:val="0"/>
                <w:sz w:val="24"/>
                <w:szCs w:val="24"/>
              </w:rPr>
              <w:t>.com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45" w:type="dxa"/>
            <w:vMerge w:val="continue"/>
            <w:vAlign w:val="center"/>
          </w:tcPr>
          <w:p>
            <w:pPr>
              <w:widowControl/>
              <w:snapToGrid w:val="0"/>
              <w:rPr>
                <w:rFonts w:ascii="宋体" w:hAnsi="宋体" w:cs="宋体"/>
                <w:color w:val="000000"/>
                <w:kern w:val="0"/>
                <w:sz w:val="24"/>
                <w:szCs w:val="24"/>
              </w:rPr>
            </w:pPr>
          </w:p>
        </w:tc>
        <w:tc>
          <w:tcPr>
            <w:tcW w:w="836" w:type="dxa"/>
            <w:vMerge w:val="restart"/>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近三年授课情况</w:t>
            </w:r>
          </w:p>
        </w:tc>
        <w:tc>
          <w:tcPr>
            <w:tcW w:w="1593" w:type="dxa"/>
            <w:gridSpan w:val="3"/>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课程名称</w:t>
            </w:r>
          </w:p>
        </w:tc>
        <w:tc>
          <w:tcPr>
            <w:tcW w:w="897" w:type="dxa"/>
            <w:gridSpan w:val="3"/>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学时</w:t>
            </w:r>
          </w:p>
        </w:tc>
        <w:tc>
          <w:tcPr>
            <w:tcW w:w="1258"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人数</w:t>
            </w:r>
          </w:p>
        </w:tc>
        <w:tc>
          <w:tcPr>
            <w:tcW w:w="1249" w:type="dxa"/>
            <w:gridSpan w:val="4"/>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授课学期</w:t>
            </w:r>
          </w:p>
        </w:tc>
        <w:tc>
          <w:tcPr>
            <w:tcW w:w="2377" w:type="dxa"/>
            <w:gridSpan w:val="3"/>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评教情况（学校或院系排名）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45" w:type="dxa"/>
            <w:vMerge w:val="continue"/>
            <w:vAlign w:val="center"/>
          </w:tcPr>
          <w:p>
            <w:pPr>
              <w:widowControl/>
              <w:snapToGrid w:val="0"/>
              <w:rPr>
                <w:rFonts w:ascii="宋体" w:hAnsi="宋体" w:cs="宋体"/>
                <w:color w:val="000000"/>
                <w:kern w:val="0"/>
                <w:sz w:val="24"/>
                <w:szCs w:val="24"/>
              </w:rPr>
            </w:pPr>
          </w:p>
        </w:tc>
        <w:tc>
          <w:tcPr>
            <w:tcW w:w="836" w:type="dxa"/>
            <w:vMerge w:val="continue"/>
            <w:vAlign w:val="center"/>
          </w:tcPr>
          <w:p>
            <w:pPr>
              <w:widowControl/>
              <w:snapToGrid w:val="0"/>
              <w:jc w:val="center"/>
              <w:rPr>
                <w:rFonts w:ascii="宋体" w:hAnsi="宋体" w:cs="宋体"/>
                <w:color w:val="000000"/>
                <w:kern w:val="0"/>
                <w:sz w:val="24"/>
                <w:szCs w:val="24"/>
              </w:rPr>
            </w:pPr>
          </w:p>
        </w:tc>
        <w:tc>
          <w:tcPr>
            <w:tcW w:w="1593" w:type="dxa"/>
            <w:gridSpan w:val="3"/>
            <w:vAlign w:val="center"/>
          </w:tcPr>
          <w:p>
            <w:pPr>
              <w:widowControl/>
              <w:snapToGrid w:val="0"/>
              <w:rPr>
                <w:rFonts w:ascii="宋体" w:hAnsi="宋体" w:cs="宋体"/>
                <w:color w:val="000000"/>
                <w:kern w:val="0"/>
                <w:sz w:val="24"/>
                <w:szCs w:val="24"/>
              </w:rPr>
            </w:pPr>
            <w:r>
              <w:rPr>
                <w:rFonts w:hint="eastAsia" w:ascii="宋体" w:hAnsi="宋体" w:cs="宋体"/>
                <w:color w:val="000000"/>
                <w:kern w:val="0"/>
                <w:sz w:val="24"/>
                <w:szCs w:val="24"/>
              </w:rPr>
              <w:t>成本会计</w:t>
            </w:r>
          </w:p>
        </w:tc>
        <w:tc>
          <w:tcPr>
            <w:tcW w:w="897" w:type="dxa"/>
            <w:gridSpan w:val="3"/>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192</w:t>
            </w:r>
          </w:p>
        </w:tc>
        <w:tc>
          <w:tcPr>
            <w:tcW w:w="1258" w:type="dxa"/>
            <w:gridSpan w:val="2"/>
            <w:vAlign w:val="center"/>
          </w:tcPr>
          <w:p>
            <w:pPr>
              <w:widowControl/>
              <w:snapToGrid w:val="0"/>
              <w:jc w:val="center"/>
              <w:rPr>
                <w:rFonts w:ascii="宋体" w:hAnsi="宋体" w:cs="宋体"/>
                <w:color w:val="000000"/>
                <w:kern w:val="0"/>
                <w:sz w:val="24"/>
                <w:szCs w:val="24"/>
              </w:rPr>
            </w:pPr>
            <w:r>
              <w:rPr>
                <w:rFonts w:ascii="宋体" w:hAnsi="宋体" w:cs="宋体"/>
                <w:color w:val="000000"/>
                <w:kern w:val="0"/>
                <w:sz w:val="24"/>
                <w:szCs w:val="24"/>
              </w:rPr>
              <w:t>3</w:t>
            </w:r>
            <w:r>
              <w:rPr>
                <w:rFonts w:hint="eastAsia" w:ascii="宋体" w:hAnsi="宋体" w:cs="宋体"/>
                <w:color w:val="000000"/>
                <w:kern w:val="0"/>
                <w:sz w:val="24"/>
                <w:szCs w:val="24"/>
              </w:rPr>
              <w:t>00</w:t>
            </w:r>
          </w:p>
        </w:tc>
        <w:tc>
          <w:tcPr>
            <w:tcW w:w="1249" w:type="dxa"/>
            <w:gridSpan w:val="4"/>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2</w:t>
            </w:r>
            <w:r>
              <w:rPr>
                <w:rFonts w:ascii="宋体" w:hAnsi="宋体" w:cs="宋体"/>
                <w:color w:val="000000"/>
                <w:kern w:val="0"/>
                <w:sz w:val="24"/>
                <w:szCs w:val="24"/>
              </w:rPr>
              <w:t>017</w:t>
            </w:r>
            <w:r>
              <w:rPr>
                <w:rFonts w:hint="eastAsia" w:ascii="宋体" w:hAnsi="宋体" w:cs="宋体"/>
                <w:color w:val="000000"/>
                <w:kern w:val="0"/>
                <w:sz w:val="24"/>
                <w:szCs w:val="24"/>
              </w:rPr>
              <w:t>-</w:t>
            </w:r>
            <w:r>
              <w:rPr>
                <w:rFonts w:ascii="宋体" w:hAnsi="宋体" w:cs="宋体"/>
                <w:color w:val="000000"/>
                <w:kern w:val="0"/>
                <w:sz w:val="24"/>
                <w:szCs w:val="24"/>
              </w:rPr>
              <w:t>2018</w:t>
            </w:r>
            <w:r>
              <w:rPr>
                <w:rFonts w:hint="eastAsia" w:ascii="宋体" w:hAnsi="宋体" w:cs="宋体"/>
                <w:color w:val="000000"/>
                <w:kern w:val="0"/>
                <w:sz w:val="24"/>
                <w:szCs w:val="24"/>
              </w:rPr>
              <w:t>学年</w:t>
            </w:r>
          </w:p>
        </w:tc>
        <w:tc>
          <w:tcPr>
            <w:tcW w:w="2377" w:type="dxa"/>
            <w:gridSpan w:val="3"/>
            <w:vAlign w:val="center"/>
          </w:tcPr>
          <w:p>
            <w:pPr>
              <w:widowControl/>
              <w:snapToGrid w:val="0"/>
              <w:rPr>
                <w:rFonts w:ascii="宋体" w:hAnsi="宋体" w:cs="宋体"/>
                <w:color w:val="000000"/>
                <w:kern w:val="0"/>
                <w:sz w:val="24"/>
                <w:szCs w:val="24"/>
              </w:rPr>
            </w:pPr>
            <w:r>
              <w:rPr>
                <w:rFonts w:hint="eastAsia" w:ascii="宋体" w:hAnsi="宋体" w:cs="宋体"/>
                <w:color w:val="000000"/>
                <w:kern w:val="0"/>
                <w:sz w:val="24"/>
                <w:szCs w:val="24"/>
              </w:rPr>
              <w:t>优秀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45" w:type="dxa"/>
            <w:vMerge w:val="continue"/>
            <w:vAlign w:val="center"/>
          </w:tcPr>
          <w:p>
            <w:pPr>
              <w:widowControl/>
              <w:snapToGrid w:val="0"/>
              <w:rPr>
                <w:rFonts w:ascii="宋体" w:hAnsi="宋体" w:cs="宋体"/>
                <w:color w:val="000000"/>
                <w:kern w:val="0"/>
                <w:sz w:val="24"/>
                <w:szCs w:val="24"/>
              </w:rPr>
            </w:pPr>
          </w:p>
        </w:tc>
        <w:tc>
          <w:tcPr>
            <w:tcW w:w="836" w:type="dxa"/>
            <w:vMerge w:val="continue"/>
            <w:vAlign w:val="center"/>
          </w:tcPr>
          <w:p>
            <w:pPr>
              <w:widowControl/>
              <w:snapToGrid w:val="0"/>
              <w:jc w:val="center"/>
              <w:rPr>
                <w:rFonts w:ascii="宋体" w:hAnsi="宋体" w:cs="宋体"/>
                <w:color w:val="000000"/>
                <w:kern w:val="0"/>
                <w:sz w:val="24"/>
                <w:szCs w:val="24"/>
              </w:rPr>
            </w:pPr>
          </w:p>
        </w:tc>
        <w:tc>
          <w:tcPr>
            <w:tcW w:w="1593" w:type="dxa"/>
            <w:gridSpan w:val="3"/>
          </w:tcPr>
          <w:p>
            <w:pPr>
              <w:widowControl/>
              <w:snapToGrid w:val="0"/>
              <w:rPr>
                <w:rFonts w:ascii="宋体" w:hAnsi="宋体" w:cs="宋体"/>
                <w:color w:val="000000"/>
                <w:kern w:val="0"/>
                <w:sz w:val="24"/>
                <w:szCs w:val="24"/>
              </w:rPr>
            </w:pPr>
            <w:r>
              <w:rPr>
                <w:rFonts w:hint="eastAsia"/>
              </w:rPr>
              <w:t>财务管理</w:t>
            </w:r>
          </w:p>
        </w:tc>
        <w:tc>
          <w:tcPr>
            <w:tcW w:w="897" w:type="dxa"/>
            <w:gridSpan w:val="3"/>
          </w:tcPr>
          <w:p>
            <w:pPr>
              <w:widowControl/>
              <w:snapToGrid w:val="0"/>
              <w:jc w:val="center"/>
              <w:rPr>
                <w:rFonts w:ascii="宋体" w:hAnsi="宋体" w:cs="宋体"/>
                <w:color w:val="000000"/>
                <w:kern w:val="0"/>
                <w:sz w:val="24"/>
                <w:szCs w:val="24"/>
              </w:rPr>
            </w:pPr>
            <w:r>
              <w:rPr>
                <w:rFonts w:hint="eastAsia"/>
              </w:rPr>
              <w:t>192</w:t>
            </w:r>
          </w:p>
        </w:tc>
        <w:tc>
          <w:tcPr>
            <w:tcW w:w="1258" w:type="dxa"/>
            <w:gridSpan w:val="2"/>
          </w:tcPr>
          <w:p>
            <w:pPr>
              <w:widowControl/>
              <w:snapToGrid w:val="0"/>
              <w:jc w:val="center"/>
              <w:rPr>
                <w:rFonts w:ascii="宋体" w:hAnsi="宋体" w:cs="宋体"/>
                <w:color w:val="000000"/>
                <w:kern w:val="0"/>
                <w:sz w:val="24"/>
                <w:szCs w:val="24"/>
              </w:rPr>
            </w:pPr>
            <w:r>
              <w:rPr>
                <w:rFonts w:hint="eastAsia"/>
              </w:rPr>
              <w:t>200</w:t>
            </w:r>
          </w:p>
        </w:tc>
        <w:tc>
          <w:tcPr>
            <w:tcW w:w="1249" w:type="dxa"/>
            <w:gridSpan w:val="4"/>
          </w:tcPr>
          <w:p>
            <w:pPr>
              <w:widowControl/>
              <w:snapToGrid w:val="0"/>
              <w:jc w:val="center"/>
              <w:rPr>
                <w:rFonts w:ascii="宋体" w:hAnsi="宋体" w:cs="宋体"/>
                <w:color w:val="000000"/>
                <w:kern w:val="0"/>
                <w:sz w:val="24"/>
                <w:szCs w:val="24"/>
              </w:rPr>
            </w:pPr>
            <w:r>
              <w:rPr>
                <w:rFonts w:hint="eastAsia"/>
              </w:rPr>
              <w:t>2018-2019学年</w:t>
            </w:r>
          </w:p>
        </w:tc>
        <w:tc>
          <w:tcPr>
            <w:tcW w:w="2377" w:type="dxa"/>
            <w:gridSpan w:val="3"/>
            <w:vAlign w:val="center"/>
          </w:tcPr>
          <w:p>
            <w:pPr>
              <w:widowControl/>
              <w:snapToGrid w:val="0"/>
              <w:rPr>
                <w:rFonts w:ascii="宋体" w:hAnsi="宋体" w:cs="宋体"/>
                <w:color w:val="000000"/>
                <w:kern w:val="0"/>
                <w:sz w:val="24"/>
                <w:szCs w:val="24"/>
              </w:rPr>
            </w:pPr>
            <w:r>
              <w:rPr>
                <w:rFonts w:hint="eastAsia" w:ascii="宋体" w:hAnsi="宋体" w:cs="宋体"/>
                <w:color w:val="000000"/>
                <w:kern w:val="0"/>
                <w:sz w:val="24"/>
                <w:szCs w:val="24"/>
              </w:rPr>
              <w:t>良好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45" w:type="dxa"/>
            <w:vMerge w:val="continue"/>
            <w:vAlign w:val="center"/>
          </w:tcPr>
          <w:p>
            <w:pPr>
              <w:widowControl/>
              <w:snapToGrid w:val="0"/>
              <w:rPr>
                <w:rFonts w:ascii="宋体" w:hAnsi="宋体" w:cs="宋体"/>
                <w:color w:val="000000"/>
                <w:kern w:val="0"/>
                <w:sz w:val="24"/>
                <w:szCs w:val="24"/>
              </w:rPr>
            </w:pPr>
          </w:p>
        </w:tc>
        <w:tc>
          <w:tcPr>
            <w:tcW w:w="836" w:type="dxa"/>
            <w:vMerge w:val="continue"/>
            <w:vAlign w:val="center"/>
          </w:tcPr>
          <w:p>
            <w:pPr>
              <w:widowControl/>
              <w:snapToGrid w:val="0"/>
              <w:jc w:val="center"/>
              <w:rPr>
                <w:rFonts w:ascii="宋体" w:hAnsi="宋体" w:cs="宋体"/>
                <w:color w:val="000000"/>
                <w:kern w:val="0"/>
                <w:sz w:val="24"/>
                <w:szCs w:val="24"/>
              </w:rPr>
            </w:pPr>
          </w:p>
        </w:tc>
        <w:tc>
          <w:tcPr>
            <w:tcW w:w="1593" w:type="dxa"/>
            <w:gridSpan w:val="3"/>
          </w:tcPr>
          <w:p>
            <w:pPr>
              <w:widowControl/>
              <w:snapToGrid w:val="0"/>
              <w:rPr>
                <w:rFonts w:ascii="宋体" w:hAnsi="宋体" w:cs="宋体"/>
                <w:color w:val="000000"/>
                <w:kern w:val="0"/>
                <w:sz w:val="24"/>
                <w:szCs w:val="24"/>
              </w:rPr>
            </w:pPr>
            <w:r>
              <w:rPr>
                <w:rFonts w:hint="eastAsia"/>
              </w:rPr>
              <w:t>财务分析</w:t>
            </w:r>
          </w:p>
        </w:tc>
        <w:tc>
          <w:tcPr>
            <w:tcW w:w="897" w:type="dxa"/>
            <w:gridSpan w:val="3"/>
          </w:tcPr>
          <w:p>
            <w:pPr>
              <w:widowControl/>
              <w:snapToGrid w:val="0"/>
              <w:jc w:val="center"/>
              <w:rPr>
                <w:rFonts w:ascii="宋体" w:hAnsi="宋体" w:cs="宋体"/>
                <w:color w:val="000000"/>
                <w:kern w:val="0"/>
                <w:sz w:val="24"/>
                <w:szCs w:val="24"/>
              </w:rPr>
            </w:pPr>
            <w:r>
              <w:rPr>
                <w:rFonts w:hint="eastAsia"/>
              </w:rPr>
              <w:t>192</w:t>
            </w:r>
          </w:p>
        </w:tc>
        <w:tc>
          <w:tcPr>
            <w:tcW w:w="1258" w:type="dxa"/>
            <w:gridSpan w:val="2"/>
          </w:tcPr>
          <w:p>
            <w:pPr>
              <w:widowControl/>
              <w:snapToGrid w:val="0"/>
              <w:jc w:val="center"/>
              <w:rPr>
                <w:rFonts w:ascii="宋体" w:hAnsi="宋体" w:cs="宋体"/>
                <w:color w:val="000000"/>
                <w:kern w:val="0"/>
                <w:sz w:val="24"/>
                <w:szCs w:val="24"/>
              </w:rPr>
            </w:pPr>
            <w:r>
              <w:rPr>
                <w:rFonts w:hint="eastAsia"/>
              </w:rPr>
              <w:t>200</w:t>
            </w:r>
          </w:p>
        </w:tc>
        <w:tc>
          <w:tcPr>
            <w:tcW w:w="1249" w:type="dxa"/>
            <w:gridSpan w:val="4"/>
          </w:tcPr>
          <w:p>
            <w:pPr>
              <w:widowControl/>
              <w:snapToGrid w:val="0"/>
              <w:jc w:val="center"/>
              <w:rPr>
                <w:rFonts w:ascii="宋体" w:hAnsi="宋体" w:cs="宋体"/>
                <w:color w:val="000000"/>
                <w:kern w:val="0"/>
                <w:sz w:val="24"/>
                <w:szCs w:val="24"/>
              </w:rPr>
            </w:pPr>
            <w:r>
              <w:rPr>
                <w:rFonts w:hint="eastAsia"/>
              </w:rPr>
              <w:t>2019-2010学年第一学期</w:t>
            </w:r>
          </w:p>
        </w:tc>
        <w:tc>
          <w:tcPr>
            <w:tcW w:w="2377" w:type="dxa"/>
            <w:gridSpan w:val="3"/>
            <w:vAlign w:val="center"/>
          </w:tcPr>
          <w:p>
            <w:pPr>
              <w:widowControl/>
              <w:snapToGrid w:val="0"/>
              <w:rPr>
                <w:rFonts w:ascii="宋体" w:hAnsi="宋体" w:cs="宋体"/>
                <w:color w:val="000000"/>
                <w:kern w:val="0"/>
                <w:sz w:val="24"/>
                <w:szCs w:val="24"/>
              </w:rPr>
            </w:pPr>
            <w:r>
              <w:rPr>
                <w:rFonts w:hint="eastAsia" w:ascii="宋体" w:hAnsi="宋体" w:cs="宋体"/>
                <w:color w:val="000000"/>
                <w:kern w:val="0"/>
                <w:sz w:val="24"/>
                <w:szCs w:val="24"/>
              </w:rPr>
              <w:t>良好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45" w:type="dxa"/>
            <w:vMerge w:val="continue"/>
            <w:vAlign w:val="center"/>
          </w:tcPr>
          <w:p>
            <w:pPr>
              <w:widowControl/>
              <w:snapToGrid w:val="0"/>
              <w:rPr>
                <w:rFonts w:ascii="宋体" w:hAnsi="宋体" w:cs="宋体"/>
                <w:color w:val="000000"/>
                <w:kern w:val="0"/>
                <w:sz w:val="24"/>
                <w:szCs w:val="24"/>
              </w:rPr>
            </w:pPr>
          </w:p>
        </w:tc>
        <w:tc>
          <w:tcPr>
            <w:tcW w:w="836" w:type="dxa"/>
            <w:vMerge w:val="continue"/>
            <w:vAlign w:val="center"/>
          </w:tcPr>
          <w:p>
            <w:pPr>
              <w:widowControl/>
              <w:snapToGrid w:val="0"/>
              <w:jc w:val="center"/>
              <w:rPr>
                <w:rFonts w:ascii="宋体" w:hAnsi="宋体" w:cs="宋体"/>
                <w:color w:val="000000"/>
                <w:kern w:val="0"/>
                <w:sz w:val="24"/>
                <w:szCs w:val="24"/>
              </w:rPr>
            </w:pPr>
          </w:p>
        </w:tc>
        <w:tc>
          <w:tcPr>
            <w:tcW w:w="1593" w:type="dxa"/>
            <w:gridSpan w:val="3"/>
          </w:tcPr>
          <w:p>
            <w:pPr>
              <w:widowControl/>
              <w:snapToGrid w:val="0"/>
              <w:rPr>
                <w:rFonts w:ascii="宋体" w:hAnsi="宋体" w:cs="宋体"/>
                <w:color w:val="000000"/>
                <w:kern w:val="0"/>
                <w:sz w:val="24"/>
                <w:szCs w:val="24"/>
              </w:rPr>
            </w:pPr>
            <w:r>
              <w:rPr>
                <w:rFonts w:hint="eastAsia"/>
              </w:rPr>
              <w:t>基础会计</w:t>
            </w:r>
          </w:p>
        </w:tc>
        <w:tc>
          <w:tcPr>
            <w:tcW w:w="897" w:type="dxa"/>
            <w:gridSpan w:val="3"/>
          </w:tcPr>
          <w:p>
            <w:pPr>
              <w:widowControl/>
              <w:snapToGrid w:val="0"/>
              <w:jc w:val="center"/>
              <w:rPr>
                <w:rFonts w:ascii="宋体" w:hAnsi="宋体" w:cs="宋体"/>
                <w:color w:val="000000"/>
                <w:kern w:val="0"/>
                <w:sz w:val="24"/>
                <w:szCs w:val="24"/>
              </w:rPr>
            </w:pPr>
            <w:r>
              <w:rPr>
                <w:rFonts w:hint="eastAsia"/>
              </w:rPr>
              <w:t>96</w:t>
            </w:r>
          </w:p>
        </w:tc>
        <w:tc>
          <w:tcPr>
            <w:tcW w:w="1258" w:type="dxa"/>
            <w:gridSpan w:val="2"/>
          </w:tcPr>
          <w:p>
            <w:pPr>
              <w:widowControl/>
              <w:snapToGrid w:val="0"/>
              <w:jc w:val="center"/>
              <w:rPr>
                <w:rFonts w:ascii="宋体" w:hAnsi="宋体" w:cs="宋体"/>
                <w:color w:val="000000"/>
                <w:kern w:val="0"/>
                <w:sz w:val="24"/>
                <w:szCs w:val="24"/>
              </w:rPr>
            </w:pPr>
            <w:r>
              <w:rPr>
                <w:rFonts w:hint="eastAsia"/>
              </w:rPr>
              <w:t>100</w:t>
            </w:r>
          </w:p>
        </w:tc>
        <w:tc>
          <w:tcPr>
            <w:tcW w:w="1249" w:type="dxa"/>
            <w:gridSpan w:val="4"/>
          </w:tcPr>
          <w:p>
            <w:pPr>
              <w:widowControl/>
              <w:snapToGrid w:val="0"/>
              <w:jc w:val="center"/>
              <w:rPr>
                <w:rFonts w:ascii="宋体" w:hAnsi="宋体" w:cs="宋体"/>
                <w:color w:val="000000"/>
                <w:kern w:val="0"/>
                <w:sz w:val="24"/>
                <w:szCs w:val="24"/>
              </w:rPr>
            </w:pPr>
            <w:r>
              <w:rPr>
                <w:rFonts w:hint="eastAsia"/>
              </w:rPr>
              <w:t>2019-2010学年第二学期</w:t>
            </w:r>
          </w:p>
        </w:tc>
        <w:tc>
          <w:tcPr>
            <w:tcW w:w="2377" w:type="dxa"/>
            <w:gridSpan w:val="3"/>
            <w:vAlign w:val="center"/>
          </w:tcPr>
          <w:p>
            <w:pPr>
              <w:widowControl/>
              <w:snapToGrid w:val="0"/>
              <w:rPr>
                <w:rFonts w:ascii="宋体" w:hAnsi="宋体" w:cs="宋体"/>
                <w:color w:val="000000"/>
                <w:kern w:val="0"/>
                <w:sz w:val="24"/>
                <w:szCs w:val="24"/>
              </w:rPr>
            </w:pPr>
            <w:r>
              <w:rPr>
                <w:rFonts w:hint="eastAsia" w:ascii="宋体" w:hAnsi="宋体" w:cs="宋体"/>
                <w:color w:val="000000"/>
                <w:kern w:val="0"/>
                <w:sz w:val="24"/>
                <w:szCs w:val="24"/>
              </w:rPr>
              <w:t>良好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1" w:hRule="atLeast"/>
          <w:jc w:val="center"/>
        </w:trPr>
        <w:tc>
          <w:tcPr>
            <w:tcW w:w="545" w:type="dxa"/>
            <w:vMerge w:val="continue"/>
            <w:tcBorders>
              <w:bottom w:val="single" w:color="auto" w:sz="4" w:space="0"/>
            </w:tcBorders>
            <w:vAlign w:val="center"/>
          </w:tcPr>
          <w:p>
            <w:pPr>
              <w:widowControl/>
              <w:snapToGrid w:val="0"/>
              <w:rPr>
                <w:rFonts w:ascii="宋体" w:hAnsi="宋体" w:cs="宋体"/>
                <w:color w:val="000000"/>
                <w:kern w:val="0"/>
                <w:sz w:val="24"/>
                <w:szCs w:val="24"/>
              </w:rPr>
            </w:pPr>
          </w:p>
        </w:tc>
        <w:tc>
          <w:tcPr>
            <w:tcW w:w="8210" w:type="dxa"/>
            <w:gridSpan w:val="16"/>
            <w:tcBorders>
              <w:bottom w:val="single" w:color="auto" w:sz="4" w:space="0"/>
            </w:tcBorders>
          </w:tcPr>
          <w:p>
            <w:pPr>
              <w:widowControl/>
              <w:snapToGrid w:val="0"/>
              <w:rPr>
                <w:rFonts w:ascii="宋体" w:hAnsi="宋体" w:cs="宋体"/>
                <w:color w:val="000000"/>
                <w:kern w:val="0"/>
                <w:sz w:val="24"/>
                <w:szCs w:val="24"/>
              </w:rPr>
            </w:pPr>
            <w:r>
              <w:rPr>
                <w:rFonts w:hint="eastAsia" w:ascii="宋体" w:hAnsi="宋体" w:cs="宋体"/>
                <w:color w:val="000000"/>
                <w:kern w:val="0"/>
                <w:sz w:val="24"/>
                <w:szCs w:val="24"/>
              </w:rPr>
              <w:t>简述本人及团队近三年教学、科研成果及获奖情况</w:t>
            </w:r>
          </w:p>
          <w:p>
            <w:pPr>
              <w:widowControl/>
              <w:snapToGrid w:val="0"/>
              <w:rPr>
                <w:rFonts w:ascii="宋体" w:hAnsi="宋体" w:cs="宋体"/>
                <w:color w:val="000000"/>
                <w:kern w:val="0"/>
                <w:sz w:val="24"/>
                <w:szCs w:val="24"/>
              </w:rPr>
            </w:pPr>
            <w:r>
              <w:rPr>
                <w:rFonts w:hint="eastAsia" w:ascii="宋体" w:hAnsi="宋体" w:cs="宋体"/>
                <w:color w:val="000000"/>
                <w:kern w:val="0"/>
                <w:sz w:val="24"/>
                <w:szCs w:val="24"/>
              </w:rPr>
              <w:t>张燕雪</w:t>
            </w:r>
          </w:p>
          <w:p>
            <w:pPr>
              <w:widowControl/>
              <w:snapToGrid w:val="0"/>
              <w:rPr>
                <w:rFonts w:ascii="宋体" w:hAnsi="宋体" w:cs="宋体"/>
                <w:color w:val="000000"/>
                <w:kern w:val="0"/>
                <w:sz w:val="24"/>
                <w:szCs w:val="24"/>
              </w:rPr>
            </w:pPr>
            <w:r>
              <w:rPr>
                <w:rFonts w:ascii="宋体" w:hAnsi="宋体" w:cs="宋体"/>
                <w:color w:val="000000"/>
                <w:kern w:val="0"/>
                <w:sz w:val="24"/>
                <w:szCs w:val="24"/>
              </w:rPr>
              <w:t>1</w:t>
            </w:r>
            <w:r>
              <w:rPr>
                <w:rFonts w:hint="eastAsia" w:ascii="宋体" w:hAnsi="宋体" w:cs="宋体"/>
                <w:color w:val="000000"/>
                <w:kern w:val="0"/>
                <w:sz w:val="24"/>
                <w:szCs w:val="24"/>
              </w:rPr>
              <w:t>. 2018年3月 第119期《求知导刊》国际刊号：ISSN 2095-624X 国内刊号：CN45-1393/N 主管单位：广西师范大学 发表论文《产教融合下高职教育教学改革创新思路探讨》第一作者项目来源：2017年福建省中青年教师教育科研项目，课题为“产教融合下高职会计专业教育教学改革创新研究”，项目批准号闽教科〔2017〕76号JAS171228。</w:t>
            </w:r>
          </w:p>
          <w:p>
            <w:pPr>
              <w:widowControl/>
              <w:snapToGrid w:val="0"/>
              <w:rPr>
                <w:rFonts w:ascii="宋体" w:hAnsi="宋体" w:cs="宋体"/>
                <w:color w:val="000000"/>
                <w:kern w:val="0"/>
                <w:sz w:val="24"/>
                <w:szCs w:val="24"/>
              </w:rPr>
            </w:pPr>
            <w:r>
              <w:rPr>
                <w:rFonts w:ascii="宋体" w:hAnsi="宋体" w:cs="宋体"/>
                <w:color w:val="000000"/>
                <w:kern w:val="0"/>
                <w:sz w:val="24"/>
                <w:szCs w:val="24"/>
              </w:rPr>
              <w:t>2</w:t>
            </w:r>
            <w:r>
              <w:rPr>
                <w:rFonts w:hint="eastAsia" w:ascii="宋体" w:hAnsi="宋体" w:cs="宋体"/>
                <w:color w:val="000000"/>
                <w:kern w:val="0"/>
                <w:sz w:val="24"/>
                <w:szCs w:val="24"/>
              </w:rPr>
              <w:t>.2018年3月出版教材《外贸会计》，书号：978-7-5682-6392-7 ，北京理工大学出版社。第二主编</w:t>
            </w:r>
          </w:p>
          <w:p>
            <w:pPr>
              <w:widowControl/>
              <w:snapToGrid w:val="0"/>
              <w:rPr>
                <w:rFonts w:ascii="宋体" w:hAnsi="宋体" w:cs="宋体"/>
                <w:color w:val="000000"/>
                <w:kern w:val="0"/>
                <w:sz w:val="24"/>
                <w:szCs w:val="24"/>
              </w:rPr>
            </w:pPr>
            <w:r>
              <w:rPr>
                <w:rFonts w:ascii="宋体" w:hAnsi="宋体" w:cs="宋体"/>
                <w:color w:val="000000"/>
                <w:kern w:val="0"/>
                <w:sz w:val="24"/>
                <w:szCs w:val="24"/>
              </w:rPr>
              <w:t>3</w:t>
            </w:r>
            <w:r>
              <w:rPr>
                <w:rFonts w:hint="eastAsia" w:ascii="宋体" w:hAnsi="宋体" w:cs="宋体"/>
                <w:color w:val="000000"/>
                <w:kern w:val="0"/>
                <w:sz w:val="24"/>
                <w:szCs w:val="24"/>
              </w:rPr>
              <w:t xml:space="preserve">. 2019年03月《纳税》，发表论文：“互联网+”时代下电子发票对应用技术型院校财务工作的影响及应对策略探讨。 </w:t>
            </w:r>
          </w:p>
          <w:p>
            <w:pPr>
              <w:widowControl/>
              <w:snapToGrid w:val="0"/>
              <w:rPr>
                <w:rFonts w:ascii="宋体" w:hAnsi="宋体" w:cs="宋体"/>
                <w:color w:val="000000"/>
                <w:kern w:val="0"/>
                <w:sz w:val="24"/>
                <w:szCs w:val="24"/>
              </w:rPr>
            </w:pPr>
            <w:r>
              <w:rPr>
                <w:rFonts w:ascii="宋体" w:hAnsi="宋体" w:cs="宋体"/>
                <w:color w:val="000000"/>
                <w:kern w:val="0"/>
                <w:sz w:val="24"/>
                <w:szCs w:val="24"/>
              </w:rPr>
              <w:t>4</w:t>
            </w:r>
            <w:r>
              <w:rPr>
                <w:rFonts w:hint="eastAsia" w:ascii="宋体" w:hAnsi="宋体" w:cs="宋体"/>
                <w:color w:val="000000"/>
                <w:kern w:val="0"/>
                <w:sz w:val="24"/>
                <w:szCs w:val="24"/>
              </w:rPr>
              <w:t>. 2019年5月《智富时代》，发表论文：应用技术型院校财务管理模式创新。</w:t>
            </w:r>
          </w:p>
          <w:p>
            <w:pPr>
              <w:widowControl/>
              <w:snapToGrid w:val="0"/>
              <w:rPr>
                <w:rFonts w:ascii="宋体" w:hAnsi="宋体" w:cs="宋体"/>
                <w:color w:val="000000"/>
                <w:kern w:val="0"/>
                <w:sz w:val="24"/>
                <w:szCs w:val="24"/>
              </w:rPr>
            </w:pPr>
            <w:r>
              <w:rPr>
                <w:rFonts w:hint="eastAsia" w:ascii="宋体" w:hAnsi="宋体" w:cs="宋体"/>
                <w:color w:val="000000"/>
                <w:kern w:val="0"/>
                <w:sz w:val="24"/>
                <w:szCs w:val="24"/>
              </w:rPr>
              <w:t>5</w:t>
            </w:r>
            <w:r>
              <w:rPr>
                <w:rFonts w:ascii="宋体" w:hAnsi="宋体" w:cs="宋体"/>
                <w:color w:val="000000"/>
                <w:kern w:val="0"/>
                <w:sz w:val="24"/>
                <w:szCs w:val="24"/>
              </w:rPr>
              <w:t>.2020</w:t>
            </w:r>
            <w:r>
              <w:rPr>
                <w:rFonts w:hint="eastAsia" w:ascii="宋体" w:hAnsi="宋体" w:cs="宋体"/>
                <w:color w:val="000000"/>
                <w:kern w:val="0"/>
                <w:sz w:val="24"/>
                <w:szCs w:val="24"/>
              </w:rPr>
              <w:t>年1月《环球市场》，发表论文：金融创新背景下财务管理专业人才培养研究。</w:t>
            </w:r>
          </w:p>
          <w:p>
            <w:pPr>
              <w:widowControl/>
              <w:snapToGrid w:val="0"/>
              <w:rPr>
                <w:rFonts w:ascii="宋体" w:hAnsi="宋体" w:cs="宋体"/>
                <w:color w:val="000000"/>
                <w:kern w:val="0"/>
                <w:sz w:val="24"/>
                <w:szCs w:val="24"/>
              </w:rPr>
            </w:pPr>
            <w:r>
              <w:rPr>
                <w:rFonts w:ascii="宋体" w:hAnsi="宋体" w:cs="宋体"/>
                <w:color w:val="000000"/>
                <w:kern w:val="0"/>
                <w:sz w:val="24"/>
                <w:szCs w:val="24"/>
              </w:rPr>
              <w:t>6.</w:t>
            </w:r>
            <w:r>
              <w:rPr>
                <w:rFonts w:hint="eastAsia" w:ascii="宋体" w:hAnsi="宋体" w:cs="宋体"/>
                <w:color w:val="000000"/>
                <w:kern w:val="0"/>
                <w:sz w:val="24"/>
                <w:szCs w:val="24"/>
              </w:rPr>
              <w:t>2020年</w:t>
            </w:r>
            <w:r>
              <w:rPr>
                <w:rFonts w:ascii="宋体" w:hAnsi="宋体" w:cs="宋体"/>
                <w:color w:val="000000"/>
                <w:kern w:val="0"/>
                <w:sz w:val="24"/>
                <w:szCs w:val="24"/>
              </w:rPr>
              <w:t>6</w:t>
            </w:r>
            <w:r>
              <w:rPr>
                <w:rFonts w:hint="eastAsia" w:ascii="宋体" w:hAnsi="宋体" w:cs="宋体"/>
                <w:color w:val="000000"/>
                <w:kern w:val="0"/>
                <w:sz w:val="24"/>
                <w:szCs w:val="24"/>
              </w:rPr>
              <w:t>月《环球市场》，发表论文：区块链技术在会计领域的运用研究。</w:t>
            </w:r>
          </w:p>
          <w:p>
            <w:pPr>
              <w:widowControl/>
              <w:snapToGrid w:val="0"/>
              <w:rPr>
                <w:rFonts w:ascii="宋体" w:hAnsi="宋体" w:cs="宋体"/>
                <w:color w:val="000000"/>
                <w:kern w:val="0"/>
                <w:sz w:val="24"/>
                <w:szCs w:val="24"/>
              </w:rPr>
            </w:pPr>
            <w:r>
              <w:rPr>
                <w:rFonts w:hint="eastAsia" w:ascii="宋体" w:hAnsi="宋体" w:cs="宋体"/>
                <w:color w:val="000000"/>
                <w:kern w:val="0"/>
                <w:sz w:val="24"/>
                <w:szCs w:val="24"/>
              </w:rPr>
              <w:t>7</w:t>
            </w:r>
            <w:r>
              <w:rPr>
                <w:rFonts w:ascii="宋体" w:hAnsi="宋体" w:cs="宋体"/>
                <w:color w:val="000000"/>
                <w:kern w:val="0"/>
                <w:sz w:val="24"/>
                <w:szCs w:val="24"/>
              </w:rPr>
              <w:t>.</w:t>
            </w:r>
            <w:r>
              <w:rPr>
                <w:rFonts w:hint="eastAsia" w:ascii="宋体" w:hAnsi="宋体" w:cs="宋体"/>
                <w:color w:val="000000"/>
                <w:kern w:val="0"/>
                <w:sz w:val="24"/>
                <w:szCs w:val="24"/>
              </w:rPr>
              <w:t>课题：区块链技术在会计领域的运用 上海立达学院 在研。</w:t>
            </w:r>
          </w:p>
          <w:p>
            <w:pPr>
              <w:pStyle w:val="11"/>
              <w:widowControl/>
              <w:snapToGrid w:val="0"/>
              <w:ind w:left="360" w:firstLine="0" w:firstLineChars="0"/>
              <w:rPr>
                <w:rFonts w:ascii="宋体" w:hAnsi="宋体" w:cs="宋体"/>
                <w:color w:val="000000"/>
                <w:kern w:val="0"/>
                <w:sz w:val="24"/>
                <w:szCs w:val="24"/>
              </w:rPr>
            </w:pPr>
          </w:p>
          <w:p>
            <w:pPr>
              <w:widowControl/>
              <w:snapToGrid w:val="0"/>
              <w:rPr>
                <w:rFonts w:ascii="宋体" w:hAnsi="宋体" w:cs="宋体"/>
                <w:color w:val="000000"/>
                <w:kern w:val="0"/>
                <w:sz w:val="24"/>
                <w:szCs w:val="24"/>
              </w:rPr>
            </w:pPr>
            <w:r>
              <w:rPr>
                <w:rFonts w:hint="eastAsia" w:ascii="宋体" w:hAnsi="宋体" w:cs="宋体"/>
                <w:color w:val="000000"/>
                <w:kern w:val="0"/>
                <w:sz w:val="24"/>
                <w:szCs w:val="24"/>
              </w:rPr>
              <w:t>曾丽萍</w:t>
            </w:r>
          </w:p>
          <w:p>
            <w:pPr>
              <w:widowControl/>
              <w:snapToGrid w:val="0"/>
              <w:rPr>
                <w:rFonts w:ascii="宋体" w:hAnsi="宋体" w:cs="宋体"/>
                <w:color w:val="000000"/>
                <w:kern w:val="0"/>
                <w:sz w:val="24"/>
                <w:szCs w:val="24"/>
              </w:rPr>
            </w:pPr>
            <w:r>
              <w:rPr>
                <w:rFonts w:hint="eastAsia" w:ascii="宋体" w:hAnsi="宋体" w:cs="宋体"/>
                <w:color w:val="000000"/>
                <w:kern w:val="0"/>
                <w:sz w:val="24"/>
                <w:szCs w:val="24"/>
              </w:rPr>
              <w:t>1</w:t>
            </w:r>
            <w:r>
              <w:rPr>
                <w:rFonts w:ascii="宋体" w:hAnsi="宋体" w:cs="宋体"/>
                <w:color w:val="000000"/>
                <w:kern w:val="0"/>
                <w:sz w:val="24"/>
                <w:szCs w:val="24"/>
              </w:rPr>
              <w:t>.</w:t>
            </w:r>
            <w:r>
              <w:rPr>
                <w:rFonts w:hint="eastAsia" w:ascii="宋体" w:hAnsi="宋体" w:cs="宋体"/>
                <w:color w:val="000000"/>
                <w:kern w:val="0"/>
                <w:sz w:val="24"/>
                <w:szCs w:val="24"/>
              </w:rPr>
              <w:t>互联网背景下高职会计专业课程建设探讨——基于教育生态理念</w:t>
            </w:r>
            <w:r>
              <w:rPr>
                <w:rFonts w:hint="eastAsia" w:ascii="宋体" w:hAnsi="宋体" w:cs="宋体"/>
                <w:color w:val="000000"/>
                <w:kern w:val="0"/>
                <w:sz w:val="24"/>
                <w:szCs w:val="24"/>
              </w:rPr>
              <w:tab/>
            </w:r>
            <w:r>
              <w:rPr>
                <w:rFonts w:hint="eastAsia" w:ascii="宋体" w:hAnsi="宋体" w:cs="宋体"/>
                <w:color w:val="000000"/>
                <w:kern w:val="0"/>
                <w:sz w:val="24"/>
                <w:szCs w:val="24"/>
              </w:rPr>
              <w:t>商业会计</w:t>
            </w:r>
            <w:r>
              <w:rPr>
                <w:rFonts w:hint="eastAsia" w:ascii="宋体" w:hAnsi="宋体" w:cs="宋体"/>
                <w:color w:val="000000"/>
                <w:kern w:val="0"/>
                <w:sz w:val="24"/>
                <w:szCs w:val="24"/>
              </w:rPr>
              <w:tab/>
            </w:r>
            <w:r>
              <w:rPr>
                <w:rFonts w:hint="eastAsia" w:ascii="宋体" w:hAnsi="宋体" w:cs="宋体"/>
                <w:color w:val="000000"/>
                <w:kern w:val="0"/>
                <w:sz w:val="24"/>
                <w:szCs w:val="24"/>
              </w:rPr>
              <w:t>2017.6。</w:t>
            </w:r>
          </w:p>
          <w:p>
            <w:pPr>
              <w:widowControl/>
              <w:snapToGrid w:val="0"/>
              <w:rPr>
                <w:rFonts w:ascii="宋体" w:hAnsi="宋体" w:cs="宋体"/>
                <w:color w:val="000000"/>
                <w:kern w:val="0"/>
                <w:sz w:val="24"/>
                <w:szCs w:val="24"/>
              </w:rPr>
            </w:pPr>
            <w:r>
              <w:rPr>
                <w:rFonts w:hint="eastAsia" w:ascii="宋体" w:hAnsi="宋体" w:cs="宋体"/>
                <w:color w:val="000000"/>
                <w:kern w:val="0"/>
                <w:sz w:val="24"/>
                <w:szCs w:val="24"/>
              </w:rPr>
              <w:t>2</w:t>
            </w:r>
            <w:r>
              <w:rPr>
                <w:rFonts w:ascii="宋体" w:hAnsi="宋体" w:cs="宋体"/>
                <w:color w:val="000000"/>
                <w:kern w:val="0"/>
                <w:sz w:val="24"/>
                <w:szCs w:val="24"/>
              </w:rPr>
              <w:t>.</w:t>
            </w:r>
            <w:r>
              <w:rPr>
                <w:rFonts w:hint="eastAsia" w:ascii="宋体" w:hAnsi="宋体" w:cs="宋体"/>
                <w:color w:val="000000"/>
                <w:kern w:val="0"/>
                <w:sz w:val="24"/>
                <w:szCs w:val="24"/>
              </w:rPr>
              <w:t>互联网背景下高职会计专业课程建设探讨——基于教育生态理念</w:t>
            </w:r>
            <w:r>
              <w:rPr>
                <w:rFonts w:hint="eastAsia" w:ascii="宋体" w:hAnsi="宋体" w:cs="宋体"/>
                <w:color w:val="000000"/>
                <w:kern w:val="0"/>
                <w:sz w:val="24"/>
                <w:szCs w:val="24"/>
              </w:rPr>
              <w:tab/>
            </w:r>
            <w:r>
              <w:rPr>
                <w:rFonts w:hint="eastAsia" w:ascii="宋体" w:hAnsi="宋体" w:cs="宋体"/>
                <w:color w:val="000000"/>
                <w:kern w:val="0"/>
                <w:sz w:val="24"/>
                <w:szCs w:val="24"/>
              </w:rPr>
              <w:t>商业会计</w:t>
            </w:r>
            <w:r>
              <w:rPr>
                <w:rFonts w:hint="eastAsia" w:ascii="宋体" w:hAnsi="宋体" w:cs="宋体"/>
                <w:color w:val="000000"/>
                <w:kern w:val="0"/>
                <w:sz w:val="24"/>
                <w:szCs w:val="24"/>
              </w:rPr>
              <w:tab/>
            </w:r>
            <w:r>
              <w:rPr>
                <w:rFonts w:hint="eastAsia" w:ascii="宋体" w:hAnsi="宋体" w:cs="宋体"/>
                <w:color w:val="000000"/>
                <w:kern w:val="0"/>
                <w:sz w:val="24"/>
                <w:szCs w:val="24"/>
              </w:rPr>
              <w:t>2017.6。</w:t>
            </w:r>
          </w:p>
          <w:p>
            <w:pPr>
              <w:widowControl/>
              <w:snapToGrid w:val="0"/>
              <w:rPr>
                <w:rFonts w:ascii="宋体" w:hAnsi="宋体" w:cs="宋体"/>
                <w:color w:val="000000"/>
                <w:kern w:val="0"/>
                <w:sz w:val="24"/>
                <w:szCs w:val="24"/>
              </w:rPr>
            </w:pPr>
            <w:r>
              <w:rPr>
                <w:rFonts w:hint="eastAsia" w:ascii="宋体" w:hAnsi="宋体" w:cs="宋体"/>
                <w:color w:val="000000"/>
                <w:kern w:val="0"/>
                <w:sz w:val="24"/>
                <w:szCs w:val="24"/>
              </w:rPr>
              <w:t>3</w:t>
            </w:r>
            <w:r>
              <w:rPr>
                <w:rFonts w:ascii="宋体" w:hAnsi="宋体" w:cs="宋体"/>
                <w:color w:val="000000"/>
                <w:kern w:val="0"/>
                <w:sz w:val="24"/>
                <w:szCs w:val="24"/>
              </w:rPr>
              <w:t>.</w:t>
            </w:r>
            <w:r>
              <w:rPr>
                <w:rFonts w:hint="eastAsia" w:ascii="宋体" w:hAnsi="宋体" w:cs="宋体"/>
                <w:color w:val="000000"/>
                <w:kern w:val="0"/>
                <w:sz w:val="24"/>
                <w:szCs w:val="24"/>
              </w:rPr>
              <w:t>基于建构主义理论的高职会计智慧学习工场构建研究</w:t>
            </w:r>
            <w:r>
              <w:rPr>
                <w:rFonts w:hint="eastAsia" w:ascii="宋体" w:hAnsi="宋体" w:cs="宋体"/>
                <w:color w:val="000000"/>
                <w:kern w:val="0"/>
                <w:sz w:val="24"/>
                <w:szCs w:val="24"/>
              </w:rPr>
              <w:tab/>
            </w:r>
            <w:r>
              <w:rPr>
                <w:rFonts w:hint="eastAsia" w:ascii="宋体" w:hAnsi="宋体" w:cs="宋体"/>
                <w:color w:val="000000"/>
                <w:kern w:val="0"/>
                <w:sz w:val="24"/>
                <w:szCs w:val="24"/>
              </w:rPr>
              <w:t>上海市教育科学规划办</w:t>
            </w:r>
            <w:r>
              <w:rPr>
                <w:rFonts w:hint="eastAsia" w:ascii="宋体" w:hAnsi="宋体" w:cs="宋体"/>
                <w:color w:val="000000"/>
                <w:kern w:val="0"/>
                <w:sz w:val="24"/>
                <w:szCs w:val="24"/>
              </w:rPr>
              <w:tab/>
            </w:r>
            <w:r>
              <w:rPr>
                <w:rFonts w:hint="eastAsia" w:ascii="宋体" w:hAnsi="宋体" w:cs="宋体"/>
                <w:color w:val="000000"/>
                <w:kern w:val="0"/>
                <w:sz w:val="24"/>
                <w:szCs w:val="24"/>
              </w:rPr>
              <w:t>在研。</w:t>
            </w:r>
          </w:p>
          <w:p>
            <w:pPr>
              <w:widowControl/>
              <w:snapToGrid w:val="0"/>
              <w:rPr>
                <w:rFonts w:ascii="宋体" w:hAnsi="宋体" w:cs="宋体"/>
                <w:color w:val="000000"/>
                <w:kern w:val="0"/>
                <w:sz w:val="24"/>
                <w:szCs w:val="24"/>
              </w:rPr>
            </w:pPr>
            <w:r>
              <w:rPr>
                <w:rFonts w:hint="eastAsia" w:ascii="宋体" w:hAnsi="宋体" w:cs="宋体"/>
                <w:color w:val="000000"/>
                <w:kern w:val="0"/>
                <w:sz w:val="24"/>
                <w:szCs w:val="24"/>
              </w:rPr>
              <w:t>4</w:t>
            </w:r>
            <w:r>
              <w:rPr>
                <w:rFonts w:ascii="宋体" w:hAnsi="宋体" w:cs="宋体"/>
                <w:color w:val="000000"/>
                <w:kern w:val="0"/>
                <w:sz w:val="24"/>
                <w:szCs w:val="24"/>
              </w:rPr>
              <w:t>.</w:t>
            </w:r>
            <w:r>
              <w:rPr>
                <w:rFonts w:hint="eastAsia" w:ascii="宋体" w:hAnsi="宋体" w:cs="宋体"/>
                <w:color w:val="000000"/>
                <w:kern w:val="0"/>
                <w:sz w:val="24"/>
                <w:szCs w:val="24"/>
              </w:rPr>
              <w:t>基于建构主义理论的高职会计碎片化学习资源建设研究与实践</w:t>
            </w:r>
            <w:r>
              <w:rPr>
                <w:rFonts w:hint="eastAsia" w:ascii="宋体" w:hAnsi="宋体" w:cs="宋体"/>
                <w:color w:val="000000"/>
                <w:kern w:val="0"/>
                <w:sz w:val="24"/>
                <w:szCs w:val="24"/>
              </w:rPr>
              <w:tab/>
            </w:r>
            <w:r>
              <w:rPr>
                <w:rFonts w:hint="eastAsia" w:ascii="宋体" w:hAnsi="宋体" w:cs="宋体"/>
                <w:color w:val="000000"/>
                <w:kern w:val="0"/>
                <w:sz w:val="24"/>
                <w:szCs w:val="24"/>
              </w:rPr>
              <w:t>上海市高等教育学会</w:t>
            </w:r>
            <w:r>
              <w:rPr>
                <w:rFonts w:hint="eastAsia" w:ascii="宋体" w:hAnsi="宋体" w:cs="宋体"/>
                <w:color w:val="000000"/>
                <w:kern w:val="0"/>
                <w:sz w:val="24"/>
                <w:szCs w:val="24"/>
              </w:rPr>
              <w:tab/>
            </w:r>
            <w:r>
              <w:rPr>
                <w:rFonts w:hint="eastAsia" w:ascii="宋体" w:hAnsi="宋体" w:cs="宋体"/>
                <w:color w:val="000000"/>
                <w:kern w:val="0"/>
                <w:sz w:val="24"/>
                <w:szCs w:val="24"/>
              </w:rPr>
              <w:t>在研。</w:t>
            </w:r>
          </w:p>
          <w:p>
            <w:pPr>
              <w:widowControl/>
              <w:snapToGrid w:val="0"/>
              <w:rPr>
                <w:rFonts w:ascii="宋体" w:hAnsi="宋体" w:cs="宋体"/>
                <w:color w:val="000000"/>
                <w:kern w:val="0"/>
                <w:sz w:val="24"/>
                <w:szCs w:val="24"/>
              </w:rPr>
            </w:pPr>
            <w:r>
              <w:rPr>
                <w:rFonts w:hint="eastAsia" w:ascii="宋体" w:hAnsi="宋体" w:cs="宋体"/>
                <w:color w:val="000000"/>
                <w:kern w:val="0"/>
                <w:sz w:val="24"/>
                <w:szCs w:val="24"/>
              </w:rPr>
              <w:t>5</w:t>
            </w:r>
            <w:r>
              <w:rPr>
                <w:rFonts w:ascii="宋体" w:hAnsi="宋体" w:cs="宋体"/>
                <w:color w:val="000000"/>
                <w:kern w:val="0"/>
                <w:sz w:val="24"/>
                <w:szCs w:val="24"/>
              </w:rPr>
              <w:t>.</w:t>
            </w:r>
            <w:r>
              <w:rPr>
                <w:rFonts w:hint="eastAsia" w:ascii="宋体" w:hAnsi="宋体" w:cs="宋体"/>
                <w:color w:val="000000"/>
                <w:kern w:val="0"/>
                <w:sz w:val="24"/>
                <w:szCs w:val="24"/>
              </w:rPr>
              <w:t>应用型本科财务管理专业学习质量保障体系构建——基于理念  商业会计  2020.05。</w:t>
            </w:r>
          </w:p>
          <w:p>
            <w:pPr>
              <w:widowControl/>
              <w:snapToGrid w:val="0"/>
              <w:rPr>
                <w:rFonts w:ascii="宋体" w:hAnsi="宋体" w:cs="宋体"/>
                <w:color w:val="000000"/>
                <w:kern w:val="0"/>
                <w:sz w:val="24"/>
                <w:szCs w:val="24"/>
              </w:rPr>
            </w:pPr>
          </w:p>
          <w:p>
            <w:pPr>
              <w:widowControl/>
              <w:snapToGrid w:val="0"/>
              <w:rPr>
                <w:rFonts w:ascii="宋体" w:hAnsi="宋体" w:cs="宋体"/>
                <w:color w:val="000000"/>
                <w:kern w:val="0"/>
                <w:sz w:val="24"/>
                <w:szCs w:val="24"/>
              </w:rPr>
            </w:pPr>
            <w:r>
              <w:rPr>
                <w:rFonts w:hint="eastAsia" w:ascii="宋体" w:hAnsi="宋体" w:cs="宋体"/>
                <w:color w:val="000000"/>
                <w:kern w:val="0"/>
                <w:sz w:val="24"/>
                <w:szCs w:val="24"/>
              </w:rPr>
              <w:t>陈林：</w:t>
            </w:r>
          </w:p>
          <w:p>
            <w:pPr>
              <w:widowControl/>
              <w:snapToGrid w:val="0"/>
              <w:rPr>
                <w:rFonts w:ascii="宋体" w:hAnsi="宋体" w:cs="宋体"/>
                <w:color w:val="000000"/>
                <w:kern w:val="0"/>
                <w:sz w:val="24"/>
                <w:szCs w:val="24"/>
              </w:rPr>
            </w:pPr>
            <w:r>
              <w:rPr>
                <w:rFonts w:hint="eastAsia" w:ascii="宋体" w:hAnsi="宋体" w:cs="宋体"/>
                <w:color w:val="000000"/>
                <w:kern w:val="0"/>
                <w:sz w:val="24"/>
                <w:szCs w:val="24"/>
              </w:rPr>
              <w:t xml:space="preserve">企业应对会计准则修订案例库 院级 2018 上海立信会计金融学院 在研 </w:t>
            </w:r>
          </w:p>
          <w:p>
            <w:pPr>
              <w:widowControl/>
              <w:snapToGrid w:val="0"/>
              <w:rPr>
                <w:rFonts w:ascii="宋体" w:hAnsi="宋体" w:cs="宋体"/>
                <w:color w:val="000000"/>
                <w:kern w:val="0"/>
                <w:sz w:val="24"/>
                <w:szCs w:val="24"/>
              </w:rPr>
            </w:pPr>
            <w:r>
              <w:rPr>
                <w:rFonts w:hint="eastAsia" w:ascii="宋体" w:hAnsi="宋体" w:cs="宋体"/>
                <w:color w:val="000000"/>
                <w:kern w:val="0"/>
                <w:sz w:val="24"/>
                <w:szCs w:val="24"/>
              </w:rPr>
              <w:t>互联网时代和中国制度背景下会计审计与公司财务关键科学问题研究 国社科重大项目 2018 国社科基金委 在研</w:t>
            </w:r>
          </w:p>
          <w:p>
            <w:pPr>
              <w:widowControl/>
              <w:snapToGrid w:val="0"/>
              <w:rPr>
                <w:rFonts w:ascii="宋体" w:hAnsi="宋体" w:cs="宋体"/>
                <w:color w:val="000000"/>
                <w:kern w:val="0"/>
                <w:sz w:val="24"/>
                <w:szCs w:val="24"/>
              </w:rPr>
            </w:pPr>
          </w:p>
          <w:p>
            <w:pPr>
              <w:widowControl/>
              <w:snapToGrid w:val="0"/>
              <w:rPr>
                <w:rFonts w:ascii="宋体" w:hAnsi="宋体" w:cs="宋体"/>
                <w:color w:val="000000"/>
                <w:kern w:val="0"/>
                <w:sz w:val="24"/>
                <w:szCs w:val="24"/>
              </w:rPr>
            </w:pPr>
            <w:r>
              <w:rPr>
                <w:rFonts w:hint="eastAsia" w:ascii="宋体" w:hAnsi="宋体" w:cs="宋体"/>
                <w:color w:val="000000"/>
                <w:kern w:val="0"/>
                <w:sz w:val="24"/>
                <w:szCs w:val="24"/>
              </w:rPr>
              <w:t>团队：</w:t>
            </w:r>
          </w:p>
          <w:p>
            <w:pPr>
              <w:widowControl/>
              <w:snapToGrid w:val="0"/>
              <w:rPr>
                <w:rFonts w:ascii="宋体" w:hAnsi="宋体" w:cs="宋体"/>
                <w:color w:val="000000"/>
                <w:kern w:val="0"/>
                <w:sz w:val="24"/>
                <w:szCs w:val="24"/>
              </w:rPr>
            </w:pPr>
            <w:r>
              <w:rPr>
                <w:rFonts w:hint="eastAsia" w:ascii="宋体" w:hAnsi="宋体" w:cs="宋体"/>
                <w:color w:val="000000"/>
                <w:kern w:val="0"/>
                <w:sz w:val="24"/>
                <w:szCs w:val="24"/>
              </w:rPr>
              <w:t>1</w:t>
            </w:r>
            <w:r>
              <w:rPr>
                <w:rFonts w:ascii="宋体" w:hAnsi="宋体" w:cs="宋体"/>
                <w:color w:val="000000"/>
                <w:kern w:val="0"/>
                <w:sz w:val="24"/>
                <w:szCs w:val="24"/>
              </w:rPr>
              <w:t>.</w:t>
            </w:r>
            <w:r>
              <w:rPr>
                <w:rFonts w:hint="eastAsia" w:ascii="宋体" w:hAnsi="宋体" w:cs="宋体"/>
                <w:color w:val="000000"/>
                <w:kern w:val="0"/>
                <w:sz w:val="24"/>
                <w:szCs w:val="24"/>
              </w:rPr>
              <w:t>“财务管理”精品课程建设 建设中</w:t>
            </w:r>
          </w:p>
          <w:p>
            <w:pPr>
              <w:widowControl/>
              <w:snapToGrid w:val="0"/>
              <w:rPr>
                <w:rFonts w:ascii="宋体" w:hAnsi="宋体" w:cs="宋体"/>
                <w:color w:val="000000"/>
                <w:kern w:val="0"/>
                <w:sz w:val="24"/>
                <w:szCs w:val="24"/>
              </w:rPr>
            </w:pPr>
            <w:r>
              <w:rPr>
                <w:rFonts w:hint="eastAsia" w:ascii="宋体" w:hAnsi="宋体" w:cs="宋体"/>
                <w:color w:val="000000"/>
                <w:kern w:val="0"/>
                <w:sz w:val="24"/>
                <w:szCs w:val="24"/>
              </w:rPr>
              <w:t>2</w:t>
            </w:r>
            <w:r>
              <w:rPr>
                <w:rFonts w:ascii="宋体" w:hAnsi="宋体" w:cs="宋体"/>
                <w:color w:val="000000"/>
                <w:kern w:val="0"/>
                <w:sz w:val="24"/>
                <w:szCs w:val="24"/>
              </w:rPr>
              <w:t>.</w:t>
            </w:r>
            <w:r>
              <w:rPr>
                <w:rFonts w:hint="eastAsia" w:ascii="宋体" w:hAnsi="宋体" w:cs="宋体"/>
                <w:color w:val="000000"/>
                <w:kern w:val="0"/>
                <w:sz w:val="24"/>
                <w:szCs w:val="24"/>
              </w:rPr>
              <w:t>“财务管理”自编教材</w:t>
            </w:r>
          </w:p>
          <w:p>
            <w:pPr>
              <w:widowControl/>
              <w:snapToGrid w:val="0"/>
              <w:rPr>
                <w:rFonts w:ascii="宋体" w:hAnsi="宋体" w:cs="宋体"/>
                <w:color w:val="000000"/>
                <w:kern w:val="0"/>
                <w:sz w:val="24"/>
                <w:szCs w:val="24"/>
              </w:rPr>
            </w:pPr>
            <w:r>
              <w:rPr>
                <w:rFonts w:hint="eastAsia" w:ascii="宋体" w:hAnsi="宋体" w:cs="宋体"/>
                <w:color w:val="000000"/>
                <w:kern w:val="0"/>
                <w:sz w:val="24"/>
                <w:szCs w:val="24"/>
              </w:rPr>
              <w:t>3</w:t>
            </w:r>
            <w:r>
              <w:rPr>
                <w:rFonts w:ascii="宋体" w:hAnsi="宋体" w:cs="宋体"/>
                <w:color w:val="000000"/>
                <w:kern w:val="0"/>
                <w:sz w:val="24"/>
                <w:szCs w:val="24"/>
              </w:rPr>
              <w:t>.</w:t>
            </w:r>
            <w:r>
              <w:rPr>
                <w:rFonts w:hint="eastAsia" w:ascii="宋体" w:hAnsi="宋体" w:cs="宋体"/>
                <w:color w:val="000000"/>
                <w:kern w:val="0"/>
                <w:sz w:val="24"/>
                <w:szCs w:val="24"/>
              </w:rPr>
              <w:t>“中级财务会计”自编教材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45" w:type="dxa"/>
            <w:vMerge w:val="restart"/>
            <w:vAlign w:val="center"/>
          </w:tcPr>
          <w:p>
            <w:pPr>
              <w:widowControl/>
              <w:snapToGrid w:val="0"/>
              <w:rPr>
                <w:rFonts w:ascii="宋体" w:hAnsi="宋体" w:cs="宋体"/>
                <w:color w:val="000000"/>
                <w:kern w:val="0"/>
                <w:sz w:val="24"/>
                <w:szCs w:val="24"/>
              </w:rPr>
            </w:pPr>
            <w:r>
              <w:rPr>
                <w:rFonts w:hint="eastAsia" w:ascii="宋体" w:hAnsi="宋体" w:cs="宋体"/>
                <w:color w:val="000000"/>
                <w:kern w:val="0"/>
                <w:sz w:val="24"/>
                <w:szCs w:val="24"/>
              </w:rPr>
              <w:t>教学团队</w:t>
            </w:r>
          </w:p>
        </w:tc>
        <w:tc>
          <w:tcPr>
            <w:tcW w:w="836" w:type="dxa"/>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姓名</w:t>
            </w:r>
          </w:p>
        </w:tc>
        <w:tc>
          <w:tcPr>
            <w:tcW w:w="1593" w:type="dxa"/>
            <w:gridSpan w:val="3"/>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职称</w:t>
            </w:r>
          </w:p>
        </w:tc>
        <w:tc>
          <w:tcPr>
            <w:tcW w:w="897" w:type="dxa"/>
            <w:gridSpan w:val="3"/>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学位</w:t>
            </w:r>
          </w:p>
        </w:tc>
        <w:tc>
          <w:tcPr>
            <w:tcW w:w="1258"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出生年月</w:t>
            </w:r>
          </w:p>
        </w:tc>
        <w:tc>
          <w:tcPr>
            <w:tcW w:w="1249" w:type="dxa"/>
            <w:gridSpan w:val="4"/>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所在单位</w:t>
            </w:r>
          </w:p>
        </w:tc>
        <w:tc>
          <w:tcPr>
            <w:tcW w:w="2377" w:type="dxa"/>
            <w:gridSpan w:val="3"/>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课程中承担的任务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45" w:type="dxa"/>
            <w:vMerge w:val="continue"/>
            <w:vAlign w:val="center"/>
          </w:tcPr>
          <w:p>
            <w:pPr>
              <w:widowControl/>
              <w:snapToGrid w:val="0"/>
              <w:rPr>
                <w:rFonts w:ascii="宋体" w:hAnsi="宋体" w:cs="宋体"/>
                <w:color w:val="000000"/>
                <w:kern w:val="0"/>
                <w:sz w:val="24"/>
                <w:szCs w:val="24"/>
              </w:rPr>
            </w:pPr>
          </w:p>
        </w:tc>
        <w:tc>
          <w:tcPr>
            <w:tcW w:w="836" w:type="dxa"/>
          </w:tcPr>
          <w:p>
            <w:pPr>
              <w:widowControl/>
              <w:snapToGrid w:val="0"/>
              <w:jc w:val="center"/>
              <w:rPr>
                <w:rFonts w:ascii="宋体" w:hAnsi="宋体" w:cs="宋体"/>
                <w:color w:val="000000"/>
                <w:kern w:val="0"/>
                <w:sz w:val="24"/>
                <w:szCs w:val="24"/>
              </w:rPr>
            </w:pPr>
            <w:r>
              <w:rPr>
                <w:rFonts w:hint="eastAsia"/>
              </w:rPr>
              <w:t>陶珍珍</w:t>
            </w:r>
          </w:p>
        </w:tc>
        <w:tc>
          <w:tcPr>
            <w:tcW w:w="1593" w:type="dxa"/>
            <w:gridSpan w:val="3"/>
          </w:tcPr>
          <w:p>
            <w:pPr>
              <w:widowControl/>
              <w:snapToGrid w:val="0"/>
              <w:jc w:val="center"/>
              <w:rPr>
                <w:rFonts w:ascii="宋体" w:hAnsi="宋体" w:cs="宋体"/>
                <w:color w:val="000000"/>
                <w:kern w:val="0"/>
                <w:sz w:val="24"/>
                <w:szCs w:val="24"/>
              </w:rPr>
            </w:pPr>
            <w:r>
              <w:rPr>
                <w:rFonts w:hint="eastAsia"/>
              </w:rPr>
              <w:t>讲师、会计师</w:t>
            </w:r>
          </w:p>
        </w:tc>
        <w:tc>
          <w:tcPr>
            <w:tcW w:w="897" w:type="dxa"/>
            <w:gridSpan w:val="3"/>
          </w:tcPr>
          <w:p>
            <w:pPr>
              <w:widowControl/>
              <w:snapToGrid w:val="0"/>
              <w:jc w:val="center"/>
              <w:rPr>
                <w:rFonts w:ascii="宋体" w:hAnsi="宋体" w:cs="宋体"/>
                <w:color w:val="000000"/>
                <w:kern w:val="0"/>
                <w:sz w:val="24"/>
                <w:szCs w:val="24"/>
              </w:rPr>
            </w:pPr>
            <w:r>
              <w:rPr>
                <w:rFonts w:hint="eastAsia"/>
              </w:rPr>
              <w:t>硕士</w:t>
            </w:r>
          </w:p>
        </w:tc>
        <w:tc>
          <w:tcPr>
            <w:tcW w:w="1258" w:type="dxa"/>
            <w:gridSpan w:val="2"/>
          </w:tcPr>
          <w:p>
            <w:pPr>
              <w:widowControl/>
              <w:snapToGrid w:val="0"/>
              <w:jc w:val="center"/>
              <w:rPr>
                <w:rFonts w:ascii="宋体" w:hAnsi="宋体" w:cs="宋体"/>
                <w:color w:val="000000"/>
                <w:kern w:val="0"/>
                <w:sz w:val="24"/>
                <w:szCs w:val="24"/>
              </w:rPr>
            </w:pPr>
            <w:r>
              <w:rPr>
                <w:rFonts w:hint="eastAsia"/>
              </w:rPr>
              <w:t>1986.10</w:t>
            </w:r>
          </w:p>
        </w:tc>
        <w:tc>
          <w:tcPr>
            <w:tcW w:w="1249" w:type="dxa"/>
            <w:gridSpan w:val="4"/>
          </w:tcPr>
          <w:p>
            <w:pPr>
              <w:widowControl/>
              <w:snapToGrid w:val="0"/>
              <w:jc w:val="center"/>
              <w:rPr>
                <w:rFonts w:ascii="宋体" w:hAnsi="宋体" w:cs="宋体"/>
                <w:color w:val="000000"/>
                <w:kern w:val="0"/>
                <w:sz w:val="24"/>
                <w:szCs w:val="24"/>
              </w:rPr>
            </w:pPr>
            <w:r>
              <w:rPr>
                <w:rFonts w:hint="eastAsia"/>
              </w:rPr>
              <w:t>上海立达学院</w:t>
            </w:r>
          </w:p>
        </w:tc>
        <w:tc>
          <w:tcPr>
            <w:tcW w:w="2377" w:type="dxa"/>
            <w:gridSpan w:val="3"/>
          </w:tcPr>
          <w:p>
            <w:pPr>
              <w:widowControl/>
              <w:snapToGrid w:val="0"/>
              <w:rPr>
                <w:rFonts w:ascii="宋体" w:hAnsi="宋体" w:cs="宋体"/>
                <w:color w:val="000000"/>
                <w:kern w:val="0"/>
                <w:sz w:val="24"/>
                <w:szCs w:val="24"/>
              </w:rPr>
            </w:pPr>
            <w:r>
              <w:rPr>
                <w:rFonts w:hint="eastAsia"/>
              </w:rPr>
              <w:t>财务共享知识点/技能点整理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45" w:type="dxa"/>
            <w:vMerge w:val="continue"/>
            <w:vAlign w:val="center"/>
          </w:tcPr>
          <w:p>
            <w:pPr>
              <w:widowControl/>
              <w:snapToGrid w:val="0"/>
              <w:rPr>
                <w:rFonts w:ascii="宋体" w:hAnsi="宋体" w:cs="宋体"/>
                <w:color w:val="000000"/>
                <w:kern w:val="0"/>
                <w:sz w:val="24"/>
                <w:szCs w:val="24"/>
              </w:rPr>
            </w:pPr>
          </w:p>
        </w:tc>
        <w:tc>
          <w:tcPr>
            <w:tcW w:w="836" w:type="dxa"/>
          </w:tcPr>
          <w:p>
            <w:pPr>
              <w:widowControl/>
              <w:snapToGrid w:val="0"/>
              <w:jc w:val="center"/>
            </w:pPr>
            <w:r>
              <w:rPr>
                <w:rFonts w:hint="eastAsia"/>
              </w:rPr>
              <w:t>俞兆男</w:t>
            </w:r>
          </w:p>
        </w:tc>
        <w:tc>
          <w:tcPr>
            <w:tcW w:w="1593" w:type="dxa"/>
            <w:gridSpan w:val="3"/>
          </w:tcPr>
          <w:p>
            <w:pPr>
              <w:widowControl/>
              <w:snapToGrid w:val="0"/>
              <w:jc w:val="center"/>
            </w:pPr>
            <w:r>
              <w:rPr>
                <w:rFonts w:hint="eastAsia"/>
              </w:rPr>
              <w:t xml:space="preserve">讲师 </w:t>
            </w:r>
          </w:p>
        </w:tc>
        <w:tc>
          <w:tcPr>
            <w:tcW w:w="897" w:type="dxa"/>
            <w:gridSpan w:val="3"/>
          </w:tcPr>
          <w:p>
            <w:pPr>
              <w:widowControl/>
              <w:snapToGrid w:val="0"/>
              <w:jc w:val="center"/>
            </w:pPr>
            <w:r>
              <w:rPr>
                <w:rFonts w:hint="eastAsia"/>
              </w:rPr>
              <w:t>学士</w:t>
            </w:r>
          </w:p>
        </w:tc>
        <w:tc>
          <w:tcPr>
            <w:tcW w:w="1258" w:type="dxa"/>
            <w:gridSpan w:val="2"/>
          </w:tcPr>
          <w:p>
            <w:pPr>
              <w:widowControl/>
              <w:snapToGrid w:val="0"/>
              <w:jc w:val="center"/>
            </w:pPr>
            <w:r>
              <w:rPr>
                <w:rFonts w:hint="eastAsia"/>
              </w:rPr>
              <w:t>1953.02</w:t>
            </w:r>
          </w:p>
        </w:tc>
        <w:tc>
          <w:tcPr>
            <w:tcW w:w="1249" w:type="dxa"/>
            <w:gridSpan w:val="4"/>
          </w:tcPr>
          <w:p>
            <w:pPr>
              <w:widowControl/>
              <w:snapToGrid w:val="0"/>
              <w:jc w:val="center"/>
            </w:pPr>
            <w:r>
              <w:rPr>
                <w:rFonts w:hint="eastAsia"/>
              </w:rPr>
              <w:t>上海立达学院</w:t>
            </w:r>
          </w:p>
        </w:tc>
        <w:tc>
          <w:tcPr>
            <w:tcW w:w="2377" w:type="dxa"/>
            <w:gridSpan w:val="3"/>
          </w:tcPr>
          <w:p>
            <w:pPr>
              <w:widowControl/>
              <w:snapToGrid w:val="0"/>
              <w:rPr>
                <w:rFonts w:ascii="宋体" w:hAnsi="宋体" w:cs="宋体"/>
                <w:color w:val="000000"/>
                <w:kern w:val="0"/>
                <w:sz w:val="24"/>
                <w:szCs w:val="24"/>
              </w:rPr>
            </w:pPr>
            <w:r>
              <w:rPr>
                <w:rFonts w:hint="eastAsia"/>
              </w:rPr>
              <w:t>财务共享课程考核标准编写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45" w:type="dxa"/>
            <w:vMerge w:val="continue"/>
            <w:vAlign w:val="center"/>
          </w:tcPr>
          <w:p>
            <w:pPr>
              <w:widowControl/>
              <w:snapToGrid w:val="0"/>
              <w:rPr>
                <w:rFonts w:ascii="宋体" w:hAnsi="宋体" w:cs="宋体"/>
                <w:color w:val="000000"/>
                <w:kern w:val="0"/>
                <w:sz w:val="24"/>
                <w:szCs w:val="24"/>
              </w:rPr>
            </w:pPr>
          </w:p>
        </w:tc>
        <w:tc>
          <w:tcPr>
            <w:tcW w:w="836" w:type="dxa"/>
          </w:tcPr>
          <w:p>
            <w:pPr>
              <w:widowControl/>
              <w:snapToGrid w:val="0"/>
              <w:jc w:val="center"/>
              <w:rPr>
                <w:rFonts w:ascii="宋体" w:hAnsi="宋体" w:cs="宋体"/>
                <w:color w:val="000000"/>
                <w:kern w:val="0"/>
                <w:sz w:val="24"/>
                <w:szCs w:val="24"/>
              </w:rPr>
            </w:pPr>
            <w:r>
              <w:rPr>
                <w:rFonts w:hint="eastAsia"/>
              </w:rPr>
              <w:t>曾丽萍</w:t>
            </w:r>
          </w:p>
        </w:tc>
        <w:tc>
          <w:tcPr>
            <w:tcW w:w="1593" w:type="dxa"/>
            <w:gridSpan w:val="3"/>
          </w:tcPr>
          <w:p>
            <w:pPr>
              <w:widowControl/>
              <w:snapToGrid w:val="0"/>
              <w:jc w:val="center"/>
              <w:rPr>
                <w:rFonts w:ascii="宋体" w:hAnsi="宋体" w:cs="宋体"/>
                <w:color w:val="000000"/>
                <w:kern w:val="0"/>
                <w:sz w:val="24"/>
                <w:szCs w:val="24"/>
              </w:rPr>
            </w:pPr>
            <w:r>
              <w:rPr>
                <w:rFonts w:hint="eastAsia"/>
              </w:rPr>
              <w:t>讲师、注册会计师</w:t>
            </w:r>
          </w:p>
        </w:tc>
        <w:tc>
          <w:tcPr>
            <w:tcW w:w="897" w:type="dxa"/>
            <w:gridSpan w:val="3"/>
          </w:tcPr>
          <w:p>
            <w:pPr>
              <w:widowControl/>
              <w:snapToGrid w:val="0"/>
              <w:jc w:val="center"/>
              <w:rPr>
                <w:rFonts w:ascii="宋体" w:hAnsi="宋体" w:cs="宋体"/>
                <w:color w:val="000000"/>
                <w:kern w:val="0"/>
                <w:sz w:val="24"/>
                <w:szCs w:val="24"/>
              </w:rPr>
            </w:pPr>
            <w:r>
              <w:rPr>
                <w:rFonts w:hint="eastAsia"/>
              </w:rPr>
              <w:t>硕士</w:t>
            </w:r>
          </w:p>
        </w:tc>
        <w:tc>
          <w:tcPr>
            <w:tcW w:w="1258" w:type="dxa"/>
            <w:gridSpan w:val="2"/>
          </w:tcPr>
          <w:p>
            <w:pPr>
              <w:widowControl/>
              <w:snapToGrid w:val="0"/>
              <w:jc w:val="center"/>
              <w:rPr>
                <w:rFonts w:ascii="宋体" w:hAnsi="宋体" w:cs="宋体"/>
                <w:color w:val="000000"/>
                <w:kern w:val="0"/>
                <w:sz w:val="24"/>
                <w:szCs w:val="24"/>
              </w:rPr>
            </w:pPr>
            <w:r>
              <w:rPr>
                <w:rFonts w:hint="eastAsia"/>
              </w:rPr>
              <w:t>1982.10</w:t>
            </w:r>
          </w:p>
        </w:tc>
        <w:tc>
          <w:tcPr>
            <w:tcW w:w="1249" w:type="dxa"/>
            <w:gridSpan w:val="4"/>
          </w:tcPr>
          <w:p>
            <w:pPr>
              <w:widowControl/>
              <w:snapToGrid w:val="0"/>
              <w:jc w:val="center"/>
              <w:rPr>
                <w:rFonts w:ascii="宋体" w:hAnsi="宋体" w:cs="宋体"/>
                <w:color w:val="000000"/>
                <w:kern w:val="0"/>
                <w:sz w:val="24"/>
                <w:szCs w:val="24"/>
              </w:rPr>
            </w:pPr>
            <w:r>
              <w:rPr>
                <w:rFonts w:hint="eastAsia"/>
              </w:rPr>
              <w:t>上海立达学院</w:t>
            </w:r>
          </w:p>
        </w:tc>
        <w:tc>
          <w:tcPr>
            <w:tcW w:w="2377" w:type="dxa"/>
            <w:gridSpan w:val="3"/>
            <w:vAlign w:val="center"/>
          </w:tcPr>
          <w:p>
            <w:pPr>
              <w:widowControl/>
              <w:snapToGrid w:val="0"/>
              <w:rPr>
                <w:rFonts w:ascii="宋体" w:hAnsi="宋体" w:cs="宋体"/>
                <w:color w:val="000000"/>
                <w:kern w:val="0"/>
                <w:sz w:val="24"/>
                <w:szCs w:val="24"/>
              </w:rPr>
            </w:pPr>
            <w:r>
              <w:rPr>
                <w:rFonts w:hint="eastAsia" w:ascii="宋体" w:hAnsi="宋体" w:cs="宋体"/>
                <w:color w:val="000000"/>
                <w:kern w:val="0"/>
                <w:sz w:val="24"/>
                <w:szCs w:val="24"/>
              </w:rPr>
              <w:t>对现有资源更新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45" w:type="dxa"/>
            <w:vMerge w:val="continue"/>
            <w:vAlign w:val="center"/>
          </w:tcPr>
          <w:p>
            <w:pPr>
              <w:widowControl/>
              <w:snapToGrid w:val="0"/>
              <w:rPr>
                <w:rFonts w:ascii="宋体" w:hAnsi="宋体" w:cs="宋体"/>
                <w:color w:val="000000"/>
                <w:kern w:val="0"/>
                <w:sz w:val="24"/>
                <w:szCs w:val="24"/>
              </w:rPr>
            </w:pPr>
          </w:p>
        </w:tc>
        <w:tc>
          <w:tcPr>
            <w:tcW w:w="836" w:type="dxa"/>
          </w:tcPr>
          <w:p>
            <w:pPr>
              <w:widowControl/>
              <w:snapToGrid w:val="0"/>
              <w:jc w:val="center"/>
              <w:rPr>
                <w:rFonts w:ascii="宋体" w:hAnsi="宋体" w:cs="宋体"/>
                <w:color w:val="000000"/>
                <w:kern w:val="0"/>
                <w:sz w:val="24"/>
                <w:szCs w:val="24"/>
              </w:rPr>
            </w:pPr>
            <w:r>
              <w:rPr>
                <w:rFonts w:hint="eastAsia"/>
              </w:rPr>
              <w:t>陈林</w:t>
            </w:r>
          </w:p>
        </w:tc>
        <w:tc>
          <w:tcPr>
            <w:tcW w:w="1593" w:type="dxa"/>
            <w:gridSpan w:val="3"/>
          </w:tcPr>
          <w:p>
            <w:pPr>
              <w:widowControl/>
              <w:snapToGrid w:val="0"/>
              <w:jc w:val="center"/>
              <w:rPr>
                <w:rFonts w:ascii="宋体" w:hAnsi="宋体" w:cs="宋体"/>
                <w:color w:val="000000"/>
                <w:kern w:val="0"/>
                <w:sz w:val="24"/>
                <w:szCs w:val="24"/>
              </w:rPr>
            </w:pPr>
            <w:r>
              <w:rPr>
                <w:rFonts w:hint="eastAsia"/>
              </w:rPr>
              <w:t>讲师</w:t>
            </w:r>
          </w:p>
        </w:tc>
        <w:tc>
          <w:tcPr>
            <w:tcW w:w="897" w:type="dxa"/>
            <w:gridSpan w:val="3"/>
          </w:tcPr>
          <w:p>
            <w:pPr>
              <w:widowControl/>
              <w:snapToGrid w:val="0"/>
              <w:jc w:val="center"/>
              <w:rPr>
                <w:rFonts w:ascii="宋体" w:hAnsi="宋体" w:cs="宋体"/>
                <w:color w:val="000000"/>
                <w:kern w:val="0"/>
                <w:sz w:val="24"/>
                <w:szCs w:val="24"/>
              </w:rPr>
            </w:pPr>
            <w:r>
              <w:rPr>
                <w:rFonts w:hint="eastAsia"/>
              </w:rPr>
              <w:t>博士</w:t>
            </w:r>
          </w:p>
        </w:tc>
        <w:tc>
          <w:tcPr>
            <w:tcW w:w="1258" w:type="dxa"/>
            <w:gridSpan w:val="2"/>
          </w:tcPr>
          <w:p>
            <w:pPr>
              <w:widowControl/>
              <w:snapToGrid w:val="0"/>
              <w:jc w:val="center"/>
              <w:rPr>
                <w:rFonts w:ascii="宋体" w:hAnsi="宋体" w:cs="宋体"/>
                <w:color w:val="000000"/>
                <w:kern w:val="0"/>
                <w:sz w:val="24"/>
                <w:szCs w:val="24"/>
              </w:rPr>
            </w:pPr>
            <w:r>
              <w:rPr>
                <w:rFonts w:hint="eastAsia"/>
              </w:rPr>
              <w:t>1987.01</w:t>
            </w:r>
          </w:p>
        </w:tc>
        <w:tc>
          <w:tcPr>
            <w:tcW w:w="1249" w:type="dxa"/>
            <w:gridSpan w:val="4"/>
          </w:tcPr>
          <w:p>
            <w:pPr>
              <w:widowControl/>
              <w:snapToGrid w:val="0"/>
              <w:jc w:val="center"/>
              <w:rPr>
                <w:rFonts w:ascii="宋体" w:hAnsi="宋体" w:cs="宋体"/>
                <w:color w:val="000000"/>
                <w:kern w:val="0"/>
                <w:sz w:val="24"/>
                <w:szCs w:val="24"/>
              </w:rPr>
            </w:pPr>
            <w:r>
              <w:rPr>
                <w:rFonts w:hint="eastAsia"/>
              </w:rPr>
              <w:t>上海立信金融会计学院</w:t>
            </w:r>
          </w:p>
        </w:tc>
        <w:tc>
          <w:tcPr>
            <w:tcW w:w="2377" w:type="dxa"/>
            <w:gridSpan w:val="3"/>
          </w:tcPr>
          <w:p>
            <w:pPr>
              <w:widowControl/>
              <w:snapToGrid w:val="0"/>
              <w:rPr>
                <w:rFonts w:ascii="宋体" w:hAnsi="宋体" w:cs="宋体"/>
                <w:color w:val="000000"/>
                <w:kern w:val="0"/>
                <w:sz w:val="24"/>
                <w:szCs w:val="24"/>
              </w:rPr>
            </w:pPr>
            <w:r>
              <w:rPr>
                <w:rFonts w:hint="eastAsia" w:ascii="宋体" w:hAnsi="宋体" w:cs="宋体"/>
                <w:color w:val="000000"/>
                <w:kern w:val="0"/>
                <w:sz w:val="24"/>
                <w:szCs w:val="24"/>
              </w:rPr>
              <w:t>财务共享课程资源的建设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45" w:type="dxa"/>
            <w:vMerge w:val="continue"/>
            <w:vAlign w:val="center"/>
          </w:tcPr>
          <w:p>
            <w:pPr>
              <w:widowControl/>
              <w:snapToGrid w:val="0"/>
              <w:rPr>
                <w:rFonts w:ascii="宋体" w:hAnsi="宋体" w:cs="宋体"/>
                <w:color w:val="000000"/>
                <w:kern w:val="0"/>
                <w:sz w:val="24"/>
                <w:szCs w:val="24"/>
              </w:rPr>
            </w:pPr>
          </w:p>
        </w:tc>
        <w:tc>
          <w:tcPr>
            <w:tcW w:w="836" w:type="dxa"/>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叶大海</w:t>
            </w:r>
          </w:p>
        </w:tc>
        <w:tc>
          <w:tcPr>
            <w:tcW w:w="1593" w:type="dxa"/>
            <w:gridSpan w:val="3"/>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企业讲师</w:t>
            </w:r>
          </w:p>
        </w:tc>
        <w:tc>
          <w:tcPr>
            <w:tcW w:w="897" w:type="dxa"/>
            <w:gridSpan w:val="3"/>
            <w:vAlign w:val="center"/>
          </w:tcPr>
          <w:p>
            <w:pPr>
              <w:widowControl/>
              <w:snapToGrid w:val="0"/>
              <w:rPr>
                <w:rFonts w:ascii="宋体" w:hAnsi="宋体" w:cs="宋体"/>
                <w:color w:val="000000"/>
                <w:kern w:val="0"/>
                <w:sz w:val="24"/>
                <w:szCs w:val="24"/>
              </w:rPr>
            </w:pPr>
            <w:r>
              <w:rPr>
                <w:rFonts w:hint="eastAsia" w:ascii="宋体" w:hAnsi="宋体" w:cs="宋体"/>
                <w:color w:val="000000"/>
                <w:kern w:val="0"/>
                <w:sz w:val="24"/>
                <w:szCs w:val="24"/>
              </w:rPr>
              <w:t>硕士</w:t>
            </w:r>
          </w:p>
        </w:tc>
        <w:tc>
          <w:tcPr>
            <w:tcW w:w="1258"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1</w:t>
            </w:r>
            <w:r>
              <w:rPr>
                <w:rFonts w:ascii="宋体" w:hAnsi="宋体" w:cs="宋体"/>
                <w:color w:val="000000"/>
                <w:kern w:val="0"/>
                <w:sz w:val="24"/>
                <w:szCs w:val="24"/>
              </w:rPr>
              <w:t>994.07</w:t>
            </w:r>
          </w:p>
        </w:tc>
        <w:tc>
          <w:tcPr>
            <w:tcW w:w="1249" w:type="dxa"/>
            <w:gridSpan w:val="4"/>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新道科技股份有限公司</w:t>
            </w:r>
          </w:p>
        </w:tc>
        <w:tc>
          <w:tcPr>
            <w:tcW w:w="2377" w:type="dxa"/>
            <w:gridSpan w:val="3"/>
            <w:vAlign w:val="center"/>
          </w:tcPr>
          <w:p>
            <w:pPr>
              <w:widowControl/>
              <w:snapToGrid w:val="0"/>
              <w:rPr>
                <w:rFonts w:ascii="宋体" w:hAnsi="宋体" w:cs="宋体"/>
                <w:color w:val="000000"/>
                <w:kern w:val="0"/>
                <w:sz w:val="24"/>
                <w:szCs w:val="24"/>
              </w:rPr>
            </w:pPr>
            <w:r>
              <w:rPr>
                <w:rFonts w:hint="eastAsia" w:ascii="宋体" w:hAnsi="宋体" w:cs="宋体"/>
                <w:color w:val="000000"/>
                <w:kern w:val="0"/>
                <w:sz w:val="24"/>
                <w:szCs w:val="24"/>
              </w:rPr>
              <w:t>线上平台建设、技术支持</w:t>
            </w:r>
          </w:p>
        </w:tc>
      </w:tr>
    </w:tbl>
    <w:p>
      <w:pPr>
        <w:widowControl/>
        <w:snapToGrid w:val="0"/>
        <w:spacing w:line="360" w:lineRule="auto"/>
        <w:jc w:val="left"/>
        <w:rPr>
          <w:rFonts w:ascii="仿宋_GB2312" w:hAnsi="宋体" w:eastAsia="仿宋_GB2312" w:cs="宋体"/>
          <w:b/>
          <w:color w:val="000000"/>
          <w:kern w:val="0"/>
          <w:sz w:val="28"/>
          <w:szCs w:val="28"/>
        </w:rPr>
      </w:pPr>
    </w:p>
    <w:p>
      <w:pPr>
        <w:widowControl/>
        <w:snapToGrid w:val="0"/>
        <w:spacing w:line="360" w:lineRule="auto"/>
        <w:jc w:val="left"/>
        <w:rPr>
          <w:rFonts w:ascii="仿宋_GB2312" w:hAnsi="宋体" w:eastAsia="仿宋_GB2312" w:cs="宋体"/>
          <w:b/>
          <w:color w:val="000000"/>
          <w:kern w:val="0"/>
          <w:sz w:val="28"/>
          <w:szCs w:val="28"/>
        </w:rPr>
      </w:pPr>
    </w:p>
    <w:p>
      <w:pPr>
        <w:widowControl/>
        <w:snapToGrid w:val="0"/>
        <w:spacing w:line="360" w:lineRule="auto"/>
        <w:jc w:val="left"/>
        <w:rPr>
          <w:rFonts w:ascii="仿宋_GB2312" w:hAnsi="宋体" w:eastAsia="仿宋_GB2312" w:cs="宋体"/>
          <w:b/>
          <w:color w:val="000000"/>
          <w:kern w:val="0"/>
          <w:sz w:val="28"/>
          <w:szCs w:val="28"/>
        </w:rPr>
      </w:pPr>
    </w:p>
    <w:p>
      <w:pPr>
        <w:widowControl/>
        <w:snapToGrid w:val="0"/>
        <w:spacing w:line="360" w:lineRule="auto"/>
        <w:jc w:val="left"/>
        <w:rPr>
          <w:rFonts w:ascii="华文中宋" w:hAnsi="华文中宋" w:eastAsia="华文中宋" w:cs="宋体"/>
          <w:b/>
          <w:color w:val="000000"/>
          <w:kern w:val="0"/>
          <w:sz w:val="28"/>
          <w:szCs w:val="28"/>
        </w:rPr>
      </w:pPr>
      <w:r>
        <w:rPr>
          <w:rFonts w:hint="eastAsia" w:ascii="华文中宋" w:hAnsi="华文中宋" w:eastAsia="华文中宋" w:cs="宋体"/>
          <w:b/>
          <w:color w:val="000000"/>
          <w:kern w:val="0"/>
          <w:sz w:val="28"/>
          <w:szCs w:val="28"/>
        </w:rPr>
        <w:t>2.课程建设基础</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37" w:type="dxa"/>
          </w:tcPr>
          <w:p>
            <w:pPr>
              <w:widowControl/>
              <w:snapToGrid w:val="0"/>
              <w:spacing w:line="360" w:lineRule="auto"/>
              <w:ind w:firstLine="480" w:firstLineChars="200"/>
              <w:jc w:val="left"/>
              <w:rPr>
                <w:rFonts w:ascii="宋体" w:hAnsi="宋体" w:cs="宋体"/>
                <w:color w:val="000000"/>
                <w:kern w:val="0"/>
                <w:sz w:val="24"/>
              </w:rPr>
            </w:pPr>
            <w:r>
              <w:rPr>
                <w:rFonts w:hint="eastAsia" w:ascii="宋体" w:hAnsi="宋体" w:cs="宋体"/>
                <w:color w:val="000000"/>
                <w:kern w:val="0"/>
                <w:sz w:val="24"/>
              </w:rPr>
              <w:t>2</w:t>
            </w:r>
            <w:r>
              <w:rPr>
                <w:rFonts w:ascii="宋体" w:hAnsi="宋体" w:cs="宋体"/>
                <w:color w:val="000000"/>
                <w:kern w:val="0"/>
                <w:sz w:val="24"/>
              </w:rPr>
              <w:t>.1</w:t>
            </w:r>
            <w:r>
              <w:rPr>
                <w:rFonts w:hint="eastAsia" w:ascii="宋体" w:hAnsi="宋体" w:cs="宋体"/>
                <w:color w:val="000000"/>
                <w:kern w:val="0"/>
                <w:sz w:val="24"/>
              </w:rPr>
              <w:t>课程开设的现状</w:t>
            </w:r>
          </w:p>
          <w:p>
            <w:pPr>
              <w:widowControl/>
              <w:snapToGrid w:val="0"/>
              <w:spacing w:line="360" w:lineRule="auto"/>
              <w:ind w:firstLine="480" w:firstLineChars="200"/>
              <w:jc w:val="left"/>
              <w:rPr>
                <w:rFonts w:ascii="宋体" w:hAnsi="宋体" w:cs="宋体"/>
                <w:kern w:val="0"/>
                <w:sz w:val="24"/>
              </w:rPr>
            </w:pPr>
            <w:r>
              <w:rPr>
                <w:rFonts w:hint="eastAsia" w:ascii="宋体" w:hAnsi="宋体" w:cs="宋体"/>
                <w:kern w:val="0"/>
                <w:sz w:val="24"/>
              </w:rPr>
              <w:t>随着云计算、大数据、移动互联网技术的不断发展，财务共享中心将朝着智能化、一体化、国际化的方向发展。在当前财务转型的背景下，对财务人员提出了新的要求，高校应紧跟时代的发展，构建财务共享课程体系，运用适当的教学模式，结合建设沙盘和软件操作实验课程，校企联合建立实践基地，培养适用于新型财务共享中心建设及运用的会计人才。同时对会计认证体系和会计证书的新内容，也应该融合和发展到新的课程体系中去，为数字经济时代培养具有财务共享理论与实践知识体系的人才奠定基础。</w:t>
            </w:r>
          </w:p>
          <w:p>
            <w:pPr>
              <w:widowControl/>
              <w:snapToGrid w:val="0"/>
              <w:spacing w:line="360" w:lineRule="auto"/>
              <w:ind w:firstLine="480" w:firstLineChars="200"/>
              <w:jc w:val="left"/>
              <w:rPr>
                <w:rFonts w:ascii="宋体" w:hAnsi="宋体" w:cs="宋体"/>
                <w:kern w:val="0"/>
                <w:sz w:val="24"/>
              </w:rPr>
            </w:pPr>
            <w:r>
              <w:rPr>
                <w:rFonts w:hint="eastAsia" w:ascii="宋体" w:hAnsi="宋体" w:cs="宋体"/>
                <w:kern w:val="0"/>
                <w:sz w:val="24"/>
              </w:rPr>
              <w:t>《财务共享》是我校财务管理、会计专业的选修课之一，属于实践性较强的课程。学生前期已经学过数学、经济学、会计学、财务管理、统计学等课程。财务共享课程正是在学生掌握前期所学各门课程的基础上，以培养学生专通结合的综合实践能力、研究思维、前瞻与创新思维为主要目标，让学生认知财务共享服务的前沿趋势、理论与技术，深度理解“财务数字转型”的方法论与价值，掌握财务共享服务中心的规划与运营过程及电子发票、电子影像、电子档案、共享作业等云会计的相关技术应用，能够开展基于共享服务下财务信息化的分析、优化设计与价值创新,从而培养学生在财务共享服务心的规划、业财流程设计与优化、业务处理、运营管理等方面的核心能力。</w:t>
            </w:r>
          </w:p>
          <w:p>
            <w:pPr>
              <w:widowControl/>
              <w:snapToGrid w:val="0"/>
              <w:spacing w:line="360" w:lineRule="auto"/>
              <w:ind w:firstLine="240" w:firstLineChars="100"/>
              <w:jc w:val="left"/>
              <w:rPr>
                <w:rFonts w:ascii="宋体" w:hAnsi="宋体" w:cs="宋体"/>
                <w:color w:val="000000"/>
                <w:kern w:val="0"/>
                <w:sz w:val="24"/>
              </w:rPr>
            </w:pPr>
            <w:r>
              <w:rPr>
                <w:rFonts w:hint="eastAsia" w:ascii="宋体" w:hAnsi="宋体" w:cs="宋体"/>
                <w:color w:val="000000"/>
                <w:kern w:val="0"/>
                <w:sz w:val="24"/>
              </w:rPr>
              <w:t>2</w:t>
            </w:r>
            <w:r>
              <w:rPr>
                <w:rFonts w:ascii="宋体" w:hAnsi="宋体" w:cs="宋体"/>
                <w:color w:val="000000"/>
                <w:kern w:val="0"/>
                <w:sz w:val="24"/>
              </w:rPr>
              <w:t>.2</w:t>
            </w:r>
            <w:r>
              <w:rPr>
                <w:rFonts w:hint="eastAsia" w:ascii="宋体" w:hAnsi="宋体" w:cs="宋体"/>
                <w:color w:val="000000"/>
                <w:kern w:val="0"/>
                <w:sz w:val="24"/>
              </w:rPr>
              <w:t>前期相关建设成果</w:t>
            </w:r>
          </w:p>
          <w:p>
            <w:pPr>
              <w:widowControl/>
              <w:snapToGrid w:val="0"/>
              <w:spacing w:line="360" w:lineRule="auto"/>
              <w:jc w:val="left"/>
              <w:rPr>
                <w:rFonts w:ascii="宋体" w:hAnsi="宋体" w:cs="宋体"/>
                <w:color w:val="000000"/>
                <w:kern w:val="0"/>
                <w:sz w:val="24"/>
              </w:rPr>
            </w:pPr>
            <w:r>
              <w:rPr>
                <w:rFonts w:hint="eastAsia" w:ascii="宋体" w:hAnsi="宋体" w:cs="宋体"/>
                <w:color w:val="000000"/>
                <w:kern w:val="0"/>
                <w:sz w:val="24"/>
              </w:rPr>
              <w:t xml:space="preserve">   关于财务共享课程，我们已经多次与新道科技股份有限公司交流合作，初步完成了以下建设内容：（1）教学节点及方案设计；（2）教学大纲；（3）课程标准；（4）授课计划；（5）教学组织方案；（6）实践教学大纲；（7）实践教学指导手册；（8）电子教案；（9）电子课件；（1</w:t>
            </w:r>
            <w:r>
              <w:rPr>
                <w:rFonts w:ascii="宋体" w:hAnsi="宋体" w:cs="宋体"/>
                <w:color w:val="000000"/>
                <w:kern w:val="0"/>
                <w:sz w:val="24"/>
              </w:rPr>
              <w:t>0</w:t>
            </w:r>
            <w:r>
              <w:rPr>
                <w:rFonts w:hint="eastAsia" w:ascii="宋体" w:hAnsi="宋体" w:cs="宋体"/>
                <w:color w:val="000000"/>
                <w:kern w:val="0"/>
                <w:sz w:val="24"/>
              </w:rPr>
              <w:t>）教学内容扩充；（1</w:t>
            </w:r>
            <w:r>
              <w:rPr>
                <w:rFonts w:ascii="宋体" w:hAnsi="宋体" w:cs="宋体"/>
                <w:color w:val="000000"/>
                <w:kern w:val="0"/>
                <w:sz w:val="24"/>
              </w:rPr>
              <w:t>1</w:t>
            </w:r>
            <w:r>
              <w:rPr>
                <w:rFonts w:hint="eastAsia" w:ascii="宋体" w:hAnsi="宋体" w:cs="宋体"/>
                <w:color w:val="000000"/>
                <w:kern w:val="0"/>
                <w:sz w:val="24"/>
              </w:rPr>
              <w:t>）延伸阅读。</w:t>
            </w:r>
          </w:p>
          <w:p>
            <w:pPr>
              <w:widowControl/>
              <w:snapToGrid w:val="0"/>
              <w:spacing w:line="360" w:lineRule="auto"/>
              <w:ind w:firstLine="480" w:firstLineChars="200"/>
              <w:jc w:val="left"/>
              <w:rPr>
                <w:rFonts w:ascii="宋体" w:hAnsi="宋体" w:cs="宋体"/>
                <w:color w:val="000000"/>
                <w:kern w:val="0"/>
                <w:sz w:val="24"/>
              </w:rPr>
            </w:pPr>
            <w:r>
              <w:rPr>
                <w:rFonts w:hint="eastAsia" w:ascii="宋体" w:hAnsi="宋体" w:cs="宋体"/>
                <w:color w:val="000000"/>
                <w:kern w:val="0"/>
                <w:sz w:val="24"/>
              </w:rPr>
              <w:t>2</w:t>
            </w:r>
            <w:r>
              <w:rPr>
                <w:rFonts w:ascii="宋体" w:hAnsi="宋体" w:cs="宋体"/>
                <w:color w:val="000000"/>
                <w:kern w:val="0"/>
                <w:sz w:val="24"/>
              </w:rPr>
              <w:t>.3</w:t>
            </w:r>
            <w:r>
              <w:rPr>
                <w:rFonts w:hint="eastAsia" w:ascii="宋体" w:hAnsi="宋体" w:cs="宋体"/>
                <w:color w:val="000000"/>
                <w:kern w:val="0"/>
                <w:sz w:val="24"/>
              </w:rPr>
              <w:t xml:space="preserve">目前的突出问题 </w:t>
            </w:r>
          </w:p>
          <w:p>
            <w:pPr>
              <w:widowControl/>
              <w:snapToGrid w:val="0"/>
              <w:spacing w:line="360" w:lineRule="auto"/>
              <w:ind w:firstLine="480" w:firstLineChars="200"/>
              <w:jc w:val="left"/>
              <w:rPr>
                <w:rFonts w:ascii="宋体" w:hAnsi="宋体" w:cs="宋体"/>
                <w:color w:val="000000"/>
                <w:kern w:val="0"/>
                <w:sz w:val="24"/>
              </w:rPr>
            </w:pPr>
            <w:r>
              <w:rPr>
                <w:rFonts w:hint="eastAsia" w:ascii="宋体" w:hAnsi="宋体" w:cs="宋体"/>
                <w:color w:val="000000"/>
                <w:kern w:val="0"/>
                <w:sz w:val="24"/>
              </w:rPr>
              <w:t>（1）财务共享课程属于实践性较强的课程，教学中还未能运用混合运用多种教学模式，充分利用互联网平台课程，</w:t>
            </w:r>
          </w:p>
          <w:p>
            <w:pPr>
              <w:widowControl/>
              <w:snapToGrid w:val="0"/>
              <w:spacing w:line="360" w:lineRule="auto"/>
              <w:ind w:firstLine="480" w:firstLineChars="200"/>
              <w:jc w:val="left"/>
              <w:rPr>
                <w:rFonts w:ascii="宋体" w:hAnsi="宋体" w:cs="宋体"/>
                <w:color w:val="000000"/>
                <w:kern w:val="0"/>
                <w:sz w:val="24"/>
              </w:rPr>
            </w:pPr>
            <w:r>
              <w:rPr>
                <w:rFonts w:hint="eastAsia" w:ascii="宋体" w:hAnsi="宋体" w:cs="宋体"/>
                <w:color w:val="000000"/>
                <w:kern w:val="0"/>
                <w:sz w:val="24"/>
              </w:rPr>
              <w:t>（2）缺乏有效的课程评价体系能够指引教学，如实反映学生的学习情况，也能激励学生的学习。</w:t>
            </w:r>
          </w:p>
        </w:tc>
      </w:tr>
    </w:tbl>
    <w:p>
      <w:pPr>
        <w:widowControl/>
        <w:snapToGrid w:val="0"/>
        <w:spacing w:line="360" w:lineRule="auto"/>
        <w:jc w:val="left"/>
        <w:rPr>
          <w:rFonts w:ascii="华文中宋" w:hAnsi="华文中宋" w:eastAsia="华文中宋" w:cs="宋体"/>
          <w:b/>
          <w:color w:val="000000"/>
          <w:kern w:val="0"/>
          <w:sz w:val="28"/>
          <w:szCs w:val="28"/>
        </w:rPr>
      </w:pPr>
    </w:p>
    <w:p>
      <w:pPr>
        <w:widowControl/>
        <w:snapToGrid w:val="0"/>
        <w:spacing w:line="360" w:lineRule="auto"/>
        <w:jc w:val="left"/>
        <w:rPr>
          <w:rFonts w:ascii="华文中宋" w:hAnsi="华文中宋" w:eastAsia="华文中宋" w:cs="宋体"/>
          <w:b/>
          <w:color w:val="000000"/>
          <w:kern w:val="0"/>
          <w:sz w:val="28"/>
          <w:szCs w:val="28"/>
        </w:rPr>
      </w:pPr>
      <w:r>
        <w:rPr>
          <w:rFonts w:hint="eastAsia" w:ascii="华文中宋" w:hAnsi="华文中宋" w:eastAsia="华文中宋" w:cs="宋体"/>
          <w:b/>
          <w:color w:val="000000"/>
          <w:kern w:val="0"/>
          <w:sz w:val="28"/>
          <w:szCs w:val="28"/>
        </w:rPr>
        <w:t>3.课程建设内容</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37" w:type="dxa"/>
          </w:tcPr>
          <w:p>
            <w:pPr>
              <w:widowControl/>
              <w:snapToGrid w:val="0"/>
              <w:spacing w:line="360" w:lineRule="auto"/>
              <w:jc w:val="left"/>
              <w:rPr>
                <w:rFonts w:ascii="宋体" w:hAnsi="宋体" w:cs="宋体"/>
                <w:color w:val="000000"/>
                <w:kern w:val="0"/>
                <w:sz w:val="24"/>
              </w:rPr>
            </w:pPr>
            <w:r>
              <w:rPr>
                <w:rFonts w:hint="eastAsia" w:ascii="宋体" w:hAnsi="宋体" w:cs="宋体"/>
                <w:color w:val="000000"/>
                <w:kern w:val="0"/>
                <w:sz w:val="24"/>
              </w:rPr>
              <w:t>3-1课程目标（需附教学大纲）</w:t>
            </w:r>
          </w:p>
          <w:p>
            <w:pPr>
              <w:widowControl/>
              <w:snapToGrid w:val="0"/>
              <w:spacing w:line="360" w:lineRule="auto"/>
              <w:ind w:firstLine="480" w:firstLineChars="200"/>
              <w:jc w:val="left"/>
              <w:rPr>
                <w:rFonts w:ascii="宋体" w:hAnsi="宋体" w:cs="宋体"/>
                <w:color w:val="000000"/>
                <w:kern w:val="0"/>
                <w:sz w:val="24"/>
              </w:rPr>
            </w:pPr>
            <w:r>
              <w:rPr>
                <w:rFonts w:hint="eastAsia" w:ascii="宋体" w:hAnsi="宋体" w:cs="宋体"/>
                <w:color w:val="000000"/>
                <w:kern w:val="0"/>
                <w:sz w:val="24"/>
              </w:rPr>
              <w:t>课程通过对企业财务共享服务中心案例的剖析、各岗位的业务操作，系统讲解共享中心的建设要点和工作方法，让学生了解共享中心从无到有的全过程，理解财务共享服务中心的规划与构建方法、沙盘模拟财务共享服务中心构建过程，并能够在一款主流的财务共享服务管理信息系统中进行共享模式下核心业务流程的多岗协同测试运营、财务共享服务中心的作业绩效管理与质量稽核。</w:t>
            </w:r>
          </w:p>
          <w:p>
            <w:pPr>
              <w:widowControl/>
              <w:snapToGrid w:val="0"/>
              <w:spacing w:line="360" w:lineRule="auto"/>
              <w:jc w:val="left"/>
              <w:rPr>
                <w:rFonts w:ascii="宋体" w:hAnsi="宋体" w:cs="宋体"/>
                <w:color w:val="000000"/>
                <w:kern w:val="0"/>
                <w:sz w:val="24"/>
              </w:rPr>
            </w:pPr>
            <w:r>
              <w:rPr>
                <w:rFonts w:hint="eastAsia" w:ascii="宋体" w:hAnsi="宋体" w:cs="宋体"/>
                <w:color w:val="000000"/>
                <w:kern w:val="0"/>
                <w:sz w:val="24"/>
              </w:rPr>
              <w:t>本课程具体的教学目标及要求包括：</w:t>
            </w:r>
          </w:p>
          <w:p>
            <w:pPr>
              <w:widowControl/>
              <w:snapToGrid w:val="0"/>
              <w:spacing w:line="360" w:lineRule="auto"/>
              <w:jc w:val="left"/>
              <w:rPr>
                <w:rFonts w:ascii="宋体" w:hAnsi="宋体" w:cs="宋体"/>
                <w:color w:val="000000"/>
                <w:kern w:val="0"/>
                <w:sz w:val="24"/>
              </w:rPr>
            </w:pPr>
            <w:r>
              <w:rPr>
                <w:rFonts w:hint="eastAsia" w:ascii="宋体" w:hAnsi="宋体" w:cs="宋体"/>
                <w:color w:val="000000"/>
                <w:kern w:val="0"/>
                <w:sz w:val="24"/>
              </w:rPr>
              <w:t>（1）能够陈述财务共享服务中心构建的核心要素及其含义；</w:t>
            </w:r>
          </w:p>
          <w:p>
            <w:pPr>
              <w:widowControl/>
              <w:snapToGrid w:val="0"/>
              <w:spacing w:line="360" w:lineRule="auto"/>
              <w:jc w:val="left"/>
              <w:rPr>
                <w:rFonts w:ascii="宋体" w:hAns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2</w:t>
            </w:r>
            <w:r>
              <w:rPr>
                <w:rFonts w:hint="eastAsia" w:ascii="宋体" w:hAnsi="宋体" w:cs="宋体"/>
                <w:color w:val="000000"/>
                <w:kern w:val="0"/>
                <w:sz w:val="24"/>
              </w:rPr>
              <w:t>）根据案例企业的现状描述，总结整理出企业的分层流程目录、当前财务组织结构，并根据财务共享服务中心构建方法论进行案例企业财务共享服务中心的规划设计辅助工作；</w:t>
            </w:r>
          </w:p>
          <w:p>
            <w:pPr>
              <w:widowControl/>
              <w:snapToGrid w:val="0"/>
              <w:spacing w:line="360" w:lineRule="auto"/>
              <w:jc w:val="left"/>
              <w:rPr>
                <w:rFonts w:ascii="宋体" w:hAns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3</w:t>
            </w:r>
            <w:r>
              <w:rPr>
                <w:rFonts w:hint="eastAsia" w:ascii="宋体" w:hAnsi="宋体" w:cs="宋体"/>
                <w:color w:val="000000"/>
                <w:kern w:val="0"/>
                <w:sz w:val="24"/>
              </w:rPr>
              <w:t>）能体验大数据、人工智能、移动互联网、云计算等新技术在共享财务模式下的应用；</w:t>
            </w:r>
          </w:p>
          <w:p>
            <w:pPr>
              <w:widowControl/>
              <w:snapToGrid w:val="0"/>
              <w:spacing w:line="360" w:lineRule="auto"/>
              <w:jc w:val="left"/>
              <w:rPr>
                <w:rFonts w:ascii="宋体" w:hAns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4</w:t>
            </w:r>
            <w:r>
              <w:rPr>
                <w:rFonts w:hint="eastAsia" w:ascii="宋体" w:hAnsi="宋体" w:cs="宋体"/>
                <w:color w:val="000000"/>
                <w:kern w:val="0"/>
                <w:sz w:val="24"/>
              </w:rPr>
              <w:t>）能操作真实的企业信息系统，完成财务共享模式下端到端的业务流程操作；</w:t>
            </w:r>
          </w:p>
          <w:p>
            <w:pPr>
              <w:widowControl/>
              <w:snapToGrid w:val="0"/>
              <w:spacing w:line="360" w:lineRule="auto"/>
              <w:jc w:val="left"/>
              <w:rPr>
                <w:rFonts w:ascii="宋体" w:hAns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 能够完成财务共享服务中心绩效与质量管理规则的辅助设计工作，并能够在信息系统中进行配置和测试。</w:t>
            </w:r>
          </w:p>
          <w:p>
            <w:pPr>
              <w:widowControl/>
              <w:snapToGrid w:val="0"/>
              <w:spacing w:line="360" w:lineRule="auto"/>
              <w:jc w:val="left"/>
              <w:rPr>
                <w:rFonts w:ascii="宋体" w:hAnsi="宋体" w:cs="宋体"/>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37" w:type="dxa"/>
          </w:tcPr>
          <w:p>
            <w:pPr>
              <w:widowControl/>
              <w:snapToGrid w:val="0"/>
              <w:spacing w:line="360" w:lineRule="auto"/>
              <w:jc w:val="left"/>
              <w:rPr>
                <w:rFonts w:ascii="宋体" w:hAnsi="宋体" w:cs="宋体"/>
                <w:color w:val="000000"/>
                <w:kern w:val="0"/>
                <w:sz w:val="24"/>
              </w:rPr>
            </w:pPr>
            <w:r>
              <w:rPr>
                <w:rFonts w:hint="eastAsia" w:ascii="宋体" w:hAnsi="宋体" w:cs="宋体"/>
                <w:color w:val="000000"/>
                <w:kern w:val="0"/>
                <w:sz w:val="24"/>
              </w:rPr>
              <w:t>3-2教学内容安排</w:t>
            </w:r>
          </w:p>
          <w:p>
            <w:pPr>
              <w:widowControl/>
              <w:snapToGrid w:val="0"/>
              <w:spacing w:line="360" w:lineRule="auto"/>
              <w:jc w:val="left"/>
              <w:rPr>
                <w:rFonts w:ascii="宋体" w:hAnsi="宋体" w:cs="宋体"/>
                <w:color w:val="000000"/>
                <w:kern w:val="0"/>
                <w:sz w:val="24"/>
              </w:rPr>
            </w:pPr>
            <w:r>
              <w:rPr>
                <w:rFonts w:hint="eastAsia" w:ascii="宋体" w:hAnsi="宋体" w:cs="宋体"/>
                <w:color w:val="000000"/>
                <w:kern w:val="0"/>
                <w:sz w:val="24"/>
              </w:rPr>
              <w:t xml:space="preserve"> </w:t>
            </w:r>
            <w:r>
              <w:rPr>
                <w:rFonts w:ascii="宋体" w:hAnsi="宋体" w:cs="宋体"/>
                <w:color w:val="000000"/>
                <w:kern w:val="0"/>
                <w:sz w:val="24"/>
              </w:rPr>
              <w:t xml:space="preserve">     </w:t>
            </w:r>
            <w:r>
              <w:rPr>
                <w:rFonts w:hint="eastAsia" w:ascii="宋体" w:hAnsi="宋体" w:cs="宋体"/>
                <w:color w:val="000000"/>
                <w:kern w:val="0"/>
                <w:sz w:val="24"/>
              </w:rPr>
              <w:t xml:space="preserve">教学内容 </w:t>
            </w:r>
            <w:r>
              <w:rPr>
                <w:rFonts w:ascii="宋体" w:hAnsi="宋体" w:cs="宋体"/>
                <w:color w:val="000000"/>
                <w:kern w:val="0"/>
                <w:sz w:val="24"/>
              </w:rPr>
              <w:t xml:space="preserve">                         </w:t>
            </w:r>
            <w:r>
              <w:rPr>
                <w:rFonts w:hint="eastAsia" w:ascii="宋体" w:hAnsi="宋体" w:cs="宋体"/>
                <w:color w:val="000000"/>
                <w:kern w:val="0"/>
                <w:sz w:val="24"/>
              </w:rPr>
              <w:t>课时（理论+实践）</w:t>
            </w:r>
          </w:p>
          <w:p>
            <w:pPr>
              <w:widowControl/>
              <w:snapToGrid w:val="0"/>
              <w:spacing w:line="360" w:lineRule="auto"/>
              <w:jc w:val="left"/>
              <w:rPr>
                <w:rFonts w:ascii="宋体" w:hAnsi="宋体" w:cs="宋体"/>
                <w:color w:val="000000"/>
                <w:kern w:val="0"/>
                <w:sz w:val="24"/>
              </w:rPr>
            </w:pPr>
            <w:r>
              <w:rPr>
                <w:rFonts w:hint="eastAsia" w:ascii="宋体" w:hAnsi="宋体" w:cs="宋体"/>
                <w:color w:val="000000"/>
                <w:kern w:val="0"/>
                <w:sz w:val="24"/>
              </w:rPr>
              <w:t xml:space="preserve">（1） 财务共享服务中心运营团队准备 </w:t>
            </w:r>
            <w:r>
              <w:rPr>
                <w:rFonts w:ascii="宋体" w:hAnsi="宋体" w:cs="宋体"/>
                <w:color w:val="000000"/>
                <w:kern w:val="0"/>
                <w:sz w:val="24"/>
              </w:rPr>
              <w:t xml:space="preserve"> </w:t>
            </w:r>
            <w:r>
              <w:rPr>
                <w:rFonts w:hint="eastAsia" w:ascii="宋体" w:hAnsi="宋体" w:cs="宋体"/>
                <w:color w:val="000000"/>
                <w:kern w:val="0"/>
                <w:sz w:val="24"/>
              </w:rPr>
              <w:t xml:space="preserve"> </w:t>
            </w:r>
            <w:r>
              <w:rPr>
                <w:rFonts w:ascii="宋体" w:hAnsi="宋体" w:cs="宋体"/>
                <w:color w:val="000000"/>
                <w:kern w:val="0"/>
                <w:sz w:val="24"/>
              </w:rPr>
              <w:t xml:space="preserve"> </w:t>
            </w:r>
            <w:r>
              <w:rPr>
                <w:rFonts w:hint="eastAsia" w:ascii="宋体" w:hAnsi="宋体" w:cs="宋体"/>
                <w:color w:val="000000"/>
                <w:kern w:val="0"/>
                <w:sz w:val="24"/>
              </w:rPr>
              <w:t xml:space="preserve"> </w:t>
            </w:r>
            <w:r>
              <w:rPr>
                <w:rFonts w:ascii="宋体" w:hAnsi="宋体" w:cs="宋体"/>
                <w:color w:val="000000"/>
                <w:kern w:val="0"/>
                <w:sz w:val="24"/>
              </w:rPr>
              <w:t xml:space="preserve">      2</w:t>
            </w:r>
            <w:r>
              <w:rPr>
                <w:rFonts w:hint="eastAsia" w:ascii="宋体" w:hAnsi="宋体" w:cs="宋体"/>
                <w:color w:val="000000"/>
                <w:kern w:val="0"/>
                <w:sz w:val="24"/>
              </w:rPr>
              <w:t>+</w:t>
            </w:r>
            <w:r>
              <w:rPr>
                <w:rFonts w:ascii="宋体" w:hAnsi="宋体" w:cs="宋体"/>
                <w:color w:val="000000"/>
                <w:kern w:val="0"/>
                <w:sz w:val="24"/>
              </w:rPr>
              <w:t>2</w:t>
            </w:r>
          </w:p>
          <w:p>
            <w:pPr>
              <w:widowControl/>
              <w:snapToGrid w:val="0"/>
              <w:spacing w:line="360" w:lineRule="auto"/>
              <w:jc w:val="left"/>
              <w:rPr>
                <w:rFonts w:ascii="宋体" w:hAns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2</w:t>
            </w:r>
            <w:r>
              <w:rPr>
                <w:rFonts w:hint="eastAsia" w:ascii="宋体" w:hAnsi="宋体" w:cs="宋体"/>
                <w:color w:val="000000"/>
                <w:kern w:val="0"/>
                <w:sz w:val="24"/>
              </w:rPr>
              <w:t xml:space="preserve">） 企业现状调研 </w:t>
            </w:r>
            <w:r>
              <w:rPr>
                <w:rFonts w:ascii="宋体" w:hAnsi="宋体" w:cs="宋体"/>
                <w:color w:val="000000"/>
                <w:kern w:val="0"/>
                <w:sz w:val="24"/>
              </w:rPr>
              <w:t xml:space="preserve">                          2</w:t>
            </w:r>
            <w:r>
              <w:rPr>
                <w:rFonts w:hint="eastAsia" w:ascii="宋体" w:hAnsi="宋体" w:cs="宋体"/>
                <w:color w:val="000000"/>
                <w:kern w:val="0"/>
                <w:sz w:val="24"/>
              </w:rPr>
              <w:t>+</w:t>
            </w:r>
            <w:r>
              <w:rPr>
                <w:rFonts w:ascii="宋体" w:hAnsi="宋体" w:cs="宋体"/>
                <w:color w:val="000000"/>
                <w:kern w:val="0"/>
                <w:sz w:val="24"/>
              </w:rPr>
              <w:t>2</w:t>
            </w:r>
          </w:p>
          <w:p>
            <w:pPr>
              <w:widowControl/>
              <w:snapToGrid w:val="0"/>
              <w:spacing w:line="360" w:lineRule="auto"/>
              <w:jc w:val="left"/>
              <w:rPr>
                <w:rFonts w:ascii="宋体" w:hAns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3</w:t>
            </w:r>
            <w:r>
              <w:rPr>
                <w:rFonts w:hint="eastAsia" w:ascii="宋体" w:hAnsi="宋体" w:cs="宋体"/>
                <w:color w:val="000000"/>
                <w:kern w:val="0"/>
                <w:sz w:val="24"/>
              </w:rPr>
              <w:t xml:space="preserve">） FSSC规划设计 </w:t>
            </w:r>
            <w:r>
              <w:rPr>
                <w:rFonts w:ascii="宋体" w:hAnsi="宋体" w:cs="宋体"/>
                <w:color w:val="000000"/>
                <w:kern w:val="0"/>
                <w:sz w:val="24"/>
              </w:rPr>
              <w:t xml:space="preserve">                         2</w:t>
            </w:r>
            <w:r>
              <w:rPr>
                <w:rFonts w:hint="eastAsia" w:ascii="宋体" w:hAnsi="宋体" w:cs="宋体"/>
                <w:color w:val="000000"/>
                <w:kern w:val="0"/>
                <w:sz w:val="24"/>
              </w:rPr>
              <w:t>+</w:t>
            </w:r>
            <w:r>
              <w:rPr>
                <w:rFonts w:ascii="宋体" w:hAnsi="宋体" w:cs="宋体"/>
                <w:color w:val="000000"/>
                <w:kern w:val="0"/>
                <w:sz w:val="24"/>
              </w:rPr>
              <w:t>4</w:t>
            </w:r>
          </w:p>
          <w:p>
            <w:pPr>
              <w:widowControl/>
              <w:snapToGrid w:val="0"/>
              <w:spacing w:line="360" w:lineRule="auto"/>
              <w:jc w:val="left"/>
              <w:rPr>
                <w:rFonts w:ascii="宋体" w:hAns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4</w:t>
            </w:r>
            <w:r>
              <w:rPr>
                <w:rFonts w:hint="eastAsia" w:ascii="宋体" w:hAnsi="宋体" w:cs="宋体"/>
                <w:color w:val="000000"/>
                <w:kern w:val="0"/>
                <w:sz w:val="24"/>
              </w:rPr>
              <w:t>）</w:t>
            </w:r>
            <w:r>
              <w:rPr>
                <w:rFonts w:hint="eastAsia"/>
              </w:rPr>
              <w:t xml:space="preserve"> </w:t>
            </w:r>
            <w:r>
              <w:rPr>
                <w:rFonts w:hint="eastAsia" w:ascii="宋体" w:hAnsi="宋体" w:cs="宋体"/>
                <w:color w:val="000000"/>
                <w:kern w:val="0"/>
                <w:sz w:val="24"/>
              </w:rPr>
              <w:t xml:space="preserve">费用报销共享业务处理 </w:t>
            </w:r>
            <w:r>
              <w:rPr>
                <w:rFonts w:ascii="宋体" w:hAnsi="宋体" w:cs="宋体"/>
                <w:color w:val="000000"/>
                <w:kern w:val="0"/>
                <w:sz w:val="24"/>
              </w:rPr>
              <w:t xml:space="preserve">                  1</w:t>
            </w:r>
            <w:r>
              <w:rPr>
                <w:rFonts w:hint="eastAsia" w:ascii="宋体" w:hAnsi="宋体" w:cs="宋体"/>
                <w:color w:val="000000"/>
                <w:kern w:val="0"/>
                <w:sz w:val="24"/>
              </w:rPr>
              <w:t>+</w:t>
            </w:r>
            <w:r>
              <w:rPr>
                <w:rFonts w:ascii="宋体" w:hAnsi="宋体" w:cs="宋体"/>
                <w:color w:val="000000"/>
                <w:kern w:val="0"/>
                <w:sz w:val="24"/>
              </w:rPr>
              <w:t>3</w:t>
            </w:r>
          </w:p>
          <w:p>
            <w:pPr>
              <w:widowControl/>
              <w:snapToGrid w:val="0"/>
              <w:spacing w:line="360" w:lineRule="auto"/>
              <w:jc w:val="left"/>
              <w:rPr>
                <w:rFonts w:ascii="宋体" w:hAns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w:t>
            </w:r>
            <w:r>
              <w:rPr>
                <w:rFonts w:hint="eastAsia"/>
              </w:rPr>
              <w:t xml:space="preserve"> </w:t>
            </w:r>
            <w:r>
              <w:rPr>
                <w:rFonts w:hint="eastAsia" w:ascii="宋体" w:hAnsi="宋体" w:cs="宋体"/>
                <w:color w:val="000000"/>
                <w:kern w:val="0"/>
                <w:sz w:val="24"/>
              </w:rPr>
              <w:t xml:space="preserve">采购-应付共享业务处理 </w:t>
            </w:r>
            <w:r>
              <w:rPr>
                <w:rFonts w:ascii="宋体" w:hAnsi="宋体" w:cs="宋体"/>
                <w:color w:val="000000"/>
                <w:kern w:val="0"/>
                <w:sz w:val="24"/>
              </w:rPr>
              <w:t xml:space="preserve">                 2</w:t>
            </w:r>
            <w:r>
              <w:rPr>
                <w:rFonts w:hint="eastAsia" w:ascii="宋体" w:hAnsi="宋体" w:cs="宋体"/>
                <w:color w:val="000000"/>
                <w:kern w:val="0"/>
                <w:sz w:val="24"/>
              </w:rPr>
              <w:t>+</w:t>
            </w:r>
            <w:r>
              <w:rPr>
                <w:rFonts w:ascii="宋体" w:hAnsi="宋体" w:cs="宋体"/>
                <w:color w:val="000000"/>
                <w:kern w:val="0"/>
                <w:sz w:val="24"/>
              </w:rPr>
              <w:t>3</w:t>
            </w:r>
          </w:p>
          <w:p>
            <w:pPr>
              <w:widowControl/>
              <w:snapToGrid w:val="0"/>
              <w:spacing w:line="360" w:lineRule="auto"/>
              <w:jc w:val="left"/>
              <w:rPr>
                <w:rFonts w:ascii="宋体" w:hAns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6</w:t>
            </w:r>
            <w:r>
              <w:rPr>
                <w:rFonts w:hint="eastAsia" w:ascii="宋体" w:hAnsi="宋体" w:cs="宋体"/>
                <w:color w:val="000000"/>
                <w:kern w:val="0"/>
                <w:sz w:val="24"/>
              </w:rPr>
              <w:t>）</w:t>
            </w:r>
            <w:r>
              <w:rPr>
                <w:rFonts w:hint="eastAsia"/>
              </w:rPr>
              <w:t xml:space="preserve"> </w:t>
            </w:r>
            <w:r>
              <w:rPr>
                <w:rFonts w:hint="eastAsia" w:ascii="宋体" w:hAnsi="宋体" w:cs="宋体"/>
                <w:color w:val="000000"/>
                <w:kern w:val="0"/>
                <w:sz w:val="24"/>
              </w:rPr>
              <w:t xml:space="preserve">销售-应收业务处理 </w:t>
            </w:r>
            <w:r>
              <w:rPr>
                <w:rFonts w:ascii="宋体" w:hAnsi="宋体" w:cs="宋体"/>
                <w:color w:val="000000"/>
                <w:kern w:val="0"/>
                <w:sz w:val="24"/>
              </w:rPr>
              <w:t xml:space="preserve">                     2</w:t>
            </w:r>
            <w:r>
              <w:rPr>
                <w:rFonts w:hint="eastAsia" w:ascii="宋体" w:hAnsi="宋体" w:cs="宋体"/>
                <w:color w:val="000000"/>
                <w:kern w:val="0"/>
                <w:sz w:val="24"/>
              </w:rPr>
              <w:t>+</w:t>
            </w:r>
            <w:r>
              <w:rPr>
                <w:rFonts w:ascii="宋体" w:hAnsi="宋体" w:cs="宋体"/>
                <w:color w:val="000000"/>
                <w:kern w:val="0"/>
                <w:sz w:val="24"/>
              </w:rPr>
              <w:t>3</w:t>
            </w:r>
          </w:p>
          <w:p>
            <w:pPr>
              <w:widowControl/>
              <w:snapToGrid w:val="0"/>
              <w:spacing w:line="360" w:lineRule="auto"/>
              <w:jc w:val="left"/>
              <w:rPr>
                <w:rFonts w:ascii="宋体" w:hAns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7</w:t>
            </w:r>
            <w:r>
              <w:rPr>
                <w:rFonts w:hint="eastAsia" w:ascii="宋体" w:hAnsi="宋体" w:cs="宋体"/>
                <w:color w:val="000000"/>
                <w:kern w:val="0"/>
                <w:sz w:val="24"/>
              </w:rPr>
              <w:t>）</w:t>
            </w:r>
            <w:r>
              <w:rPr>
                <w:rFonts w:hint="eastAsia"/>
              </w:rPr>
              <w:t xml:space="preserve"> </w:t>
            </w:r>
            <w:r>
              <w:rPr>
                <w:rFonts w:hint="eastAsia" w:ascii="宋体" w:hAnsi="宋体" w:cs="宋体"/>
                <w:color w:val="000000"/>
                <w:kern w:val="0"/>
                <w:sz w:val="24"/>
              </w:rPr>
              <w:t xml:space="preserve">资金结算共享业务处理 </w:t>
            </w:r>
            <w:r>
              <w:rPr>
                <w:rFonts w:ascii="宋体" w:hAnsi="宋体" w:cs="宋体"/>
                <w:color w:val="000000"/>
                <w:kern w:val="0"/>
                <w:sz w:val="24"/>
              </w:rPr>
              <w:t xml:space="preserve">                  1</w:t>
            </w:r>
            <w:r>
              <w:rPr>
                <w:rFonts w:hint="eastAsia" w:ascii="宋体" w:hAnsi="宋体" w:cs="宋体"/>
                <w:color w:val="000000"/>
                <w:kern w:val="0"/>
                <w:sz w:val="24"/>
              </w:rPr>
              <w:t>+</w:t>
            </w:r>
            <w:r>
              <w:rPr>
                <w:rFonts w:ascii="宋体" w:hAnsi="宋体" w:cs="宋体"/>
                <w:color w:val="000000"/>
                <w:kern w:val="0"/>
                <w:sz w:val="24"/>
              </w:rPr>
              <w:t>2</w:t>
            </w:r>
          </w:p>
          <w:p>
            <w:pPr>
              <w:widowControl/>
              <w:snapToGrid w:val="0"/>
              <w:spacing w:line="360" w:lineRule="auto"/>
              <w:jc w:val="left"/>
              <w:rPr>
                <w:rFonts w:ascii="宋体" w:hAns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8</w:t>
            </w:r>
            <w:r>
              <w:rPr>
                <w:rFonts w:hint="eastAsia" w:ascii="宋体" w:hAnsi="宋体" w:cs="宋体"/>
                <w:color w:val="000000"/>
                <w:kern w:val="0"/>
                <w:sz w:val="24"/>
              </w:rPr>
              <w:t>）</w:t>
            </w:r>
            <w:r>
              <w:rPr>
                <w:rFonts w:hint="eastAsia"/>
              </w:rPr>
              <w:t xml:space="preserve"> </w:t>
            </w:r>
            <w:r>
              <w:rPr>
                <w:rFonts w:hint="eastAsia" w:ascii="宋体" w:hAnsi="宋体" w:cs="宋体"/>
                <w:color w:val="000000"/>
                <w:kern w:val="0"/>
                <w:sz w:val="24"/>
              </w:rPr>
              <w:t xml:space="preserve">财资管理共享业务处理 </w:t>
            </w:r>
            <w:r>
              <w:rPr>
                <w:rFonts w:ascii="宋体" w:hAnsi="宋体" w:cs="宋体"/>
                <w:color w:val="000000"/>
                <w:kern w:val="0"/>
                <w:sz w:val="24"/>
              </w:rPr>
              <w:t xml:space="preserve">                  2</w:t>
            </w:r>
            <w:r>
              <w:rPr>
                <w:rFonts w:hint="eastAsia" w:ascii="宋体" w:hAnsi="宋体" w:cs="宋体"/>
                <w:color w:val="000000"/>
                <w:kern w:val="0"/>
                <w:sz w:val="24"/>
              </w:rPr>
              <w:t>+</w:t>
            </w:r>
            <w:r>
              <w:rPr>
                <w:rFonts w:ascii="宋体" w:hAnsi="宋体" w:cs="宋体"/>
                <w:color w:val="000000"/>
                <w:kern w:val="0"/>
                <w:sz w:val="24"/>
              </w:rPr>
              <w:t>3</w:t>
            </w:r>
          </w:p>
          <w:p>
            <w:pPr>
              <w:widowControl/>
              <w:snapToGrid w:val="0"/>
              <w:spacing w:line="360" w:lineRule="auto"/>
              <w:jc w:val="left"/>
              <w:rPr>
                <w:rFonts w:ascii="宋体" w:hAns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9</w:t>
            </w:r>
            <w:r>
              <w:rPr>
                <w:rFonts w:hint="eastAsia" w:ascii="宋体" w:hAnsi="宋体" w:cs="宋体"/>
                <w:color w:val="000000"/>
                <w:kern w:val="0"/>
                <w:sz w:val="24"/>
              </w:rPr>
              <w:t xml:space="preserve">） 固定资产共享业务处理 </w:t>
            </w:r>
            <w:r>
              <w:rPr>
                <w:rFonts w:ascii="宋体" w:hAnsi="宋体" w:cs="宋体"/>
                <w:color w:val="000000"/>
                <w:kern w:val="0"/>
                <w:sz w:val="24"/>
              </w:rPr>
              <w:t xml:space="preserve">                  </w:t>
            </w:r>
            <w:r>
              <w:rPr>
                <w:rFonts w:hint="eastAsia" w:ascii="宋体" w:hAnsi="宋体" w:cs="宋体"/>
                <w:color w:val="000000"/>
                <w:kern w:val="0"/>
                <w:sz w:val="24"/>
              </w:rPr>
              <w:t>1+</w:t>
            </w:r>
            <w:r>
              <w:rPr>
                <w:rFonts w:ascii="宋体" w:hAnsi="宋体" w:cs="宋体"/>
                <w:color w:val="000000"/>
                <w:kern w:val="0"/>
                <w:sz w:val="24"/>
              </w:rPr>
              <w:t>2</w:t>
            </w:r>
          </w:p>
          <w:p>
            <w:pPr>
              <w:widowControl/>
              <w:snapToGrid w:val="0"/>
              <w:spacing w:line="360" w:lineRule="auto"/>
              <w:jc w:val="left"/>
              <w:rPr>
                <w:rFonts w:ascii="宋体" w:hAnsi="宋体" w:cs="宋体"/>
                <w:color w:val="000000"/>
                <w:kern w:val="0"/>
                <w:sz w:val="24"/>
              </w:rPr>
            </w:pPr>
            <w:r>
              <w:rPr>
                <w:rFonts w:hint="eastAsia" w:ascii="宋体" w:hAnsi="宋体" w:cs="宋体"/>
                <w:color w:val="000000"/>
                <w:kern w:val="0"/>
                <w:sz w:val="24"/>
              </w:rPr>
              <w:t>（1</w:t>
            </w:r>
            <w:r>
              <w:rPr>
                <w:rFonts w:ascii="宋体" w:hAnsi="宋体" w:cs="宋体"/>
                <w:color w:val="000000"/>
                <w:kern w:val="0"/>
                <w:sz w:val="24"/>
              </w:rPr>
              <w:t>0</w:t>
            </w:r>
            <w:r>
              <w:rPr>
                <w:rFonts w:hint="eastAsia" w:ascii="宋体" w:hAnsi="宋体" w:cs="宋体"/>
                <w:color w:val="000000"/>
                <w:kern w:val="0"/>
                <w:sz w:val="24"/>
              </w:rPr>
              <w:t xml:space="preserve">） 总账共享业务处理 </w:t>
            </w:r>
            <w:r>
              <w:rPr>
                <w:rFonts w:ascii="宋体" w:hAnsi="宋体" w:cs="宋体"/>
                <w:color w:val="000000"/>
                <w:kern w:val="0"/>
                <w:sz w:val="24"/>
              </w:rPr>
              <w:t xml:space="preserve">                     1</w:t>
            </w:r>
            <w:r>
              <w:rPr>
                <w:rFonts w:hint="eastAsia" w:ascii="宋体" w:hAnsi="宋体" w:cs="宋体"/>
                <w:color w:val="000000"/>
                <w:kern w:val="0"/>
                <w:sz w:val="24"/>
              </w:rPr>
              <w:t>+</w:t>
            </w:r>
            <w:r>
              <w:rPr>
                <w:rFonts w:ascii="宋体" w:hAnsi="宋体" w:cs="宋体"/>
                <w:color w:val="000000"/>
                <w:kern w:val="0"/>
                <w:sz w:val="24"/>
              </w:rPr>
              <w:t>2</w:t>
            </w:r>
          </w:p>
          <w:p>
            <w:pPr>
              <w:widowControl/>
              <w:snapToGrid w:val="0"/>
              <w:spacing w:line="360" w:lineRule="auto"/>
              <w:jc w:val="left"/>
              <w:rPr>
                <w:rFonts w:ascii="宋体" w:hAnsi="宋体" w:cs="宋体"/>
                <w:color w:val="000000"/>
                <w:kern w:val="0"/>
                <w:sz w:val="24"/>
              </w:rPr>
            </w:pPr>
            <w:r>
              <w:rPr>
                <w:rFonts w:hint="eastAsia" w:ascii="宋体" w:hAnsi="宋体" w:cs="宋体"/>
                <w:color w:val="000000"/>
                <w:kern w:val="0"/>
                <w:sz w:val="24"/>
              </w:rPr>
              <w:t>（1</w:t>
            </w:r>
            <w:r>
              <w:rPr>
                <w:rFonts w:ascii="宋体" w:hAnsi="宋体" w:cs="宋体"/>
                <w:color w:val="000000"/>
                <w:kern w:val="0"/>
                <w:sz w:val="24"/>
              </w:rPr>
              <w:t>1</w:t>
            </w:r>
            <w:r>
              <w:rPr>
                <w:rFonts w:hint="eastAsia" w:ascii="宋体" w:hAnsi="宋体" w:cs="宋体"/>
                <w:color w:val="000000"/>
                <w:kern w:val="0"/>
                <w:sz w:val="24"/>
              </w:rPr>
              <w:t>）</w:t>
            </w:r>
            <w:r>
              <w:rPr>
                <w:rFonts w:hint="eastAsia"/>
              </w:rPr>
              <w:t xml:space="preserve"> </w:t>
            </w:r>
            <w:r>
              <w:rPr>
                <w:rFonts w:hint="eastAsia" w:ascii="宋体" w:hAnsi="宋体" w:cs="宋体"/>
                <w:color w:val="000000"/>
                <w:kern w:val="0"/>
                <w:sz w:val="24"/>
              </w:rPr>
              <w:t xml:space="preserve">财务共享作业绩效管理 </w:t>
            </w:r>
            <w:r>
              <w:rPr>
                <w:rFonts w:ascii="宋体" w:hAnsi="宋体" w:cs="宋体"/>
                <w:color w:val="000000"/>
                <w:kern w:val="0"/>
                <w:sz w:val="24"/>
              </w:rPr>
              <w:t xml:space="preserve">                 1</w:t>
            </w:r>
            <w:r>
              <w:rPr>
                <w:rFonts w:hint="eastAsia" w:ascii="宋体" w:hAnsi="宋体" w:cs="宋体"/>
                <w:color w:val="000000"/>
                <w:kern w:val="0"/>
                <w:sz w:val="24"/>
              </w:rPr>
              <w:t>+</w:t>
            </w:r>
            <w:r>
              <w:rPr>
                <w:rFonts w:ascii="宋体" w:hAnsi="宋体" w:cs="宋体"/>
                <w:color w:val="000000"/>
                <w:kern w:val="0"/>
                <w:sz w:val="24"/>
              </w:rPr>
              <w:t>2</w:t>
            </w:r>
          </w:p>
          <w:p>
            <w:pPr>
              <w:widowControl/>
              <w:snapToGrid w:val="0"/>
              <w:spacing w:line="360" w:lineRule="auto"/>
              <w:jc w:val="left"/>
              <w:rPr>
                <w:rFonts w:ascii="宋体" w:hAnsi="宋体" w:cs="宋体"/>
                <w:color w:val="000000"/>
                <w:kern w:val="0"/>
                <w:sz w:val="24"/>
              </w:rPr>
            </w:pPr>
            <w:r>
              <w:rPr>
                <w:rFonts w:hint="eastAsia" w:ascii="宋体" w:hAnsi="宋体" w:cs="宋体"/>
                <w:color w:val="000000"/>
                <w:kern w:val="0"/>
                <w:sz w:val="24"/>
              </w:rPr>
              <w:t>（1</w:t>
            </w:r>
            <w:r>
              <w:rPr>
                <w:rFonts w:ascii="宋体" w:hAnsi="宋体" w:cs="宋体"/>
                <w:color w:val="000000"/>
                <w:kern w:val="0"/>
                <w:sz w:val="24"/>
              </w:rPr>
              <w:t>2</w:t>
            </w:r>
            <w:r>
              <w:rPr>
                <w:rFonts w:hint="eastAsia" w:ascii="宋体" w:hAnsi="宋体" w:cs="宋体"/>
                <w:color w:val="000000"/>
                <w:kern w:val="0"/>
                <w:sz w:val="24"/>
              </w:rPr>
              <w:t>）</w:t>
            </w:r>
            <w:r>
              <w:rPr>
                <w:rFonts w:hint="eastAsia"/>
              </w:rPr>
              <w:t xml:space="preserve"> </w:t>
            </w:r>
            <w:r>
              <w:rPr>
                <w:rFonts w:hint="eastAsia" w:ascii="宋体" w:hAnsi="宋体" w:cs="宋体"/>
                <w:color w:val="000000"/>
                <w:kern w:val="0"/>
                <w:sz w:val="24"/>
              </w:rPr>
              <w:t xml:space="preserve">财务共享作业稽核 </w:t>
            </w:r>
            <w:r>
              <w:rPr>
                <w:rFonts w:ascii="宋体" w:hAnsi="宋体" w:cs="宋体"/>
                <w:color w:val="000000"/>
                <w:kern w:val="0"/>
                <w:sz w:val="24"/>
              </w:rPr>
              <w:t xml:space="preserve">                     1</w:t>
            </w:r>
            <w:r>
              <w:rPr>
                <w:rFonts w:hint="eastAsia" w:ascii="宋体" w:hAnsi="宋体" w:cs="宋体"/>
                <w:color w:val="000000"/>
                <w:kern w:val="0"/>
                <w:sz w:val="24"/>
              </w:rPr>
              <w:t>+</w:t>
            </w:r>
            <w:r>
              <w:rPr>
                <w:rFonts w:ascii="宋体" w:hAnsi="宋体" w:cs="宋体"/>
                <w:color w:val="000000"/>
                <w:kern w:val="0"/>
                <w:sz w:val="24"/>
              </w:rPr>
              <w:t>2</w:t>
            </w:r>
          </w:p>
          <w:p>
            <w:pPr>
              <w:widowControl/>
              <w:snapToGrid w:val="0"/>
              <w:spacing w:line="360" w:lineRule="auto"/>
              <w:jc w:val="left"/>
              <w:rPr>
                <w:rFonts w:ascii="宋体" w:hAnsi="宋体" w:cs="宋体"/>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37" w:type="dxa"/>
          </w:tcPr>
          <w:p>
            <w:pPr>
              <w:widowControl/>
              <w:snapToGrid w:val="0"/>
              <w:spacing w:line="360" w:lineRule="auto"/>
              <w:jc w:val="left"/>
              <w:rPr>
                <w:rFonts w:ascii="宋体" w:hAnsi="宋体" w:cs="宋体"/>
                <w:color w:val="000000"/>
                <w:kern w:val="0"/>
                <w:sz w:val="24"/>
              </w:rPr>
            </w:pPr>
            <w:r>
              <w:rPr>
                <w:rFonts w:hint="eastAsia" w:ascii="宋体" w:hAnsi="宋体" w:cs="宋体"/>
                <w:color w:val="000000"/>
                <w:kern w:val="0"/>
                <w:sz w:val="24"/>
              </w:rPr>
              <w:t>3-3教学方法、手段（可举例说明采用的各种教学方法及手段的使用目的、实施过程、课程网站等教学资源的建设、考试考核方式等）</w:t>
            </w:r>
          </w:p>
          <w:p>
            <w:pPr>
              <w:widowControl/>
              <w:snapToGrid w:val="0"/>
              <w:spacing w:line="360" w:lineRule="auto"/>
              <w:jc w:val="left"/>
              <w:rPr>
                <w:rFonts w:ascii="宋体" w:hAnsi="宋体" w:cs="宋体"/>
                <w:color w:val="000000"/>
                <w:kern w:val="0"/>
                <w:sz w:val="24"/>
              </w:rPr>
            </w:pPr>
            <w:r>
              <w:rPr>
                <w:rFonts w:hint="eastAsia" w:ascii="宋体" w:hAnsi="宋体" w:cs="宋体"/>
                <w:color w:val="000000"/>
                <w:kern w:val="0"/>
                <w:sz w:val="24"/>
              </w:rPr>
              <w:t>3</w:t>
            </w:r>
            <w:r>
              <w:rPr>
                <w:rFonts w:ascii="宋体" w:hAnsi="宋体" w:cs="宋体"/>
                <w:color w:val="000000"/>
                <w:kern w:val="0"/>
                <w:sz w:val="24"/>
              </w:rPr>
              <w:t>.3.1</w:t>
            </w:r>
            <w:r>
              <w:rPr>
                <w:rFonts w:hint="eastAsia" w:ascii="宋体" w:hAnsi="宋体" w:cs="宋体"/>
                <w:color w:val="000000"/>
                <w:kern w:val="0"/>
                <w:sz w:val="24"/>
              </w:rPr>
              <w:t>教学方法</w:t>
            </w:r>
          </w:p>
          <w:p>
            <w:pPr>
              <w:widowControl/>
              <w:snapToGrid w:val="0"/>
              <w:spacing w:line="360" w:lineRule="auto"/>
              <w:jc w:val="left"/>
              <w:rPr>
                <w:rFonts w:ascii="宋体" w:hAnsi="宋体" w:cs="宋体"/>
                <w:color w:val="000000"/>
                <w:kern w:val="0"/>
                <w:sz w:val="24"/>
              </w:rPr>
            </w:pPr>
            <w:r>
              <w:rPr>
                <w:rFonts w:hint="eastAsia" w:ascii="宋体" w:hAnsi="宋体" w:cs="宋体"/>
                <w:color w:val="000000"/>
                <w:kern w:val="0"/>
                <w:sz w:val="24"/>
              </w:rPr>
              <w:t>本课程教学方法主要包括任务驱动法、案例教学法、角色扮演法、启发式教学法、项目教学法等。</w:t>
            </w:r>
          </w:p>
          <w:p>
            <w:pPr>
              <w:widowControl/>
              <w:snapToGrid w:val="0"/>
              <w:spacing w:line="360" w:lineRule="auto"/>
              <w:jc w:val="left"/>
              <w:rPr>
                <w:rFonts w:ascii="宋体" w:hAnsi="宋体" w:cs="宋体"/>
                <w:color w:val="000000"/>
                <w:kern w:val="0"/>
                <w:sz w:val="24"/>
              </w:rPr>
            </w:pPr>
            <w:r>
              <w:rPr>
                <w:rFonts w:hint="eastAsia" w:ascii="宋体" w:hAnsi="宋体" w:cs="宋体"/>
                <w:color w:val="000000"/>
                <w:kern w:val="0"/>
                <w:sz w:val="24"/>
              </w:rPr>
              <w:t>（1）任务驱动法</w:t>
            </w:r>
          </w:p>
          <w:p>
            <w:pPr>
              <w:widowControl/>
              <w:snapToGrid w:val="0"/>
              <w:spacing w:line="360" w:lineRule="auto"/>
              <w:jc w:val="left"/>
              <w:rPr>
                <w:rFonts w:ascii="宋体" w:hAnsi="宋体" w:cs="宋体"/>
                <w:color w:val="000000"/>
                <w:kern w:val="0"/>
                <w:sz w:val="24"/>
              </w:rPr>
            </w:pPr>
            <w:r>
              <w:rPr>
                <w:rFonts w:hint="eastAsia" w:ascii="宋体" w:hAnsi="宋体" w:cs="宋体"/>
                <w:color w:val="000000"/>
                <w:kern w:val="0"/>
                <w:sz w:val="24"/>
              </w:rPr>
              <w:t xml:space="preserve">课程根据财务共享模式下的财务组织与岗位职责的变化，全程用任务驱动的方式来组织教学。既有个人全岗、业财融合的跨业务财务和共享财务全流程训练任务，也有分组、分岗的财务共享服务中心关键岗位抢单训练任务，从而既有助于个人职业判断能力的提升和探究精神的培养，也有助于集体荣誉感和团队合作精神的养成。 </w:t>
            </w:r>
          </w:p>
          <w:p>
            <w:pPr>
              <w:widowControl/>
              <w:snapToGrid w:val="0"/>
              <w:spacing w:line="360" w:lineRule="auto"/>
              <w:jc w:val="left"/>
              <w:rPr>
                <w:rFonts w:ascii="宋体" w:hAns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2</w:t>
            </w:r>
            <w:r>
              <w:rPr>
                <w:rFonts w:hint="eastAsia" w:ascii="宋体" w:hAnsi="宋体" w:cs="宋体"/>
                <w:color w:val="000000"/>
                <w:kern w:val="0"/>
                <w:sz w:val="24"/>
              </w:rPr>
              <w:t>）案例教学法</w:t>
            </w:r>
          </w:p>
          <w:p>
            <w:pPr>
              <w:widowControl/>
              <w:snapToGrid w:val="0"/>
              <w:spacing w:line="360" w:lineRule="auto"/>
              <w:jc w:val="left"/>
              <w:rPr>
                <w:rFonts w:ascii="宋体" w:hAnsi="宋体" w:cs="宋体"/>
                <w:color w:val="000000"/>
                <w:kern w:val="0"/>
                <w:sz w:val="24"/>
              </w:rPr>
            </w:pPr>
            <w:r>
              <w:rPr>
                <w:rFonts w:hint="eastAsia" w:ascii="宋体" w:hAnsi="宋体" w:cs="宋体"/>
                <w:color w:val="000000"/>
                <w:kern w:val="0"/>
                <w:sz w:val="24"/>
              </w:rPr>
              <w:t>本课程引入了3个财务共享服务中心的实施案例，并以其中一个集团企业案例为蓝本，将其财务组织、业财一体化流程、财务共享软硬件设备和脱敏后的业务数据、财务共享服务中心的绩效管理手段等融入了教学过程之中。通过案例的学习，让学生能够具备一定的财务共享服务中心主要核算岗位实操能力。</w:t>
            </w:r>
          </w:p>
          <w:p>
            <w:pPr>
              <w:widowControl/>
              <w:snapToGrid w:val="0"/>
              <w:spacing w:line="360" w:lineRule="auto"/>
              <w:jc w:val="left"/>
              <w:rPr>
                <w:rFonts w:ascii="宋体" w:hAns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3</w:t>
            </w:r>
            <w:r>
              <w:rPr>
                <w:rFonts w:hint="eastAsia" w:ascii="宋体" w:hAnsi="宋体" w:cs="宋体"/>
                <w:color w:val="000000"/>
                <w:kern w:val="0"/>
                <w:sz w:val="24"/>
              </w:rPr>
              <w:t>）角色扮演法</w:t>
            </w:r>
          </w:p>
          <w:p>
            <w:pPr>
              <w:widowControl/>
              <w:snapToGrid w:val="0"/>
              <w:spacing w:line="360" w:lineRule="auto"/>
              <w:jc w:val="left"/>
              <w:rPr>
                <w:rFonts w:ascii="宋体" w:hAnsi="宋体" w:cs="宋体"/>
                <w:color w:val="000000"/>
                <w:kern w:val="0"/>
                <w:sz w:val="24"/>
              </w:rPr>
            </w:pPr>
            <w:r>
              <w:rPr>
                <w:rFonts w:hint="eastAsia" w:ascii="宋体" w:hAnsi="宋体" w:cs="宋体"/>
                <w:color w:val="000000"/>
                <w:kern w:val="0"/>
                <w:sz w:val="24"/>
              </w:rPr>
              <w:t>分角色实训有利于学生在工作中进行换位思考，有利于学生从不同角度得到技能的全面训练。虽然从总体上看，课程教学中学生的主要角色是财务共享服务中心的岗位，但是为了让学生理解业务财务和共享财务之间的流程协同与信息交互，学生在特定的教学时段还要扮演业务财务甚至业务子公司的业务类岗位。分角色实训有利于学生在工作中进行换位思考，也有利于学生从不同角度得到技能的全面训练。</w:t>
            </w:r>
          </w:p>
          <w:p>
            <w:pPr>
              <w:widowControl/>
              <w:snapToGrid w:val="0"/>
              <w:spacing w:line="360" w:lineRule="auto"/>
              <w:jc w:val="left"/>
              <w:rPr>
                <w:rFonts w:ascii="宋体" w:hAns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4</w:t>
            </w:r>
            <w:r>
              <w:rPr>
                <w:rFonts w:hint="eastAsia" w:ascii="宋体" w:hAnsi="宋体" w:cs="宋体"/>
                <w:color w:val="000000"/>
                <w:kern w:val="0"/>
                <w:sz w:val="24"/>
              </w:rPr>
              <w:t>）启发式教学法</w:t>
            </w:r>
          </w:p>
          <w:p>
            <w:pPr>
              <w:widowControl/>
              <w:snapToGrid w:val="0"/>
              <w:spacing w:line="360" w:lineRule="auto"/>
              <w:jc w:val="left"/>
              <w:rPr>
                <w:rFonts w:ascii="宋体" w:hAnsi="宋体" w:cs="宋体"/>
                <w:color w:val="000000"/>
                <w:kern w:val="0"/>
                <w:sz w:val="24"/>
              </w:rPr>
            </w:pPr>
            <w:r>
              <w:rPr>
                <w:rFonts w:hint="eastAsia" w:ascii="宋体" w:hAnsi="宋体" w:cs="宋体"/>
                <w:color w:val="000000"/>
                <w:kern w:val="0"/>
                <w:sz w:val="24"/>
              </w:rPr>
              <w:t>设计启发、诱导型的问题，将设问、答疑贯穿于教学的每一个环节，在课程的里程碑阶段还引入行动学习（头脑风暴）方法，引发学生思考和讨论，启迪学生企业价值最大化的财会创新思维，进而促进学生积极主动地学习，更好地激发学生的学习兴趣，加深对课程的理解。</w:t>
            </w:r>
          </w:p>
          <w:p>
            <w:pPr>
              <w:widowControl/>
              <w:snapToGrid w:val="0"/>
              <w:spacing w:line="360" w:lineRule="auto"/>
              <w:jc w:val="left"/>
              <w:rPr>
                <w:rFonts w:ascii="宋体" w:hAns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）项目教学法</w:t>
            </w:r>
          </w:p>
          <w:p>
            <w:pPr>
              <w:widowControl/>
              <w:snapToGrid w:val="0"/>
              <w:spacing w:line="360" w:lineRule="auto"/>
              <w:jc w:val="left"/>
              <w:rPr>
                <w:rFonts w:ascii="宋体" w:hAnsi="宋体" w:cs="宋体"/>
                <w:color w:val="000000"/>
                <w:kern w:val="0"/>
                <w:sz w:val="24"/>
              </w:rPr>
            </w:pPr>
            <w:r>
              <w:rPr>
                <w:rFonts w:hint="eastAsia" w:ascii="宋体" w:hAnsi="宋体" w:cs="宋体"/>
                <w:color w:val="000000"/>
                <w:kern w:val="0"/>
                <w:sz w:val="24"/>
              </w:rPr>
              <w:t>项目教学，是师生通过共同实施一个完整的项目工作而进行的教学活动。职业教育中的项目一般是来自职业实践的工作任务。项目教学法适合于复杂问题的分析和解决，本课程中“FSSC规划设计沙盘模拟”这一教学内容，就采用了项目教学法。</w:t>
            </w:r>
          </w:p>
          <w:p>
            <w:pPr>
              <w:widowControl/>
              <w:snapToGrid w:val="0"/>
              <w:spacing w:line="360" w:lineRule="auto"/>
              <w:jc w:val="left"/>
              <w:rPr>
                <w:rFonts w:ascii="宋体" w:hAnsi="宋体" w:cs="宋体"/>
                <w:color w:val="000000"/>
                <w:kern w:val="0"/>
                <w:sz w:val="24"/>
              </w:rPr>
            </w:pPr>
            <w:r>
              <w:rPr>
                <w:rFonts w:hint="eastAsia" w:ascii="宋体" w:hAnsi="宋体" w:cs="宋体"/>
                <w:color w:val="000000"/>
                <w:kern w:val="0"/>
                <w:sz w:val="24"/>
              </w:rPr>
              <w:t>3</w:t>
            </w:r>
            <w:r>
              <w:rPr>
                <w:rFonts w:ascii="宋体" w:hAnsi="宋体" w:cs="宋体"/>
                <w:color w:val="000000"/>
                <w:kern w:val="0"/>
                <w:sz w:val="24"/>
              </w:rPr>
              <w:t>.3.2</w:t>
            </w:r>
            <w:r>
              <w:rPr>
                <w:rFonts w:hint="eastAsia" w:ascii="宋体" w:hAnsi="宋体" w:cs="宋体"/>
                <w:color w:val="000000"/>
                <w:kern w:val="0"/>
                <w:sz w:val="24"/>
              </w:rPr>
              <w:t>教学手段</w:t>
            </w:r>
          </w:p>
          <w:p>
            <w:pPr>
              <w:widowControl/>
              <w:snapToGrid w:val="0"/>
              <w:spacing w:line="360" w:lineRule="auto"/>
              <w:jc w:val="left"/>
              <w:rPr>
                <w:rFonts w:ascii="宋体" w:hAnsi="宋体" w:cs="宋体"/>
                <w:color w:val="000000"/>
                <w:kern w:val="0"/>
                <w:sz w:val="24"/>
              </w:rPr>
            </w:pPr>
            <w:r>
              <w:rPr>
                <w:rFonts w:hint="eastAsia" w:ascii="宋体" w:hAnsi="宋体" w:cs="宋体"/>
                <w:color w:val="000000"/>
                <w:kern w:val="0"/>
                <w:sz w:val="24"/>
              </w:rPr>
              <w:t>本课程尽可能充分使用现代化教学手段，比如多媒体技术、智适应教学平台和可连线企业现场的“双师课堂”。</w:t>
            </w:r>
          </w:p>
          <w:p>
            <w:pPr>
              <w:widowControl/>
              <w:snapToGrid w:val="0"/>
              <w:spacing w:line="360" w:lineRule="auto"/>
              <w:jc w:val="left"/>
              <w:rPr>
                <w:rFonts w:ascii="宋体" w:hAnsi="宋体" w:cs="宋体"/>
                <w:color w:val="000000"/>
                <w:kern w:val="0"/>
                <w:sz w:val="24"/>
              </w:rPr>
            </w:pPr>
            <w:r>
              <w:rPr>
                <w:rFonts w:hint="eastAsia" w:ascii="宋体" w:hAnsi="宋体" w:cs="宋体"/>
                <w:color w:val="000000"/>
                <w:kern w:val="0"/>
                <w:sz w:val="24"/>
              </w:rPr>
              <w:t>（1）多媒体技术</w:t>
            </w:r>
          </w:p>
          <w:p>
            <w:pPr>
              <w:widowControl/>
              <w:snapToGrid w:val="0"/>
              <w:spacing w:line="360" w:lineRule="auto"/>
              <w:jc w:val="left"/>
              <w:rPr>
                <w:rFonts w:ascii="宋体" w:hAnsi="宋体" w:cs="宋体"/>
                <w:color w:val="000000"/>
                <w:kern w:val="0"/>
                <w:sz w:val="24"/>
              </w:rPr>
            </w:pPr>
            <w:r>
              <w:rPr>
                <w:rFonts w:hint="eastAsia" w:ascii="宋体" w:hAnsi="宋体" w:cs="宋体"/>
                <w:color w:val="000000"/>
                <w:kern w:val="0"/>
                <w:sz w:val="24"/>
              </w:rPr>
              <w:t>充分使用多媒体技术，比如电子课件、投影、视频、音频等，为学生提供智能财务核算的操作过程演示，使学生对课程建立全面的认识，并能按照操作演示的指引完成模拟操作。</w:t>
            </w:r>
          </w:p>
          <w:p>
            <w:pPr>
              <w:widowControl/>
              <w:snapToGrid w:val="0"/>
              <w:spacing w:line="360" w:lineRule="auto"/>
              <w:jc w:val="left"/>
              <w:rPr>
                <w:rFonts w:ascii="宋体" w:hAns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2</w:t>
            </w:r>
            <w:r>
              <w:rPr>
                <w:rFonts w:hint="eastAsia" w:ascii="宋体" w:hAnsi="宋体" w:cs="宋体"/>
                <w:color w:val="000000"/>
                <w:kern w:val="0"/>
                <w:sz w:val="24"/>
              </w:rPr>
              <w:t>）智适应教学平台</w:t>
            </w:r>
          </w:p>
          <w:p>
            <w:pPr>
              <w:widowControl/>
              <w:snapToGrid w:val="0"/>
              <w:spacing w:line="360" w:lineRule="auto"/>
              <w:jc w:val="left"/>
              <w:rPr>
                <w:rFonts w:ascii="宋体" w:hAnsi="宋体" w:cs="宋体"/>
                <w:color w:val="000000"/>
                <w:kern w:val="0"/>
                <w:sz w:val="24"/>
              </w:rPr>
            </w:pPr>
            <w:r>
              <w:rPr>
                <w:rFonts w:hint="eastAsia" w:ascii="宋体" w:hAnsi="宋体" w:cs="宋体"/>
                <w:color w:val="000000"/>
                <w:kern w:val="0"/>
                <w:sz w:val="24"/>
              </w:rPr>
              <w:t>可选择使用智适应教学平台，平台不仅有可供随时随处访问的教学资源数字化，还具备有智能助教功能、行为监控与评价功能、自动甄别功能等，可进行教学全过程评价，并对教学结果进行横向和纵向的数据分析。</w:t>
            </w:r>
          </w:p>
          <w:p>
            <w:pPr>
              <w:widowControl/>
              <w:snapToGrid w:val="0"/>
              <w:spacing w:line="360" w:lineRule="auto"/>
              <w:jc w:val="left"/>
              <w:rPr>
                <w:rFonts w:ascii="宋体" w:hAns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3</w:t>
            </w:r>
            <w:r>
              <w:rPr>
                <w:rFonts w:hint="eastAsia" w:ascii="宋体" w:hAnsi="宋体" w:cs="宋体"/>
                <w:color w:val="000000"/>
                <w:kern w:val="0"/>
                <w:sz w:val="24"/>
              </w:rPr>
              <w:t>）交互式双师课堂</w:t>
            </w:r>
          </w:p>
          <w:p>
            <w:pPr>
              <w:widowControl/>
              <w:snapToGrid w:val="0"/>
              <w:spacing w:line="360" w:lineRule="auto"/>
              <w:jc w:val="left"/>
              <w:rPr>
                <w:rFonts w:ascii="宋体" w:hAnsi="宋体" w:cs="宋体"/>
                <w:color w:val="000000"/>
                <w:kern w:val="0"/>
                <w:sz w:val="24"/>
              </w:rPr>
            </w:pPr>
            <w:r>
              <w:rPr>
                <w:rFonts w:hint="eastAsia" w:ascii="宋体" w:hAnsi="宋体" w:cs="宋体"/>
                <w:color w:val="000000"/>
                <w:kern w:val="0"/>
                <w:sz w:val="24"/>
              </w:rPr>
              <w:t>可使用互联网直播、录播、多方实时协作的“双师课堂”，连线企业专家、业界名师，开展远程教学、协同教学、线上与线下互动教学，实现优质资源共享，缩短校企之间距离。</w:t>
            </w:r>
          </w:p>
          <w:p>
            <w:pPr>
              <w:widowControl/>
              <w:snapToGrid w:val="0"/>
              <w:spacing w:line="360" w:lineRule="auto"/>
              <w:jc w:val="left"/>
              <w:rPr>
                <w:rFonts w:ascii="宋体" w:hAnsi="宋体" w:cs="宋体"/>
                <w:color w:val="000000"/>
                <w:kern w:val="0"/>
                <w:sz w:val="24"/>
              </w:rPr>
            </w:pPr>
            <w:r>
              <w:rPr>
                <w:rFonts w:hint="eastAsia" w:ascii="宋体" w:hAnsi="宋体" w:cs="宋体"/>
                <w:color w:val="000000"/>
                <w:kern w:val="0"/>
                <w:sz w:val="24"/>
              </w:rPr>
              <w:t>3.3.2考核标准</w:t>
            </w:r>
          </w:p>
          <w:p>
            <w:pPr>
              <w:widowControl/>
              <w:snapToGrid w:val="0"/>
              <w:spacing w:line="360" w:lineRule="auto"/>
              <w:jc w:val="left"/>
              <w:rPr>
                <w:rFonts w:ascii="宋体" w:hAnsi="宋体" w:cs="宋体"/>
                <w:color w:val="000000"/>
                <w:kern w:val="0"/>
                <w:sz w:val="24"/>
              </w:rPr>
            </w:pPr>
            <w:r>
              <w:rPr>
                <w:rFonts w:hint="eastAsia" w:ascii="宋体" w:hAnsi="宋体" w:cs="宋体"/>
                <w:color w:val="000000"/>
                <w:kern w:val="0"/>
                <w:sz w:val="24"/>
              </w:rPr>
              <w:t xml:space="preserve"> </w:t>
            </w:r>
            <w:r>
              <w:rPr>
                <w:rFonts w:ascii="宋体" w:hAnsi="宋体" w:cs="宋体"/>
                <w:color w:val="000000"/>
                <w:kern w:val="0"/>
                <w:sz w:val="24"/>
              </w:rPr>
              <w:t xml:space="preserve"> </w:t>
            </w:r>
            <w:r>
              <w:rPr>
                <w:rFonts w:hint="eastAsia" w:ascii="宋体" w:hAnsi="宋体" w:cs="宋体"/>
                <w:color w:val="000000"/>
                <w:kern w:val="0"/>
                <w:sz w:val="24"/>
              </w:rPr>
              <w:t>本课程的考核方案分四个维度：测评考核（测评题）默认25%，学习行为考核（签到、学习时间，学习次数）默认25%，作业考核（老师评价、互评）默认25%，实训成果考核（实训报告）默认25%。除了“实训成果考核”为教师主观评判外，其余维度均由教学平台自动评价。教师可根据具体情况，在教学平台上自由调整各维度的考核权重。本考核方案主要考核评价学生对财务共享基本概念的理解、对各种业务财务和共享财务岗位职能和工作流程的掌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37" w:type="dxa"/>
          </w:tcPr>
          <w:p>
            <w:pPr>
              <w:rPr>
                <w:rFonts w:ascii="宋体" w:hAnsi="宋体" w:cs="宋体"/>
                <w:color w:val="000000"/>
                <w:kern w:val="0"/>
                <w:sz w:val="24"/>
              </w:rPr>
            </w:pPr>
            <w:r>
              <w:rPr>
                <w:rFonts w:hint="eastAsia" w:ascii="宋体" w:hAnsi="宋体" w:cs="宋体"/>
                <w:color w:val="000000"/>
                <w:kern w:val="0"/>
                <w:sz w:val="24"/>
              </w:rPr>
              <w:t>3-4其他情况说明</w:t>
            </w:r>
          </w:p>
          <w:p>
            <w:pPr>
              <w:widowControl/>
              <w:snapToGrid w:val="0"/>
              <w:spacing w:line="360" w:lineRule="auto"/>
              <w:jc w:val="left"/>
              <w:rPr>
                <w:rFonts w:ascii="宋体" w:hAnsi="宋体" w:cs="宋体"/>
                <w:color w:val="000000"/>
                <w:kern w:val="0"/>
                <w:sz w:val="24"/>
              </w:rPr>
            </w:pPr>
          </w:p>
          <w:p>
            <w:pPr>
              <w:widowControl/>
              <w:snapToGrid w:val="0"/>
              <w:spacing w:line="360" w:lineRule="auto"/>
              <w:jc w:val="left"/>
              <w:rPr>
                <w:rFonts w:ascii="宋体" w:hAnsi="宋体" w:cs="宋体"/>
                <w:color w:val="000000"/>
                <w:kern w:val="0"/>
                <w:sz w:val="24"/>
              </w:rPr>
            </w:pPr>
          </w:p>
          <w:p>
            <w:pPr>
              <w:widowControl/>
              <w:snapToGrid w:val="0"/>
              <w:spacing w:line="360" w:lineRule="auto"/>
              <w:jc w:val="left"/>
              <w:rPr>
                <w:rFonts w:ascii="宋体" w:hAnsi="宋体" w:cs="宋体"/>
                <w:color w:val="000000"/>
                <w:kern w:val="0"/>
                <w:sz w:val="24"/>
              </w:rPr>
            </w:pPr>
          </w:p>
        </w:tc>
      </w:tr>
    </w:tbl>
    <w:p>
      <w:pPr>
        <w:widowControl/>
        <w:snapToGrid w:val="0"/>
        <w:spacing w:line="360" w:lineRule="auto"/>
        <w:jc w:val="left"/>
        <w:rPr>
          <w:rFonts w:ascii="宋体" w:hAnsi="宋体" w:cs="宋体"/>
          <w:b/>
          <w:color w:val="000000"/>
          <w:kern w:val="0"/>
          <w:sz w:val="24"/>
          <w:szCs w:val="24"/>
        </w:rPr>
      </w:pPr>
    </w:p>
    <w:p>
      <w:pPr>
        <w:widowControl/>
        <w:snapToGrid w:val="0"/>
        <w:spacing w:line="360" w:lineRule="auto"/>
        <w:jc w:val="left"/>
        <w:rPr>
          <w:rFonts w:ascii="华文中宋" w:hAnsi="华文中宋" w:eastAsia="华文中宋" w:cs="宋体"/>
          <w:b/>
          <w:color w:val="000000"/>
          <w:kern w:val="0"/>
          <w:sz w:val="28"/>
          <w:szCs w:val="28"/>
        </w:rPr>
      </w:pPr>
      <w:r>
        <w:rPr>
          <w:rFonts w:hint="eastAsia" w:ascii="华文中宋" w:hAnsi="华文中宋" w:eastAsia="华文中宋" w:cs="宋体"/>
          <w:b/>
          <w:color w:val="000000"/>
          <w:kern w:val="0"/>
          <w:sz w:val="28"/>
          <w:szCs w:val="28"/>
        </w:rPr>
        <w:t>4.建设规划</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57"/>
        <w:gridCol w:w="4759"/>
        <w:gridCol w:w="20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1757" w:type="dxa"/>
            <w:vAlign w:val="center"/>
          </w:tcPr>
          <w:p>
            <w:pPr>
              <w:jc w:val="center"/>
              <w:rPr>
                <w:rFonts w:ascii="宋体" w:hAnsi="宋体" w:cs="宋体"/>
                <w:color w:val="000000"/>
                <w:kern w:val="0"/>
                <w:sz w:val="24"/>
              </w:rPr>
            </w:pPr>
            <w:r>
              <w:rPr>
                <w:rFonts w:hint="eastAsia" w:ascii="宋体" w:hAnsi="宋体" w:cs="宋体"/>
                <w:color w:val="000000"/>
                <w:kern w:val="0"/>
                <w:sz w:val="24"/>
              </w:rPr>
              <w:t>建设内容</w:t>
            </w:r>
          </w:p>
        </w:tc>
        <w:tc>
          <w:tcPr>
            <w:tcW w:w="4759" w:type="dxa"/>
            <w:vAlign w:val="center"/>
          </w:tcPr>
          <w:p>
            <w:pPr>
              <w:jc w:val="center"/>
              <w:rPr>
                <w:rFonts w:ascii="宋体" w:hAnsi="宋体" w:cs="宋体"/>
                <w:color w:val="000000"/>
                <w:kern w:val="0"/>
                <w:sz w:val="24"/>
              </w:rPr>
            </w:pPr>
            <w:r>
              <w:rPr>
                <w:rFonts w:hint="eastAsia" w:ascii="宋体" w:hAnsi="宋体" w:cs="宋体"/>
                <w:color w:val="000000"/>
                <w:kern w:val="0"/>
                <w:sz w:val="24"/>
              </w:rPr>
              <w:t>具体思路与举措</w:t>
            </w:r>
          </w:p>
        </w:tc>
        <w:tc>
          <w:tcPr>
            <w:tcW w:w="1921" w:type="dxa"/>
            <w:vAlign w:val="center"/>
          </w:tcPr>
          <w:p>
            <w:pPr>
              <w:jc w:val="center"/>
              <w:rPr>
                <w:rFonts w:ascii="宋体" w:hAnsi="宋体" w:cs="宋体"/>
                <w:color w:val="000000"/>
                <w:kern w:val="0"/>
                <w:sz w:val="24"/>
              </w:rPr>
            </w:pPr>
            <w:r>
              <w:rPr>
                <w:rFonts w:hint="eastAsia" w:ascii="宋体" w:hAnsi="宋体" w:cs="宋体"/>
                <w:color w:val="000000"/>
                <w:kern w:val="0"/>
                <w:sz w:val="24"/>
              </w:rPr>
              <w:t>时间安排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1757" w:type="dxa"/>
            <w:vAlign w:val="center"/>
          </w:tcPr>
          <w:p>
            <w:pPr>
              <w:jc w:val="center"/>
              <w:rPr>
                <w:rFonts w:ascii="宋体" w:hAnsi="宋体"/>
                <w:sz w:val="24"/>
                <w:szCs w:val="24"/>
              </w:rPr>
            </w:pPr>
            <w:r>
              <w:rPr>
                <w:rFonts w:hint="eastAsia" w:ascii="宋体" w:hAnsi="宋体"/>
                <w:sz w:val="24"/>
                <w:szCs w:val="24"/>
              </w:rPr>
              <w:t>现有资源更新</w:t>
            </w:r>
          </w:p>
        </w:tc>
        <w:tc>
          <w:tcPr>
            <w:tcW w:w="4759" w:type="dxa"/>
            <w:vAlign w:val="center"/>
          </w:tcPr>
          <w:p>
            <w:pPr>
              <w:jc w:val="center"/>
              <w:rPr>
                <w:rFonts w:ascii="宋体" w:hAnsi="宋体"/>
                <w:sz w:val="24"/>
                <w:szCs w:val="24"/>
              </w:rPr>
            </w:pPr>
            <w:r>
              <w:rPr>
                <w:rFonts w:hint="eastAsia" w:ascii="宋体" w:hAnsi="宋体"/>
                <w:sz w:val="24"/>
                <w:szCs w:val="24"/>
              </w:rPr>
              <w:t>WORD、PPT、视频等</w:t>
            </w:r>
          </w:p>
        </w:tc>
        <w:tc>
          <w:tcPr>
            <w:tcW w:w="1921" w:type="dxa"/>
            <w:vAlign w:val="center"/>
          </w:tcPr>
          <w:p>
            <w:pPr>
              <w:jc w:val="center"/>
              <w:rPr>
                <w:rFonts w:ascii="宋体" w:hAnsi="宋体"/>
                <w:sz w:val="24"/>
                <w:szCs w:val="24"/>
              </w:rPr>
            </w:pPr>
            <w:r>
              <w:rPr>
                <w:rFonts w:hint="eastAsia" w:ascii="宋体" w:hAnsi="宋体"/>
                <w:sz w:val="24"/>
                <w:szCs w:val="24"/>
              </w:rPr>
              <w:t>2</w:t>
            </w:r>
            <w:r>
              <w:rPr>
                <w:rFonts w:ascii="宋体" w:hAnsi="宋体"/>
                <w:sz w:val="24"/>
                <w:szCs w:val="24"/>
              </w:rPr>
              <w:t>020.06</w:t>
            </w:r>
            <w:r>
              <w:rPr>
                <w:rFonts w:hint="eastAsia" w:ascii="宋体" w:hAnsi="宋体"/>
                <w:sz w:val="24"/>
                <w:szCs w:val="24"/>
              </w:rPr>
              <w:t>-</w:t>
            </w:r>
            <w:r>
              <w:rPr>
                <w:rFonts w:ascii="宋体" w:hAnsi="宋体"/>
                <w:sz w:val="24"/>
                <w:szCs w:val="24"/>
              </w:rPr>
              <w:t>2020.09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1757" w:type="dxa"/>
            <w:vAlign w:val="center"/>
          </w:tcPr>
          <w:p>
            <w:pPr>
              <w:jc w:val="center"/>
              <w:rPr>
                <w:rFonts w:ascii="宋体" w:hAnsi="宋体"/>
                <w:sz w:val="24"/>
                <w:szCs w:val="24"/>
              </w:rPr>
            </w:pPr>
            <w:r>
              <w:rPr>
                <w:rFonts w:hint="eastAsia" w:ascii="宋体" w:hAnsi="宋体"/>
                <w:sz w:val="24"/>
                <w:szCs w:val="24"/>
              </w:rPr>
              <w:t>财务共享知识点/技能点</w:t>
            </w:r>
          </w:p>
        </w:tc>
        <w:tc>
          <w:tcPr>
            <w:tcW w:w="4759" w:type="dxa"/>
            <w:vAlign w:val="center"/>
          </w:tcPr>
          <w:p>
            <w:pPr>
              <w:jc w:val="center"/>
              <w:rPr>
                <w:rFonts w:ascii="宋体" w:hAnsi="宋体"/>
                <w:sz w:val="24"/>
                <w:szCs w:val="24"/>
              </w:rPr>
            </w:pPr>
            <w:r>
              <w:rPr>
                <w:rFonts w:ascii="宋体" w:hAnsi="宋体"/>
                <w:sz w:val="24"/>
                <w:szCs w:val="24"/>
              </w:rPr>
              <w:t>WORD</w:t>
            </w:r>
          </w:p>
        </w:tc>
        <w:tc>
          <w:tcPr>
            <w:tcW w:w="1921" w:type="dxa"/>
            <w:vAlign w:val="center"/>
          </w:tcPr>
          <w:p>
            <w:pPr>
              <w:jc w:val="center"/>
              <w:rPr>
                <w:rFonts w:ascii="宋体" w:hAnsi="宋体"/>
                <w:sz w:val="24"/>
                <w:szCs w:val="24"/>
              </w:rPr>
            </w:pPr>
            <w:r>
              <w:rPr>
                <w:rFonts w:ascii="宋体" w:hAnsi="宋体"/>
                <w:sz w:val="24"/>
                <w:szCs w:val="24"/>
              </w:rPr>
              <w:t xml:space="preserve"> </w:t>
            </w:r>
            <w:r>
              <w:rPr>
                <w:rFonts w:hint="eastAsia" w:ascii="宋体" w:hAnsi="宋体"/>
                <w:sz w:val="24"/>
                <w:szCs w:val="24"/>
              </w:rPr>
              <w:t>2</w:t>
            </w:r>
            <w:r>
              <w:rPr>
                <w:rFonts w:ascii="宋体" w:hAnsi="宋体"/>
                <w:sz w:val="24"/>
                <w:szCs w:val="24"/>
              </w:rPr>
              <w:t>020.10</w:t>
            </w:r>
            <w:r>
              <w:rPr>
                <w:rFonts w:hint="eastAsia" w:ascii="宋体" w:hAnsi="宋体"/>
                <w:sz w:val="24"/>
                <w:szCs w:val="24"/>
              </w:rPr>
              <w:t>-</w:t>
            </w:r>
            <w:r>
              <w:rPr>
                <w:rFonts w:ascii="宋体" w:hAnsi="宋体"/>
                <w:sz w:val="24"/>
                <w:szCs w:val="24"/>
              </w:rPr>
              <w:t>2021.03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1757" w:type="dxa"/>
            <w:vAlign w:val="center"/>
          </w:tcPr>
          <w:p>
            <w:pPr>
              <w:jc w:val="center"/>
              <w:rPr>
                <w:rFonts w:ascii="宋体" w:hAnsi="宋体"/>
                <w:sz w:val="24"/>
                <w:szCs w:val="24"/>
              </w:rPr>
            </w:pPr>
            <w:r>
              <w:rPr>
                <w:rFonts w:hint="eastAsia" w:ascii="宋体" w:hAnsi="宋体"/>
                <w:sz w:val="24"/>
                <w:szCs w:val="24"/>
              </w:rPr>
              <w:t>财务共享课程资源</w:t>
            </w:r>
          </w:p>
        </w:tc>
        <w:tc>
          <w:tcPr>
            <w:tcW w:w="4759" w:type="dxa"/>
            <w:vAlign w:val="center"/>
          </w:tcPr>
          <w:p>
            <w:pPr>
              <w:jc w:val="center"/>
              <w:rPr>
                <w:rFonts w:ascii="宋体" w:hAnsi="宋体"/>
                <w:sz w:val="24"/>
                <w:szCs w:val="24"/>
              </w:rPr>
            </w:pPr>
            <w:r>
              <w:rPr>
                <w:rFonts w:ascii="宋体" w:hAnsi="宋体"/>
                <w:sz w:val="24"/>
                <w:szCs w:val="24"/>
              </w:rPr>
              <w:t>WORD</w:t>
            </w:r>
            <w:r>
              <w:rPr>
                <w:rFonts w:hint="eastAsia" w:ascii="宋体" w:hAnsi="宋体"/>
                <w:sz w:val="24"/>
                <w:szCs w:val="24"/>
              </w:rPr>
              <w:t xml:space="preserve"> 、PPT、视频</w:t>
            </w:r>
          </w:p>
        </w:tc>
        <w:tc>
          <w:tcPr>
            <w:tcW w:w="1921" w:type="dxa"/>
            <w:vAlign w:val="center"/>
          </w:tcPr>
          <w:p>
            <w:pPr>
              <w:jc w:val="center"/>
              <w:rPr>
                <w:rFonts w:ascii="宋体" w:hAnsi="宋体"/>
                <w:sz w:val="24"/>
                <w:szCs w:val="24"/>
              </w:rPr>
            </w:pPr>
            <w:r>
              <w:rPr>
                <w:rFonts w:ascii="宋体" w:hAnsi="宋体"/>
                <w:sz w:val="24"/>
                <w:szCs w:val="24"/>
              </w:rPr>
              <w:t xml:space="preserve"> </w:t>
            </w:r>
            <w:r>
              <w:rPr>
                <w:rFonts w:hint="eastAsia" w:ascii="宋体" w:hAnsi="宋体"/>
                <w:sz w:val="24"/>
                <w:szCs w:val="24"/>
              </w:rPr>
              <w:t>2</w:t>
            </w:r>
            <w:r>
              <w:rPr>
                <w:rFonts w:ascii="宋体" w:hAnsi="宋体"/>
                <w:sz w:val="24"/>
                <w:szCs w:val="24"/>
              </w:rPr>
              <w:t>021.04</w:t>
            </w:r>
            <w:r>
              <w:rPr>
                <w:rFonts w:hint="eastAsia" w:ascii="宋体" w:hAnsi="宋体"/>
                <w:sz w:val="24"/>
                <w:szCs w:val="24"/>
              </w:rPr>
              <w:t>-</w:t>
            </w:r>
            <w:r>
              <w:rPr>
                <w:rFonts w:ascii="宋体" w:hAnsi="宋体"/>
                <w:sz w:val="24"/>
                <w:szCs w:val="24"/>
              </w:rPr>
              <w:t>2021.09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1757" w:type="dxa"/>
            <w:vAlign w:val="center"/>
          </w:tcPr>
          <w:p>
            <w:pPr>
              <w:jc w:val="center"/>
              <w:rPr>
                <w:rFonts w:ascii="宋体" w:hAnsi="宋体"/>
                <w:sz w:val="24"/>
                <w:szCs w:val="24"/>
              </w:rPr>
            </w:pPr>
            <w:r>
              <w:rPr>
                <w:rFonts w:hint="eastAsia" w:ascii="宋体" w:hAnsi="宋体"/>
                <w:sz w:val="24"/>
                <w:szCs w:val="24"/>
              </w:rPr>
              <w:t>财务共享课程考核标准</w:t>
            </w:r>
          </w:p>
        </w:tc>
        <w:tc>
          <w:tcPr>
            <w:tcW w:w="4759" w:type="dxa"/>
            <w:vAlign w:val="center"/>
          </w:tcPr>
          <w:p>
            <w:pPr>
              <w:jc w:val="center"/>
              <w:rPr>
                <w:rFonts w:ascii="宋体" w:hAnsi="宋体"/>
                <w:sz w:val="24"/>
                <w:szCs w:val="24"/>
              </w:rPr>
            </w:pPr>
            <w:r>
              <w:rPr>
                <w:rFonts w:ascii="宋体" w:hAnsi="宋体"/>
                <w:sz w:val="24"/>
                <w:szCs w:val="24"/>
              </w:rPr>
              <w:t>WORD</w:t>
            </w:r>
            <w:r>
              <w:rPr>
                <w:rFonts w:hint="eastAsia" w:ascii="宋体" w:hAnsi="宋体"/>
                <w:sz w:val="24"/>
                <w:szCs w:val="24"/>
              </w:rPr>
              <w:t>，视频</w:t>
            </w:r>
          </w:p>
        </w:tc>
        <w:tc>
          <w:tcPr>
            <w:tcW w:w="1921" w:type="dxa"/>
            <w:vAlign w:val="center"/>
          </w:tcPr>
          <w:p>
            <w:pPr>
              <w:jc w:val="center"/>
              <w:rPr>
                <w:rFonts w:ascii="宋体" w:hAnsi="宋体"/>
                <w:sz w:val="24"/>
                <w:szCs w:val="24"/>
              </w:rPr>
            </w:pPr>
            <w:r>
              <w:rPr>
                <w:rFonts w:ascii="宋体" w:hAnsi="宋体"/>
                <w:sz w:val="24"/>
                <w:szCs w:val="24"/>
              </w:rPr>
              <w:t xml:space="preserve"> </w:t>
            </w:r>
            <w:r>
              <w:rPr>
                <w:rFonts w:hint="eastAsia" w:ascii="宋体" w:hAnsi="宋体"/>
                <w:sz w:val="24"/>
                <w:szCs w:val="24"/>
              </w:rPr>
              <w:t>2</w:t>
            </w:r>
            <w:r>
              <w:rPr>
                <w:rFonts w:ascii="宋体" w:hAnsi="宋体"/>
                <w:sz w:val="24"/>
                <w:szCs w:val="24"/>
              </w:rPr>
              <w:t>021.10</w:t>
            </w:r>
            <w:r>
              <w:rPr>
                <w:rFonts w:hint="eastAsia" w:ascii="宋体" w:hAnsi="宋体"/>
                <w:sz w:val="24"/>
                <w:szCs w:val="24"/>
              </w:rPr>
              <w:t>-</w:t>
            </w:r>
            <w:r>
              <w:rPr>
                <w:rFonts w:ascii="宋体" w:hAnsi="宋体"/>
                <w:sz w:val="24"/>
                <w:szCs w:val="24"/>
              </w:rPr>
              <w:t>2021.12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1757" w:type="dxa"/>
            <w:vAlign w:val="center"/>
          </w:tcPr>
          <w:p>
            <w:pPr>
              <w:jc w:val="center"/>
              <w:rPr>
                <w:rFonts w:ascii="宋体" w:hAnsi="宋体"/>
                <w:sz w:val="24"/>
                <w:szCs w:val="24"/>
              </w:rPr>
            </w:pPr>
            <w:r>
              <w:rPr>
                <w:rFonts w:hint="eastAsia" w:ascii="宋体" w:hAnsi="宋体"/>
                <w:sz w:val="24"/>
                <w:szCs w:val="24"/>
              </w:rPr>
              <w:t>线上课程平台</w:t>
            </w:r>
          </w:p>
        </w:tc>
        <w:tc>
          <w:tcPr>
            <w:tcW w:w="4759" w:type="dxa"/>
            <w:vAlign w:val="center"/>
          </w:tcPr>
          <w:p>
            <w:pPr>
              <w:jc w:val="center"/>
              <w:rPr>
                <w:rFonts w:ascii="宋体" w:hAnsi="宋体"/>
                <w:sz w:val="24"/>
                <w:szCs w:val="24"/>
              </w:rPr>
            </w:pPr>
            <w:r>
              <w:rPr>
                <w:rFonts w:hint="eastAsia" w:ascii="宋体" w:hAnsi="宋体"/>
                <w:sz w:val="24"/>
                <w:szCs w:val="24"/>
              </w:rPr>
              <w:t>实践教学平台</w:t>
            </w:r>
          </w:p>
        </w:tc>
        <w:tc>
          <w:tcPr>
            <w:tcW w:w="1921" w:type="dxa"/>
            <w:vAlign w:val="center"/>
          </w:tcPr>
          <w:p>
            <w:pPr>
              <w:jc w:val="center"/>
              <w:rPr>
                <w:rFonts w:ascii="宋体" w:hAnsi="宋体"/>
                <w:sz w:val="24"/>
                <w:szCs w:val="24"/>
              </w:rPr>
            </w:pPr>
            <w:r>
              <w:rPr>
                <w:rFonts w:hint="eastAsia" w:ascii="宋体" w:hAnsi="宋体"/>
                <w:sz w:val="24"/>
                <w:szCs w:val="24"/>
              </w:rPr>
              <w:t>2</w:t>
            </w:r>
            <w:r>
              <w:rPr>
                <w:rFonts w:ascii="宋体" w:hAnsi="宋体"/>
                <w:sz w:val="24"/>
                <w:szCs w:val="24"/>
              </w:rPr>
              <w:t>022.01</w:t>
            </w:r>
            <w:r>
              <w:rPr>
                <w:rFonts w:hint="eastAsia" w:ascii="宋体" w:hAnsi="宋体"/>
                <w:sz w:val="24"/>
                <w:szCs w:val="24"/>
              </w:rPr>
              <w:t>-</w:t>
            </w:r>
            <w:r>
              <w:rPr>
                <w:rFonts w:ascii="宋体" w:hAnsi="宋体"/>
                <w:sz w:val="24"/>
                <w:szCs w:val="24"/>
              </w:rPr>
              <w:t>2022.06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1757" w:type="dxa"/>
            <w:vAlign w:val="center"/>
          </w:tcPr>
          <w:p>
            <w:pPr>
              <w:jc w:val="center"/>
              <w:rPr>
                <w:rFonts w:ascii="宋体" w:hAnsi="宋体"/>
                <w:sz w:val="24"/>
                <w:szCs w:val="24"/>
              </w:rPr>
            </w:pPr>
          </w:p>
        </w:tc>
        <w:tc>
          <w:tcPr>
            <w:tcW w:w="4759" w:type="dxa"/>
            <w:vAlign w:val="center"/>
          </w:tcPr>
          <w:p>
            <w:pPr>
              <w:jc w:val="center"/>
              <w:rPr>
                <w:rFonts w:ascii="宋体" w:hAnsi="宋体"/>
                <w:sz w:val="24"/>
                <w:szCs w:val="24"/>
              </w:rPr>
            </w:pPr>
          </w:p>
        </w:tc>
        <w:tc>
          <w:tcPr>
            <w:tcW w:w="1921" w:type="dxa"/>
            <w:vAlign w:val="center"/>
          </w:tcPr>
          <w:p>
            <w:pPr>
              <w:jc w:val="center"/>
              <w:rPr>
                <w:rFonts w:ascii="宋体" w:hAnsi="宋体"/>
                <w:sz w:val="24"/>
                <w:szCs w:val="24"/>
              </w:rPr>
            </w:pPr>
          </w:p>
        </w:tc>
      </w:tr>
    </w:tbl>
    <w:p>
      <w:pPr>
        <w:rPr>
          <w:rFonts w:ascii="仿宋_GB2312" w:hAnsi="宋体" w:eastAsia="仿宋_GB2312" w:cs="宋体"/>
          <w:b/>
          <w:color w:val="000000"/>
          <w:kern w:val="0"/>
          <w:sz w:val="28"/>
          <w:szCs w:val="28"/>
        </w:rPr>
      </w:pPr>
    </w:p>
    <w:p>
      <w:pPr>
        <w:widowControl/>
        <w:snapToGrid w:val="0"/>
        <w:spacing w:line="360" w:lineRule="auto"/>
        <w:jc w:val="left"/>
        <w:rPr>
          <w:rFonts w:ascii="华文中宋" w:hAnsi="华文中宋" w:eastAsia="华文中宋" w:cs="宋体"/>
          <w:b/>
          <w:color w:val="000000"/>
          <w:kern w:val="0"/>
          <w:sz w:val="28"/>
          <w:szCs w:val="28"/>
        </w:rPr>
      </w:pPr>
      <w:r>
        <w:rPr>
          <w:rFonts w:hint="eastAsia" w:ascii="华文中宋" w:hAnsi="华文中宋" w:eastAsia="华文中宋" w:cs="宋体"/>
          <w:b/>
          <w:color w:val="000000"/>
          <w:kern w:val="0"/>
          <w:sz w:val="28"/>
          <w:szCs w:val="28"/>
        </w:rPr>
        <w:t>5.预期效果和考核指标</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037" w:type="dxa"/>
          </w:tcPr>
          <w:p>
            <w:pPr>
              <w:rPr>
                <w:rFonts w:ascii="宋体" w:hAnsi="宋体" w:cs="宋体"/>
                <w:color w:val="000000"/>
                <w:kern w:val="0"/>
                <w:sz w:val="24"/>
              </w:rPr>
            </w:pPr>
            <w:r>
              <w:rPr>
                <w:rFonts w:hint="eastAsia" w:ascii="宋体" w:hAnsi="宋体" w:cs="宋体"/>
                <w:color w:val="000000"/>
                <w:kern w:val="0"/>
                <w:sz w:val="24"/>
              </w:rPr>
              <w:t>预期成果： 预期达成的教学改革成效、学生学习效果、社会效益等。</w:t>
            </w:r>
          </w:p>
          <w:p>
            <w:pPr>
              <w:rPr>
                <w:rFonts w:ascii="宋体" w:hAnsi="宋体" w:cs="宋体"/>
                <w:color w:val="000000"/>
                <w:kern w:val="0"/>
                <w:sz w:val="24"/>
              </w:rPr>
            </w:pPr>
            <w:r>
              <w:rPr>
                <w:rFonts w:ascii="宋体" w:hAnsi="宋体" w:cs="宋体"/>
                <w:color w:val="000000"/>
                <w:kern w:val="0"/>
                <w:sz w:val="24"/>
              </w:rPr>
              <w:t>5</w:t>
            </w:r>
            <w:r>
              <w:rPr>
                <w:rFonts w:hint="eastAsia" w:ascii="宋体" w:hAnsi="宋体" w:cs="宋体"/>
                <w:color w:val="000000"/>
                <w:kern w:val="0"/>
                <w:sz w:val="24"/>
              </w:rPr>
              <w:t>.1. 教学改革成效</w:t>
            </w:r>
          </w:p>
          <w:p>
            <w:pPr>
              <w:ind w:firstLine="480" w:firstLineChars="200"/>
              <w:rPr>
                <w:rFonts w:ascii="宋体" w:hAnsi="宋体" w:cs="宋体"/>
                <w:color w:val="000000"/>
                <w:kern w:val="0"/>
                <w:sz w:val="24"/>
              </w:rPr>
            </w:pPr>
            <w:r>
              <w:rPr>
                <w:rFonts w:hint="eastAsia" w:ascii="宋体" w:hAnsi="宋体" w:cs="宋体"/>
                <w:color w:val="000000"/>
                <w:kern w:val="0"/>
                <w:sz w:val="24"/>
              </w:rPr>
              <w:t>实现线上线下相融合、课堂教学和学生个性化学习相融合的教学模式。提高教学的效果和效率，提高学生的学习主动性和积极性，增大学生自主学习和线上学习的比率。</w:t>
            </w:r>
          </w:p>
          <w:p>
            <w:pPr>
              <w:rPr>
                <w:rFonts w:ascii="宋体" w:hAnsi="宋体" w:cs="宋体"/>
                <w:color w:val="000000"/>
                <w:kern w:val="0"/>
                <w:sz w:val="24"/>
              </w:rPr>
            </w:pPr>
            <w:r>
              <w:rPr>
                <w:rFonts w:ascii="宋体" w:hAnsi="宋体" w:cs="宋体"/>
                <w:color w:val="000000"/>
                <w:kern w:val="0"/>
                <w:sz w:val="24"/>
              </w:rPr>
              <w:t>5</w:t>
            </w:r>
            <w:r>
              <w:rPr>
                <w:rFonts w:hint="eastAsia" w:ascii="宋体" w:hAnsi="宋体" w:cs="宋体"/>
                <w:color w:val="000000"/>
                <w:kern w:val="0"/>
                <w:sz w:val="24"/>
              </w:rPr>
              <w:t>.2. 学生学习效果</w:t>
            </w:r>
          </w:p>
          <w:p>
            <w:pPr>
              <w:ind w:firstLine="480"/>
              <w:rPr>
                <w:rFonts w:ascii="宋体" w:hAnsi="宋体" w:cs="宋体"/>
                <w:color w:val="000000"/>
                <w:kern w:val="0"/>
                <w:sz w:val="24"/>
              </w:rPr>
            </w:pPr>
            <w:r>
              <w:rPr>
                <w:rFonts w:hint="eastAsia" w:ascii="宋体" w:hAnsi="宋体" w:cs="宋体"/>
                <w:color w:val="000000"/>
                <w:kern w:val="0"/>
                <w:sz w:val="24"/>
              </w:rPr>
              <w:t>在财务共享服务的规划设计学习中，利用沙盘作为教学工具，让学生通过初始状态摆盘、共享服务规划设计推演、高阶规划方案撰写、沙盘复盘与高阶规划方案分享等环节，让学生能够熟悉案例企业现状与共享需求、能够描述财务共享服务中心的建设方法、能够文字和语言表达财务共享服务中心的建设方案；在企业端到端业务流程的测试运行过程中，学生通过角色扮演，业务、业务财务与共享财务线上线下多岗协同，物理电子单证结合，让学生能够在产业界主流的企业信息系统上执行费用报销共享、采购到付款共享、销售到收款共享、资金结算共享、财资管理共享、资产共享等核心业务；在共享服务绩效与质量稽核学习中，让学生能够完成绩效看板与质量稽核的设计并在用友NCC系统中完成配置。各教学项目的设计遵循成果导向原则，以学生掌握为目标，以解决财务共享服务环境下的业务和财务处理问题为出发点，通过丰富的岗位工作情境和具体的工作数据，使教学过程工作化、工作过程系统化。</w:t>
            </w:r>
          </w:p>
          <w:p>
            <w:pPr>
              <w:rPr>
                <w:rFonts w:ascii="宋体" w:hAnsi="宋体" w:cs="宋体"/>
                <w:color w:val="000000"/>
                <w:kern w:val="0"/>
                <w:sz w:val="24"/>
              </w:rPr>
            </w:pPr>
            <w:r>
              <w:rPr>
                <w:rFonts w:ascii="宋体" w:hAnsi="宋体" w:cs="宋体"/>
                <w:color w:val="000000"/>
                <w:kern w:val="0"/>
                <w:sz w:val="24"/>
              </w:rPr>
              <w:t>5</w:t>
            </w:r>
            <w:r>
              <w:rPr>
                <w:rFonts w:hint="eastAsia" w:ascii="宋体" w:hAnsi="宋体" w:cs="宋体"/>
                <w:color w:val="000000"/>
                <w:kern w:val="0"/>
                <w:sz w:val="24"/>
              </w:rPr>
              <w:t>.3. 社会效益</w:t>
            </w:r>
          </w:p>
          <w:p>
            <w:pPr>
              <w:ind w:firstLine="480" w:firstLineChars="200"/>
              <w:rPr>
                <w:rFonts w:ascii="宋体" w:hAnsi="宋体" w:cs="宋体"/>
                <w:color w:val="000000"/>
                <w:kern w:val="0"/>
                <w:sz w:val="24"/>
              </w:rPr>
            </w:pPr>
            <w:r>
              <w:rPr>
                <w:rFonts w:hint="eastAsia" w:ascii="宋体" w:hAnsi="宋体" w:cs="宋体"/>
                <w:color w:val="000000"/>
                <w:kern w:val="0"/>
                <w:sz w:val="24"/>
              </w:rPr>
              <w:t>财务共享作为我校会计、财务管理本科专业的专业选修课程，其将直接影响输出的毕业生质量。通过财务共享课程建设，将有利于毕业生就业率，为社会输送更多高质量的会计人才，满足社会对新财经人员需求。学生普遍具有较好的财务共享知识与技能，为以后从事云财务模式下的财务共享服务中心会计核算工作打下理论和技能方面的基础。</w:t>
            </w:r>
          </w:p>
          <w:p>
            <w:pPr>
              <w:rPr>
                <w:rFonts w:ascii="宋体" w:hAnsi="宋体" w:cs="宋体"/>
                <w:b/>
                <w:color w:val="000000"/>
                <w:kern w:val="0"/>
                <w:sz w:val="28"/>
                <w:szCs w:val="28"/>
              </w:rPr>
            </w:pPr>
          </w:p>
        </w:tc>
      </w:tr>
    </w:tbl>
    <w:p>
      <w:pPr>
        <w:widowControl/>
        <w:snapToGrid w:val="0"/>
        <w:spacing w:line="360" w:lineRule="auto"/>
        <w:jc w:val="left"/>
        <w:rPr>
          <w:rFonts w:ascii="华文中宋" w:hAnsi="华文中宋" w:eastAsia="华文中宋" w:cs="宋体"/>
          <w:b/>
          <w:color w:val="000000"/>
          <w:kern w:val="0"/>
          <w:sz w:val="28"/>
          <w:szCs w:val="28"/>
        </w:rPr>
      </w:pPr>
      <w:r>
        <w:rPr>
          <w:rFonts w:hint="eastAsia" w:ascii="华文中宋" w:hAnsi="华文中宋" w:eastAsia="华文中宋" w:cs="宋体"/>
          <w:b/>
          <w:color w:val="000000"/>
          <w:kern w:val="0"/>
          <w:sz w:val="28"/>
          <w:szCs w:val="28"/>
        </w:rPr>
        <w:t>6.经费预算</w:t>
      </w:r>
    </w:p>
    <w:p>
      <w:pPr>
        <w:spacing w:line="360" w:lineRule="auto"/>
        <w:rPr>
          <w:rFonts w:ascii="宋体" w:hAnsi="宋体" w:cs="宋体"/>
          <w:b/>
          <w:color w:val="000000"/>
          <w:kern w:val="0"/>
          <w:sz w:val="28"/>
          <w:szCs w:val="28"/>
        </w:rPr>
      </w:pPr>
      <w:r>
        <w:rPr>
          <w:rFonts w:hint="eastAsia" w:ascii="宋体" w:hAnsi="宋体" w:cs="宋体"/>
          <w:color w:val="000000"/>
          <w:kern w:val="0"/>
          <w:sz w:val="24"/>
        </w:rPr>
        <w:t>（注：每门课程建设经费为3－5万元。教委部门预算单位经费安排在学校下一年度部门预算内，非教委部门预算单位经费由所在高校自筹解决。）</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76"/>
        <w:gridCol w:w="31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5276" w:type="dxa"/>
            <w:vAlign w:val="center"/>
          </w:tcPr>
          <w:p>
            <w:pPr>
              <w:jc w:val="center"/>
              <w:rPr>
                <w:rFonts w:ascii="宋体" w:hAnsi="宋体" w:cs="宋体"/>
                <w:color w:val="000000"/>
                <w:kern w:val="0"/>
                <w:sz w:val="24"/>
              </w:rPr>
            </w:pPr>
            <w:r>
              <w:rPr>
                <w:rFonts w:hint="eastAsia" w:ascii="宋体" w:hAnsi="宋体" w:cs="宋体"/>
                <w:color w:val="000000"/>
                <w:kern w:val="0"/>
                <w:sz w:val="24"/>
              </w:rPr>
              <w:t>项目内容</w:t>
            </w:r>
          </w:p>
        </w:tc>
        <w:tc>
          <w:tcPr>
            <w:tcW w:w="3161" w:type="dxa"/>
            <w:vAlign w:val="center"/>
          </w:tcPr>
          <w:p>
            <w:pPr>
              <w:jc w:val="center"/>
              <w:rPr>
                <w:rFonts w:ascii="宋体" w:hAnsi="宋体" w:cs="宋体"/>
                <w:color w:val="000000"/>
                <w:kern w:val="0"/>
                <w:sz w:val="24"/>
              </w:rPr>
            </w:pPr>
            <w:r>
              <w:rPr>
                <w:rFonts w:hint="eastAsia" w:ascii="宋体" w:hAnsi="宋体" w:cs="宋体"/>
                <w:color w:val="000000"/>
                <w:kern w:val="0"/>
                <w:sz w:val="24"/>
              </w:rPr>
              <w:t>金额（万元）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5276" w:type="dxa"/>
            <w:vAlign w:val="center"/>
          </w:tcPr>
          <w:p>
            <w:pPr>
              <w:jc w:val="both"/>
              <w:rPr>
                <w:rFonts w:ascii="宋体" w:hAnsi="宋体"/>
                <w:sz w:val="24"/>
                <w:szCs w:val="24"/>
              </w:rPr>
            </w:pPr>
            <w:bookmarkStart w:id="3" w:name="_GoBack" w:colFirst="0" w:colLast="0"/>
            <w:r>
              <w:rPr>
                <w:rFonts w:hint="eastAsia" w:ascii="宋体" w:hAnsi="宋体"/>
                <w:sz w:val="24"/>
                <w:szCs w:val="24"/>
              </w:rPr>
              <w:t>资料费、会议费、管理费</w:t>
            </w:r>
          </w:p>
        </w:tc>
        <w:tc>
          <w:tcPr>
            <w:tcW w:w="3161" w:type="dxa"/>
            <w:vAlign w:val="center"/>
          </w:tcPr>
          <w:p>
            <w:pPr>
              <w:jc w:val="center"/>
              <w:rPr>
                <w:rFonts w:ascii="宋体" w:hAnsi="宋体"/>
                <w:sz w:val="24"/>
                <w:szCs w:val="24"/>
              </w:rPr>
            </w:pPr>
            <w:r>
              <w:rPr>
                <w:rFonts w:hint="eastAsia" w:ascii="宋体" w:hAnsi="宋体"/>
                <w:sz w:val="24"/>
                <w:szCs w:val="24"/>
              </w:rPr>
              <w:t>0</w:t>
            </w:r>
            <w:r>
              <w:rPr>
                <w:rFonts w:ascii="宋体" w:hAnsi="宋体"/>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5276" w:type="dxa"/>
            <w:vAlign w:val="center"/>
          </w:tcPr>
          <w:p>
            <w:pPr>
              <w:jc w:val="both"/>
              <w:rPr>
                <w:rFonts w:ascii="宋体" w:hAnsi="宋体"/>
                <w:sz w:val="24"/>
                <w:szCs w:val="24"/>
              </w:rPr>
            </w:pPr>
            <w:r>
              <w:rPr>
                <w:rFonts w:hint="eastAsia" w:ascii="宋体" w:hAnsi="宋体"/>
                <w:szCs w:val="24"/>
              </w:rPr>
              <w:t>专家咨询费、差旅费</w:t>
            </w:r>
          </w:p>
        </w:tc>
        <w:tc>
          <w:tcPr>
            <w:tcW w:w="3161" w:type="dxa"/>
            <w:vAlign w:val="center"/>
          </w:tcPr>
          <w:p>
            <w:pPr>
              <w:jc w:val="center"/>
              <w:rPr>
                <w:rFonts w:ascii="宋体" w:hAnsi="宋体"/>
                <w:sz w:val="24"/>
                <w:szCs w:val="24"/>
              </w:rPr>
            </w:pPr>
            <w:r>
              <w:rPr>
                <w:rFonts w:ascii="宋体" w:hAnsi="宋体"/>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5276" w:type="dxa"/>
            <w:vAlign w:val="center"/>
          </w:tcPr>
          <w:p>
            <w:pPr>
              <w:jc w:val="both"/>
              <w:rPr>
                <w:rFonts w:ascii="宋体" w:hAnsi="宋体"/>
                <w:sz w:val="24"/>
                <w:szCs w:val="24"/>
              </w:rPr>
            </w:pPr>
            <w:r>
              <w:rPr>
                <w:rFonts w:hint="eastAsia" w:ascii="宋体" w:hAnsi="宋体"/>
                <w:sz w:val="24"/>
                <w:szCs w:val="24"/>
              </w:rPr>
              <w:t>设备费</w:t>
            </w:r>
          </w:p>
        </w:tc>
        <w:tc>
          <w:tcPr>
            <w:tcW w:w="3161" w:type="dxa"/>
            <w:vAlign w:val="center"/>
          </w:tcPr>
          <w:p>
            <w:pPr>
              <w:jc w:val="center"/>
              <w:rPr>
                <w:rFonts w:ascii="宋体" w:hAnsi="宋体"/>
                <w:sz w:val="24"/>
                <w:szCs w:val="24"/>
              </w:rPr>
            </w:pPr>
            <w:r>
              <w:rPr>
                <w:rFonts w:hint="eastAsia" w:ascii="宋体" w:hAnsi="宋体"/>
                <w:sz w:val="24"/>
                <w:szCs w:val="24"/>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5276" w:type="dxa"/>
            <w:vAlign w:val="center"/>
          </w:tcPr>
          <w:p>
            <w:pPr>
              <w:jc w:val="both"/>
              <w:rPr>
                <w:rFonts w:ascii="宋体" w:hAnsi="宋体"/>
                <w:sz w:val="24"/>
                <w:szCs w:val="24"/>
              </w:rPr>
            </w:pPr>
            <w:r>
              <w:rPr>
                <w:rFonts w:hint="eastAsia" w:ascii="宋体" w:hAnsi="宋体"/>
                <w:sz w:val="24"/>
                <w:szCs w:val="24"/>
              </w:rPr>
              <w:t>餐饮费</w:t>
            </w:r>
          </w:p>
        </w:tc>
        <w:tc>
          <w:tcPr>
            <w:tcW w:w="3161" w:type="dxa"/>
            <w:vAlign w:val="center"/>
          </w:tcPr>
          <w:p>
            <w:pPr>
              <w:jc w:val="center"/>
              <w:rPr>
                <w:rFonts w:ascii="宋体" w:hAnsi="宋体"/>
                <w:sz w:val="24"/>
                <w:szCs w:val="24"/>
              </w:rPr>
            </w:pPr>
            <w:r>
              <w:rPr>
                <w:rFonts w:hint="eastAsia" w:ascii="宋体" w:hAnsi="宋体"/>
                <w:sz w:val="24"/>
                <w:szCs w:val="24"/>
              </w:rPr>
              <w:t>0</w:t>
            </w:r>
            <w:r>
              <w:rPr>
                <w:rFonts w:ascii="宋体" w:hAnsi="宋体"/>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5276" w:type="dxa"/>
            <w:vAlign w:val="center"/>
          </w:tcPr>
          <w:p>
            <w:pPr>
              <w:jc w:val="both"/>
              <w:rPr>
                <w:rFonts w:ascii="宋体" w:hAnsi="宋体"/>
                <w:sz w:val="24"/>
                <w:szCs w:val="24"/>
              </w:rPr>
            </w:pPr>
            <w:r>
              <w:rPr>
                <w:rFonts w:hint="eastAsia" w:ascii="宋体" w:hAnsi="宋体"/>
                <w:sz w:val="24"/>
                <w:szCs w:val="24"/>
              </w:rPr>
              <w:t>劳务费</w:t>
            </w:r>
          </w:p>
        </w:tc>
        <w:tc>
          <w:tcPr>
            <w:tcW w:w="3161" w:type="dxa"/>
            <w:vAlign w:val="center"/>
          </w:tcPr>
          <w:p>
            <w:pPr>
              <w:jc w:val="center"/>
              <w:rPr>
                <w:rFonts w:ascii="宋体" w:hAnsi="宋体"/>
                <w:sz w:val="24"/>
                <w:szCs w:val="24"/>
              </w:rPr>
            </w:pPr>
            <w:r>
              <w:rPr>
                <w:rFonts w:hint="eastAsia" w:ascii="宋体" w:hAnsi="宋体"/>
                <w:sz w:val="24"/>
                <w:szCs w:val="24"/>
              </w:rPr>
              <w:t>0</w:t>
            </w:r>
            <w:r>
              <w:rPr>
                <w:rFonts w:ascii="宋体" w:hAnsi="宋体"/>
                <w:sz w:val="24"/>
                <w:szCs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5276" w:type="dxa"/>
            <w:vAlign w:val="center"/>
          </w:tcPr>
          <w:p>
            <w:pPr>
              <w:jc w:val="both"/>
              <w:rPr>
                <w:rFonts w:ascii="宋体" w:hAnsi="宋体"/>
                <w:sz w:val="24"/>
                <w:szCs w:val="24"/>
              </w:rPr>
            </w:pPr>
            <w:r>
              <w:rPr>
                <w:rFonts w:hint="eastAsia" w:ascii="宋体" w:hAnsi="宋体"/>
                <w:sz w:val="24"/>
                <w:szCs w:val="24"/>
              </w:rPr>
              <w:t>其他</w:t>
            </w:r>
          </w:p>
        </w:tc>
        <w:tc>
          <w:tcPr>
            <w:tcW w:w="3161" w:type="dxa"/>
            <w:vAlign w:val="center"/>
          </w:tcPr>
          <w:p>
            <w:pPr>
              <w:jc w:val="center"/>
              <w:rPr>
                <w:rFonts w:ascii="宋体" w:hAnsi="宋体"/>
                <w:sz w:val="24"/>
                <w:szCs w:val="24"/>
              </w:rPr>
            </w:pPr>
            <w:r>
              <w:rPr>
                <w:rFonts w:hint="eastAsia" w:ascii="宋体" w:hAnsi="宋体"/>
                <w:sz w:val="24"/>
                <w:szCs w:val="24"/>
              </w:rPr>
              <w:t>0</w:t>
            </w:r>
            <w:r>
              <w:rPr>
                <w:rFonts w:ascii="宋体" w:hAnsi="宋体"/>
                <w:sz w:val="24"/>
                <w:szCs w:val="24"/>
              </w:rPr>
              <w:t>.5</w:t>
            </w:r>
          </w:p>
        </w:tc>
      </w:tr>
      <w:bookmarkEnd w:id="3"/>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437" w:type="dxa"/>
            <w:gridSpan w:val="2"/>
            <w:vAlign w:val="center"/>
          </w:tcPr>
          <w:p>
            <w:pPr>
              <w:rPr>
                <w:rFonts w:ascii="宋体" w:hAnsi="宋体"/>
                <w:sz w:val="24"/>
                <w:szCs w:val="24"/>
              </w:rPr>
            </w:pPr>
            <w:r>
              <w:rPr>
                <w:rFonts w:hint="eastAsia" w:ascii="宋体" w:hAnsi="宋体"/>
                <w:sz w:val="24"/>
                <w:szCs w:val="24"/>
              </w:rPr>
              <w:t>合计：（大写）四万元整</w:t>
            </w:r>
          </w:p>
        </w:tc>
      </w:tr>
    </w:tbl>
    <w:p>
      <w:pPr>
        <w:rPr>
          <w:rFonts w:ascii="仿宋_GB2312" w:hAnsi="宋体" w:eastAsia="仿宋_GB2312"/>
          <w:b/>
          <w:bCs/>
          <w:sz w:val="28"/>
        </w:rPr>
      </w:pPr>
    </w:p>
    <w:p>
      <w:pPr>
        <w:widowControl/>
        <w:snapToGrid w:val="0"/>
        <w:spacing w:line="360" w:lineRule="auto"/>
        <w:jc w:val="left"/>
        <w:rPr>
          <w:rFonts w:ascii="华文中宋" w:hAnsi="华文中宋" w:eastAsia="华文中宋" w:cs="宋体"/>
          <w:b/>
          <w:color w:val="000000"/>
          <w:kern w:val="0"/>
          <w:sz w:val="28"/>
          <w:szCs w:val="28"/>
        </w:rPr>
      </w:pPr>
      <w:r>
        <w:rPr>
          <w:rFonts w:ascii="仿宋_GB2312" w:hAnsi="宋体" w:eastAsia="仿宋_GB2312"/>
          <w:b/>
          <w:bCs/>
          <w:sz w:val="28"/>
        </w:rPr>
        <w:br w:type="page"/>
      </w:r>
      <w:r>
        <w:rPr>
          <w:rFonts w:hint="eastAsia" w:ascii="华文中宋" w:hAnsi="华文中宋" w:eastAsia="华文中宋" w:cs="宋体"/>
          <w:b/>
          <w:color w:val="000000"/>
          <w:kern w:val="0"/>
          <w:sz w:val="28"/>
          <w:szCs w:val="28"/>
        </w:rPr>
        <w:t>7．学校意见</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4" w:type="dxa"/>
          </w:tcPr>
          <w:p>
            <w:pPr>
              <w:spacing w:line="360" w:lineRule="auto"/>
              <w:rPr>
                <w:rFonts w:ascii="仿宋_GB2312" w:hAnsi="宋体" w:eastAsia="仿宋_GB2312" w:cs="宋体"/>
                <w:color w:val="000000"/>
                <w:kern w:val="0"/>
                <w:sz w:val="24"/>
              </w:rPr>
            </w:pPr>
            <w:r>
              <w:rPr>
                <w:rFonts w:hint="eastAsia" w:ascii="仿宋_GB2312" w:hAnsi="宋体" w:eastAsia="仿宋_GB2312" w:cs="宋体"/>
                <w:color w:val="000000"/>
                <w:kern w:val="0"/>
                <w:sz w:val="24"/>
              </w:rPr>
              <w:t>7</w:t>
            </w:r>
            <w:r>
              <w:rPr>
                <w:rFonts w:ascii="仿宋_GB2312" w:hAnsi="宋体" w:eastAsia="仿宋_GB2312" w:cs="宋体"/>
                <w:color w:val="000000"/>
                <w:kern w:val="0"/>
                <w:sz w:val="24"/>
              </w:rPr>
              <w:t>-1</w:t>
            </w:r>
            <w:r>
              <w:rPr>
                <w:rFonts w:hint="eastAsia" w:ascii="仿宋_GB2312" w:hAnsi="宋体" w:eastAsia="仿宋_GB2312" w:cs="宋体"/>
                <w:color w:val="000000"/>
                <w:kern w:val="0"/>
                <w:sz w:val="24"/>
              </w:rPr>
              <w:t>课程负责人</w:t>
            </w:r>
          </w:p>
          <w:p>
            <w:pPr>
              <w:spacing w:line="360" w:lineRule="auto"/>
              <w:rPr>
                <w:rFonts w:ascii="仿宋_GB2312" w:hAnsi="宋体" w:eastAsia="仿宋_GB2312" w:cs="宋体"/>
                <w:color w:val="000000"/>
                <w:kern w:val="0"/>
                <w:sz w:val="24"/>
              </w:rPr>
            </w:pPr>
          </w:p>
          <w:p>
            <w:pPr>
              <w:spacing w:line="360" w:lineRule="auto"/>
              <w:ind w:firstLine="470" w:firstLineChars="196"/>
              <w:rPr>
                <w:rFonts w:ascii="宋体" w:hAnsi="宋体" w:cs="宋体"/>
                <w:color w:val="000000"/>
                <w:kern w:val="0"/>
                <w:sz w:val="24"/>
              </w:rPr>
            </w:pPr>
            <w:r>
              <w:rPr>
                <w:rFonts w:hint="eastAsia" w:ascii="宋体" w:hAnsi="宋体" w:cs="宋体"/>
                <w:color w:val="000000"/>
                <w:kern w:val="0"/>
                <w:sz w:val="24"/>
              </w:rPr>
              <w:t>本人承诺：表中所填内容均真实有效。课程建设期内至少完成一次本课程的主讲任务。</w:t>
            </w:r>
          </w:p>
          <w:p>
            <w:pPr>
              <w:spacing w:line="360" w:lineRule="auto"/>
              <w:ind w:firstLine="470" w:firstLineChars="196"/>
              <w:rPr>
                <w:rFonts w:ascii="宋体" w:hAnsi="宋体" w:cs="宋体"/>
                <w:color w:val="000000"/>
                <w:kern w:val="0"/>
                <w:sz w:val="24"/>
              </w:rPr>
            </w:pPr>
            <w:r>
              <w:rPr>
                <w:rFonts w:hint="eastAsia" w:ascii="宋体" w:hAnsi="宋体" w:cs="宋体"/>
                <w:color w:val="000000"/>
                <w:kern w:val="0"/>
                <w:sz w:val="24"/>
              </w:rPr>
              <w:t xml:space="preserve"> </w:t>
            </w:r>
          </w:p>
          <w:p>
            <w:pPr>
              <w:spacing w:line="360" w:lineRule="auto"/>
              <w:ind w:firstLine="470" w:firstLineChars="196"/>
              <w:rPr>
                <w:rFonts w:ascii="宋体" w:hAnsi="宋体" w:cs="宋体"/>
                <w:color w:val="000000"/>
                <w:kern w:val="0"/>
                <w:sz w:val="24"/>
              </w:rPr>
            </w:pPr>
          </w:p>
          <w:p>
            <w:pPr>
              <w:spacing w:line="360" w:lineRule="auto"/>
              <w:ind w:firstLine="3240" w:firstLineChars="1350"/>
              <w:rPr>
                <w:rFonts w:ascii="仿宋_GB2312" w:hAnsi="宋体" w:eastAsia="仿宋_GB2312" w:cs="宋体"/>
                <w:color w:val="000000"/>
                <w:kern w:val="0"/>
                <w:sz w:val="24"/>
              </w:rPr>
            </w:pPr>
            <w:r>
              <w:rPr>
                <w:rFonts w:hint="eastAsia" w:ascii="宋体" w:hAnsi="宋体" w:cs="宋体"/>
                <w:color w:val="000000"/>
                <w:kern w:val="0"/>
                <w:sz w:val="24"/>
              </w:rPr>
              <w:t>签</w:t>
            </w:r>
            <w:r>
              <w:rPr>
                <w:rFonts w:ascii="宋体" w:hAnsi="宋体" w:cs="宋体"/>
                <w:color w:val="000000"/>
                <w:kern w:val="0"/>
                <w:sz w:val="24"/>
              </w:rPr>
              <w:t xml:space="preserve"> </w:t>
            </w:r>
            <w:r>
              <w:rPr>
                <w:rFonts w:hint="eastAsia" w:ascii="宋体" w:hAnsi="宋体" w:cs="宋体"/>
                <w:color w:val="000000"/>
                <w:kern w:val="0"/>
                <w:sz w:val="24"/>
              </w:rPr>
              <w:t>字：                  日</w:t>
            </w:r>
            <w:r>
              <w:rPr>
                <w:rFonts w:ascii="宋体" w:hAnsi="宋体" w:cs="宋体"/>
                <w:color w:val="000000"/>
                <w:kern w:val="0"/>
                <w:sz w:val="24"/>
              </w:rPr>
              <w:t xml:space="preserve"> </w:t>
            </w:r>
            <w:r>
              <w:rPr>
                <w:rFonts w:hint="eastAsia" w:ascii="宋体" w:hAnsi="宋体" w:cs="宋体"/>
                <w:color w:val="000000"/>
                <w:kern w:val="0"/>
                <w:sz w:val="24"/>
              </w:rPr>
              <w:t>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4" w:type="dxa"/>
          </w:tcPr>
          <w:p>
            <w:pPr>
              <w:spacing w:line="360" w:lineRule="auto"/>
              <w:rPr>
                <w:rFonts w:ascii="仿宋_GB2312" w:hAnsi="宋体" w:eastAsia="仿宋_GB2312" w:cs="宋体"/>
                <w:color w:val="000000"/>
                <w:kern w:val="0"/>
                <w:sz w:val="24"/>
              </w:rPr>
            </w:pPr>
            <w:r>
              <w:rPr>
                <w:rFonts w:hint="eastAsia" w:ascii="仿宋_GB2312" w:hAnsi="宋体" w:eastAsia="仿宋_GB2312" w:cs="宋体"/>
                <w:color w:val="000000"/>
                <w:kern w:val="0"/>
                <w:sz w:val="24"/>
              </w:rPr>
              <w:t>7</w:t>
            </w:r>
            <w:r>
              <w:rPr>
                <w:rFonts w:ascii="仿宋_GB2312" w:hAnsi="宋体" w:eastAsia="仿宋_GB2312" w:cs="宋体"/>
                <w:color w:val="000000"/>
                <w:kern w:val="0"/>
                <w:sz w:val="24"/>
              </w:rPr>
              <w:t>-2</w:t>
            </w:r>
            <w:r>
              <w:rPr>
                <w:rFonts w:hint="eastAsia" w:ascii="仿宋_GB2312" w:hAnsi="宋体" w:eastAsia="仿宋_GB2312" w:cs="宋体"/>
                <w:color w:val="000000"/>
                <w:kern w:val="0"/>
                <w:sz w:val="24"/>
              </w:rPr>
              <w:t>教务处意见</w:t>
            </w:r>
          </w:p>
          <w:p>
            <w:pPr>
              <w:spacing w:line="360" w:lineRule="auto"/>
              <w:rPr>
                <w:rFonts w:ascii="仿宋_GB2312" w:hAnsi="宋体" w:eastAsia="仿宋_GB2312" w:cs="宋体"/>
                <w:color w:val="000000"/>
                <w:kern w:val="0"/>
                <w:sz w:val="24"/>
              </w:rPr>
            </w:pPr>
          </w:p>
          <w:p>
            <w:pPr>
              <w:spacing w:line="360" w:lineRule="auto"/>
              <w:ind w:left="480" w:hanging="480" w:hangingChars="200"/>
              <w:rPr>
                <w:rFonts w:ascii="宋体" w:hAnsi="宋体" w:cs="宋体"/>
                <w:color w:val="000000"/>
                <w:kern w:val="0"/>
                <w:sz w:val="24"/>
              </w:rPr>
            </w:pPr>
            <w:r>
              <w:rPr>
                <w:rFonts w:ascii="宋体" w:hAnsi="宋体" w:cs="宋体"/>
                <w:color w:val="000000"/>
                <w:kern w:val="0"/>
                <w:sz w:val="24"/>
              </w:rPr>
              <w:t xml:space="preserve">   </w:t>
            </w:r>
            <w:r>
              <w:rPr>
                <w:rFonts w:hint="eastAsia" w:ascii="宋体" w:hAnsi="宋体" w:cs="宋体"/>
                <w:color w:val="000000"/>
                <w:kern w:val="0"/>
                <w:sz w:val="24"/>
              </w:rPr>
              <w:t>本课程符合申报条件，申报材料已于    年    月</w:t>
            </w:r>
            <w:r>
              <w:rPr>
                <w:rFonts w:ascii="宋体" w:hAnsi="宋体" w:cs="宋体"/>
                <w:color w:val="000000"/>
                <w:kern w:val="0"/>
                <w:sz w:val="24"/>
              </w:rPr>
              <w:t xml:space="preserve">  </w:t>
            </w:r>
            <w:r>
              <w:rPr>
                <w:rFonts w:hint="eastAsia" w:ascii="宋体" w:hAnsi="宋体" w:cs="宋体"/>
                <w:color w:val="000000"/>
                <w:kern w:val="0"/>
                <w:sz w:val="24"/>
              </w:rPr>
              <w:t xml:space="preserve"> 日至    年</w:t>
            </w:r>
            <w:r>
              <w:rPr>
                <w:rFonts w:ascii="宋体" w:hAnsi="宋体" w:cs="宋体"/>
                <w:color w:val="000000"/>
                <w:kern w:val="0"/>
                <w:sz w:val="24"/>
              </w:rPr>
              <w:t xml:space="preserve"> </w:t>
            </w:r>
            <w:r>
              <w:rPr>
                <w:rFonts w:hint="eastAsia" w:ascii="宋体" w:hAnsi="宋体" w:cs="宋体"/>
                <w:color w:val="000000"/>
                <w:kern w:val="0"/>
                <w:sz w:val="24"/>
              </w:rPr>
              <w:t xml:space="preserve">  </w:t>
            </w:r>
            <w:r>
              <w:rPr>
                <w:rFonts w:ascii="宋体" w:hAnsi="宋体" w:cs="宋体"/>
                <w:color w:val="000000"/>
                <w:kern w:val="0"/>
                <w:sz w:val="24"/>
              </w:rPr>
              <w:t xml:space="preserve"> </w:t>
            </w:r>
            <w:r>
              <w:rPr>
                <w:rFonts w:hint="eastAsia" w:ascii="宋体" w:hAnsi="宋体" w:cs="宋体"/>
                <w:color w:val="000000"/>
                <w:kern w:val="0"/>
                <w:sz w:val="24"/>
              </w:rPr>
              <w:t>月</w:t>
            </w:r>
            <w:r>
              <w:rPr>
                <w:rFonts w:ascii="宋体" w:hAnsi="宋体" w:cs="宋体"/>
                <w:color w:val="000000"/>
                <w:kern w:val="0"/>
                <w:sz w:val="24"/>
              </w:rPr>
              <w:t xml:space="preserve"> </w:t>
            </w:r>
            <w:r>
              <w:rPr>
                <w:rFonts w:hint="eastAsia" w:ascii="宋体" w:hAnsi="宋体" w:cs="宋体"/>
                <w:color w:val="000000"/>
                <w:kern w:val="0"/>
                <w:sz w:val="24"/>
              </w:rPr>
              <w:t xml:space="preserve"> </w:t>
            </w:r>
            <w:r>
              <w:rPr>
                <w:rFonts w:ascii="宋体" w:hAnsi="宋体" w:cs="宋体"/>
                <w:color w:val="000000"/>
                <w:kern w:val="0"/>
                <w:sz w:val="24"/>
              </w:rPr>
              <w:t xml:space="preserve"> </w:t>
            </w:r>
            <w:r>
              <w:rPr>
                <w:rFonts w:hint="eastAsia" w:ascii="宋体" w:hAnsi="宋体" w:cs="宋体"/>
                <w:color w:val="000000"/>
                <w:kern w:val="0"/>
                <w:sz w:val="24"/>
              </w:rPr>
              <w:t>日</w:t>
            </w:r>
          </w:p>
          <w:p>
            <w:pPr>
              <w:spacing w:line="360" w:lineRule="auto"/>
              <w:ind w:left="480" w:hanging="480" w:hangingChars="200"/>
              <w:rPr>
                <w:rFonts w:ascii="宋体" w:hAnsi="宋体" w:cs="宋体"/>
                <w:color w:val="000000"/>
                <w:kern w:val="0"/>
                <w:sz w:val="24"/>
              </w:rPr>
            </w:pPr>
            <w:r>
              <w:rPr>
                <w:rFonts w:hint="eastAsia" w:ascii="宋体" w:hAnsi="宋体" w:cs="宋体"/>
                <w:color w:val="000000"/>
                <w:kern w:val="0"/>
                <w:sz w:val="24"/>
              </w:rPr>
              <w:t>在学校网站上公示。</w:t>
            </w:r>
          </w:p>
          <w:p>
            <w:pPr>
              <w:spacing w:line="360" w:lineRule="auto"/>
              <w:rPr>
                <w:rFonts w:ascii="宋体" w:hAnsi="宋体" w:cs="宋体"/>
                <w:color w:val="000000"/>
                <w:kern w:val="0"/>
                <w:sz w:val="24"/>
              </w:rPr>
            </w:pPr>
          </w:p>
          <w:p>
            <w:pPr>
              <w:spacing w:line="360" w:lineRule="auto"/>
              <w:rPr>
                <w:rFonts w:ascii="宋体" w:hAnsi="宋体" w:cs="宋体"/>
                <w:color w:val="000000"/>
                <w:kern w:val="0"/>
                <w:sz w:val="24"/>
              </w:rPr>
            </w:pPr>
          </w:p>
          <w:p>
            <w:pPr>
              <w:spacing w:line="360" w:lineRule="auto"/>
              <w:rPr>
                <w:rFonts w:ascii="宋体" w:hAnsi="宋体" w:cs="宋体"/>
                <w:color w:val="000000"/>
                <w:kern w:val="0"/>
                <w:sz w:val="24"/>
              </w:rPr>
            </w:pPr>
          </w:p>
          <w:p>
            <w:pPr>
              <w:spacing w:line="360" w:lineRule="auto"/>
              <w:ind w:firstLine="2040" w:firstLineChars="850"/>
              <w:rPr>
                <w:rFonts w:ascii="仿宋_GB2312" w:hAnsi="宋体" w:eastAsia="仿宋_GB2312" w:cs="宋体"/>
                <w:color w:val="000000"/>
                <w:kern w:val="0"/>
                <w:sz w:val="24"/>
              </w:rPr>
            </w:pPr>
            <w:r>
              <w:rPr>
                <w:rFonts w:hint="eastAsia" w:ascii="宋体" w:hAnsi="宋体" w:cs="宋体"/>
                <w:color w:val="000000"/>
                <w:kern w:val="0"/>
                <w:sz w:val="24"/>
              </w:rPr>
              <w:t>负责人签字（盖章）：               日 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4" w:type="dxa"/>
          </w:tcPr>
          <w:p>
            <w:pPr>
              <w:spacing w:line="360" w:lineRule="auto"/>
              <w:rPr>
                <w:rFonts w:ascii="仿宋_GB2312" w:hAnsi="宋体" w:eastAsia="仿宋_GB2312" w:cs="宋体"/>
                <w:color w:val="000000"/>
                <w:kern w:val="0"/>
                <w:sz w:val="24"/>
              </w:rPr>
            </w:pPr>
            <w:r>
              <w:rPr>
                <w:rFonts w:hint="eastAsia" w:ascii="仿宋_GB2312" w:hAnsi="宋体" w:eastAsia="仿宋_GB2312" w:cs="宋体"/>
                <w:color w:val="000000"/>
                <w:kern w:val="0"/>
                <w:sz w:val="24"/>
              </w:rPr>
              <w:t>7</w:t>
            </w:r>
            <w:r>
              <w:rPr>
                <w:rFonts w:ascii="仿宋_GB2312" w:hAnsi="宋体" w:eastAsia="仿宋_GB2312" w:cs="宋体"/>
                <w:color w:val="000000"/>
                <w:kern w:val="0"/>
                <w:sz w:val="24"/>
              </w:rPr>
              <w:t>-3</w:t>
            </w:r>
            <w:r>
              <w:rPr>
                <w:rFonts w:hint="eastAsia" w:ascii="仿宋_GB2312" w:hAnsi="宋体" w:eastAsia="仿宋_GB2312" w:cs="宋体"/>
                <w:color w:val="000000"/>
                <w:kern w:val="0"/>
                <w:sz w:val="24"/>
              </w:rPr>
              <w:t>学校意见</w:t>
            </w:r>
          </w:p>
          <w:p>
            <w:pPr>
              <w:spacing w:line="360" w:lineRule="auto"/>
              <w:jc w:val="center"/>
              <w:rPr>
                <w:rFonts w:ascii="宋体" w:hAnsi="宋体" w:cs="宋体"/>
                <w:color w:val="000000"/>
                <w:kern w:val="0"/>
                <w:sz w:val="24"/>
              </w:rPr>
            </w:pPr>
          </w:p>
          <w:p>
            <w:pPr>
              <w:spacing w:line="360" w:lineRule="auto"/>
              <w:jc w:val="center"/>
              <w:rPr>
                <w:rFonts w:ascii="宋体" w:hAnsi="宋体" w:cs="宋体"/>
                <w:color w:val="000000"/>
                <w:kern w:val="0"/>
                <w:sz w:val="24"/>
              </w:rPr>
            </w:pPr>
          </w:p>
          <w:p>
            <w:pPr>
              <w:spacing w:line="360" w:lineRule="auto"/>
              <w:jc w:val="center"/>
              <w:rPr>
                <w:rFonts w:ascii="宋体" w:hAnsi="宋体" w:cs="宋体"/>
                <w:color w:val="000000"/>
                <w:kern w:val="0"/>
                <w:sz w:val="24"/>
              </w:rPr>
            </w:pPr>
          </w:p>
          <w:p>
            <w:pPr>
              <w:spacing w:line="360" w:lineRule="auto"/>
              <w:jc w:val="center"/>
              <w:rPr>
                <w:rFonts w:ascii="宋体" w:hAnsi="宋体" w:cs="宋体"/>
                <w:color w:val="000000"/>
                <w:kern w:val="0"/>
                <w:sz w:val="24"/>
              </w:rPr>
            </w:pPr>
          </w:p>
          <w:p>
            <w:pPr>
              <w:spacing w:line="360" w:lineRule="auto"/>
              <w:jc w:val="center"/>
              <w:rPr>
                <w:rFonts w:ascii="宋体" w:hAnsi="宋体" w:cs="宋体"/>
                <w:color w:val="000000"/>
                <w:kern w:val="0"/>
                <w:sz w:val="24"/>
              </w:rPr>
            </w:pPr>
          </w:p>
          <w:p>
            <w:pPr>
              <w:spacing w:line="360" w:lineRule="auto"/>
              <w:jc w:val="center"/>
              <w:rPr>
                <w:rFonts w:ascii="宋体" w:hAnsi="宋体" w:cs="宋体"/>
                <w:color w:val="000000"/>
                <w:kern w:val="0"/>
                <w:sz w:val="24"/>
              </w:rPr>
            </w:pPr>
          </w:p>
          <w:p>
            <w:pPr>
              <w:spacing w:line="360" w:lineRule="auto"/>
              <w:jc w:val="center"/>
              <w:rPr>
                <w:rFonts w:ascii="宋体" w:hAnsi="宋体" w:cs="宋体"/>
                <w:color w:val="000000"/>
                <w:kern w:val="0"/>
                <w:sz w:val="24"/>
              </w:rPr>
            </w:pPr>
          </w:p>
          <w:p>
            <w:pPr>
              <w:spacing w:line="360" w:lineRule="auto"/>
              <w:ind w:firstLine="2280" w:firstLineChars="950"/>
              <w:rPr>
                <w:rFonts w:ascii="仿宋_GB2312" w:hAnsi="宋体" w:eastAsia="仿宋_GB2312" w:cs="宋体"/>
                <w:color w:val="000000"/>
                <w:kern w:val="0"/>
                <w:sz w:val="24"/>
              </w:rPr>
            </w:pPr>
            <w:r>
              <w:rPr>
                <w:rFonts w:hint="eastAsia" w:ascii="宋体" w:hAnsi="宋体" w:cs="宋体"/>
                <w:color w:val="000000"/>
                <w:kern w:val="0"/>
                <w:sz w:val="24"/>
              </w:rPr>
              <w:t>主管校长签字（盖章）：           日</w:t>
            </w:r>
            <w:r>
              <w:rPr>
                <w:rFonts w:ascii="宋体" w:hAnsi="宋体" w:cs="宋体"/>
                <w:color w:val="000000"/>
                <w:kern w:val="0"/>
                <w:sz w:val="24"/>
              </w:rPr>
              <w:t xml:space="preserve"> </w:t>
            </w:r>
            <w:r>
              <w:rPr>
                <w:rFonts w:hint="eastAsia" w:ascii="宋体" w:hAnsi="宋体" w:cs="宋体"/>
                <w:color w:val="000000"/>
                <w:kern w:val="0"/>
                <w:sz w:val="24"/>
              </w:rPr>
              <w:t xml:space="preserve">期：        </w:t>
            </w:r>
          </w:p>
        </w:tc>
      </w:tr>
    </w:tbl>
    <w:p>
      <w:pPr>
        <w:spacing w:line="560" w:lineRule="exact"/>
      </w:pPr>
    </w:p>
    <w:p>
      <w:pPr>
        <w:spacing w:line="560" w:lineRule="exact"/>
      </w:pPr>
    </w:p>
    <w:p>
      <w:pPr>
        <w:spacing w:line="560" w:lineRule="exact"/>
      </w:pPr>
    </w:p>
    <w:p>
      <w:pPr>
        <w:spacing w:before="156" w:beforeLines="50" w:after="156" w:afterLines="50" w:line="360" w:lineRule="auto"/>
        <w:jc w:val="center"/>
        <w:outlineLvl w:val="2"/>
        <w:rPr>
          <w:rFonts w:ascii="黑体" w:eastAsia="黑体"/>
          <w:sz w:val="32"/>
          <w:szCs w:val="32"/>
        </w:rPr>
      </w:pPr>
      <w:bookmarkStart w:id="0" w:name="_Toc11490"/>
      <w:bookmarkStart w:id="1" w:name="_Toc502150640"/>
      <w:bookmarkStart w:id="2" w:name="_Toc468565758"/>
      <w:r>
        <w:rPr>
          <w:rFonts w:hint="eastAsia" w:ascii="黑体" w:eastAsia="黑体"/>
          <w:sz w:val="32"/>
          <w:szCs w:val="32"/>
        </w:rPr>
        <w:t>“财务共享 ”</w:t>
      </w:r>
      <w:bookmarkEnd w:id="0"/>
      <w:bookmarkEnd w:id="1"/>
      <w:bookmarkEnd w:id="2"/>
      <w:r>
        <w:rPr>
          <w:rFonts w:hint="eastAsia" w:ascii="黑体" w:eastAsia="黑体"/>
          <w:sz w:val="32"/>
          <w:szCs w:val="32"/>
        </w:rPr>
        <w:t>教学大纲</w:t>
      </w:r>
    </w:p>
    <w:p>
      <w:pPr>
        <w:spacing w:line="360" w:lineRule="auto"/>
        <w:rPr>
          <w:rFonts w:ascii="宋体" w:hAnsi="宋体"/>
          <w:b/>
          <w:szCs w:val="21"/>
        </w:rPr>
      </w:pPr>
    </w:p>
    <w:p>
      <w:pPr>
        <w:spacing w:line="360" w:lineRule="auto"/>
        <w:ind w:firstLine="422" w:firstLineChars="200"/>
        <w:rPr>
          <w:rFonts w:ascii="楷体" w:hAnsi="楷体" w:eastAsia="楷体"/>
          <w:b/>
          <w:szCs w:val="21"/>
        </w:rPr>
      </w:pPr>
      <w:r>
        <w:rPr>
          <w:rFonts w:hint="eastAsia" w:ascii="楷体" w:hAnsi="楷体" w:eastAsia="楷体"/>
          <w:b/>
          <w:szCs w:val="21"/>
        </w:rPr>
        <w:t>课程类别：专业选修课</w:t>
      </w:r>
    </w:p>
    <w:p>
      <w:pPr>
        <w:spacing w:line="360" w:lineRule="auto"/>
        <w:ind w:firstLine="422" w:firstLineChars="200"/>
        <w:rPr>
          <w:rFonts w:ascii="楷体" w:hAnsi="楷体" w:eastAsia="楷体"/>
          <w:b/>
          <w:szCs w:val="21"/>
        </w:rPr>
      </w:pPr>
      <w:r>
        <w:rPr>
          <w:rFonts w:hint="eastAsia" w:ascii="楷体" w:hAnsi="楷体" w:eastAsia="楷体"/>
          <w:b/>
          <w:szCs w:val="21"/>
        </w:rPr>
        <w:t>适用专业：会计专业、财务管理专业</w:t>
      </w:r>
    </w:p>
    <w:p>
      <w:pPr>
        <w:spacing w:line="360" w:lineRule="auto"/>
        <w:ind w:firstLine="422" w:firstLineChars="200"/>
        <w:rPr>
          <w:rFonts w:ascii="楷体" w:hAnsi="楷体" w:eastAsia="楷体"/>
          <w:b/>
          <w:szCs w:val="21"/>
        </w:rPr>
      </w:pPr>
      <w:r>
        <w:rPr>
          <w:rFonts w:hint="eastAsia" w:ascii="楷体" w:hAnsi="楷体" w:eastAsia="楷体"/>
          <w:b/>
          <w:szCs w:val="21"/>
        </w:rPr>
        <w:t>学    时：</w:t>
      </w:r>
      <w:r>
        <w:rPr>
          <w:rFonts w:ascii="楷体" w:hAnsi="楷体" w:eastAsia="楷体"/>
          <w:b/>
          <w:szCs w:val="21"/>
        </w:rPr>
        <w:t xml:space="preserve">48 </w:t>
      </w:r>
      <w:r>
        <w:rPr>
          <w:rFonts w:hint="eastAsia" w:ascii="楷体" w:hAnsi="楷体" w:eastAsia="楷体"/>
          <w:b/>
          <w:szCs w:val="21"/>
        </w:rPr>
        <w:t>（</w:t>
      </w:r>
      <w:r>
        <w:rPr>
          <w:rFonts w:ascii="楷体" w:hAnsi="楷体" w:eastAsia="楷体"/>
          <w:b/>
          <w:szCs w:val="21"/>
        </w:rPr>
        <w:t>18+30</w:t>
      </w:r>
      <w:r>
        <w:rPr>
          <w:rFonts w:hint="eastAsia" w:ascii="楷体" w:hAnsi="楷体" w:eastAsia="楷体"/>
          <w:b/>
          <w:szCs w:val="21"/>
        </w:rPr>
        <w:t>）</w:t>
      </w:r>
    </w:p>
    <w:p>
      <w:pPr>
        <w:spacing w:line="360" w:lineRule="auto"/>
        <w:ind w:firstLine="422" w:firstLineChars="200"/>
        <w:rPr>
          <w:rFonts w:ascii="楷体" w:hAnsi="楷体" w:eastAsia="楷体"/>
          <w:b/>
          <w:szCs w:val="21"/>
        </w:rPr>
      </w:pPr>
      <w:r>
        <w:rPr>
          <w:rFonts w:hint="eastAsia" w:ascii="楷体" w:hAnsi="楷体" w:eastAsia="楷体"/>
          <w:b/>
          <w:szCs w:val="21"/>
        </w:rPr>
        <w:t>学    分：</w:t>
      </w:r>
      <w:r>
        <w:rPr>
          <w:rFonts w:ascii="楷体" w:hAnsi="楷体" w:eastAsia="楷体"/>
          <w:b/>
          <w:szCs w:val="21"/>
        </w:rPr>
        <w:t>3</w:t>
      </w:r>
    </w:p>
    <w:p>
      <w:pPr>
        <w:spacing w:line="360" w:lineRule="auto"/>
        <w:ind w:firstLine="420" w:firstLineChars="200"/>
        <w:rPr>
          <w:rFonts w:ascii="宋体" w:hAnsi="宋体"/>
          <w:bCs/>
          <w:szCs w:val="21"/>
        </w:rPr>
      </w:pPr>
    </w:p>
    <w:p>
      <w:pPr>
        <w:pStyle w:val="5"/>
        <w:spacing w:before="156" w:beforeLines="50" w:after="156" w:afterLines="50"/>
        <w:ind w:firstLine="420" w:firstLineChars="200"/>
        <w:rPr>
          <w:rFonts w:ascii="黑体" w:hAnsi="黑体" w:eastAsia="黑体"/>
          <w:b w:val="0"/>
          <w:sz w:val="21"/>
          <w:szCs w:val="21"/>
        </w:rPr>
      </w:pPr>
      <w:r>
        <w:rPr>
          <w:rFonts w:hint="eastAsia" w:ascii="黑体" w:hAnsi="黑体" w:eastAsia="黑体"/>
          <w:b w:val="0"/>
          <w:sz w:val="21"/>
          <w:szCs w:val="21"/>
        </w:rPr>
        <w:t>一、课程定位</w:t>
      </w:r>
    </w:p>
    <w:p>
      <w:pPr>
        <w:spacing w:line="360" w:lineRule="auto"/>
        <w:ind w:firstLine="420" w:firstLineChars="200"/>
        <w:rPr>
          <w:rFonts w:ascii="宋体" w:hAnsi="宋体"/>
          <w:szCs w:val="21"/>
        </w:rPr>
      </w:pPr>
      <w:r>
        <w:rPr>
          <w:rFonts w:hint="eastAsia" w:ascii="宋体" w:hAnsi="宋体"/>
          <w:szCs w:val="21"/>
        </w:rPr>
        <w:t>本课程是会计专业、财务管理的专业选修课程。其先修课程是会计基础、财务会计和会计</w:t>
      </w:r>
      <w:r>
        <w:rPr>
          <w:rFonts w:ascii="宋体" w:hAnsi="宋体"/>
          <w:szCs w:val="21"/>
        </w:rPr>
        <w:t>信息化</w:t>
      </w:r>
      <w:r>
        <w:rPr>
          <w:rFonts w:hint="eastAsia" w:ascii="宋体" w:hAnsi="宋体"/>
          <w:szCs w:val="21"/>
        </w:rPr>
        <w:t>。通过本课程的</w:t>
      </w:r>
      <w:r>
        <w:rPr>
          <w:rFonts w:ascii="宋体" w:hAnsi="宋体"/>
          <w:szCs w:val="21"/>
        </w:rPr>
        <w:t>学习，</w:t>
      </w:r>
      <w:r>
        <w:rPr>
          <w:rFonts w:hint="eastAsia" w:ascii="宋体" w:hAnsi="宋体"/>
          <w:szCs w:val="21"/>
        </w:rPr>
        <w:t>让</w:t>
      </w:r>
      <w:r>
        <w:rPr>
          <w:rFonts w:ascii="宋体" w:hAnsi="宋体"/>
          <w:szCs w:val="21"/>
        </w:rPr>
        <w:t>学生能够</w:t>
      </w:r>
      <w:r>
        <w:rPr>
          <w:rFonts w:hint="eastAsia" w:ascii="宋体" w:hAnsi="宋体"/>
          <w:szCs w:val="21"/>
        </w:rPr>
        <w:t>了解财务共享服务的基本概念、</w:t>
      </w:r>
      <w:r>
        <w:rPr>
          <w:rFonts w:ascii="宋体" w:hAnsi="宋体"/>
          <w:szCs w:val="21"/>
        </w:rPr>
        <w:t>岗位职责分工</w:t>
      </w:r>
      <w:r>
        <w:rPr>
          <w:rFonts w:hint="eastAsia" w:ascii="宋体" w:hAnsi="宋体"/>
          <w:szCs w:val="21"/>
        </w:rPr>
        <w:t>与</w:t>
      </w:r>
      <w:r>
        <w:rPr>
          <w:rFonts w:ascii="宋体" w:hAnsi="宋体"/>
          <w:szCs w:val="21"/>
        </w:rPr>
        <w:t>共享中心的建设过程方法，</w:t>
      </w:r>
      <w:r>
        <w:rPr>
          <w:rFonts w:hint="eastAsia" w:ascii="宋体" w:hAnsi="宋体"/>
          <w:szCs w:val="21"/>
        </w:rPr>
        <w:t>能借助</w:t>
      </w:r>
      <w:r>
        <w:rPr>
          <w:rFonts w:ascii="宋体" w:hAnsi="宋体"/>
          <w:szCs w:val="21"/>
        </w:rPr>
        <w:t>财务共享服务中心信息系统和相关设备</w:t>
      </w:r>
      <w:r>
        <w:rPr>
          <w:rFonts w:hint="eastAsia" w:ascii="宋体" w:hAnsi="宋体"/>
          <w:szCs w:val="21"/>
        </w:rPr>
        <w:t>，</w:t>
      </w:r>
      <w:r>
        <w:rPr>
          <w:rFonts w:ascii="宋体" w:hAnsi="宋体"/>
          <w:szCs w:val="21"/>
        </w:rPr>
        <w:t>完成</w:t>
      </w:r>
      <w:r>
        <w:rPr>
          <w:rFonts w:hint="eastAsia" w:ascii="宋体" w:hAnsi="宋体"/>
          <w:szCs w:val="21"/>
        </w:rPr>
        <w:t>财务共享</w:t>
      </w:r>
      <w:r>
        <w:rPr>
          <w:rFonts w:ascii="宋体" w:hAnsi="宋体"/>
          <w:szCs w:val="21"/>
        </w:rPr>
        <w:t>服务中心</w:t>
      </w:r>
      <w:r>
        <w:rPr>
          <w:rFonts w:hint="eastAsia" w:ascii="宋体" w:hAnsi="宋体"/>
          <w:szCs w:val="21"/>
        </w:rPr>
        <w:t>的作业处理</w:t>
      </w:r>
      <w:r>
        <w:rPr>
          <w:rFonts w:ascii="宋体" w:hAnsi="宋体"/>
          <w:szCs w:val="21"/>
        </w:rPr>
        <w:t>工作</w:t>
      </w:r>
      <w:r>
        <w:rPr>
          <w:rFonts w:hint="eastAsia" w:ascii="宋体" w:hAnsi="宋体"/>
          <w:szCs w:val="21"/>
        </w:rPr>
        <w:t>，实现</w:t>
      </w:r>
      <w:r>
        <w:rPr>
          <w:rFonts w:ascii="宋体" w:hAnsi="宋体"/>
          <w:szCs w:val="21"/>
        </w:rPr>
        <w:t>组织对财务人员的集中与管理，</w:t>
      </w:r>
      <w:r>
        <w:rPr>
          <w:rFonts w:hint="eastAsia" w:ascii="宋体" w:hAnsi="宋体"/>
          <w:szCs w:val="21"/>
        </w:rPr>
        <w:t>为</w:t>
      </w:r>
      <w:r>
        <w:rPr>
          <w:rFonts w:ascii="宋体" w:hAnsi="宋体"/>
          <w:szCs w:val="21"/>
        </w:rPr>
        <w:t>以后从事</w:t>
      </w:r>
      <w:r>
        <w:rPr>
          <w:rFonts w:hint="eastAsia" w:ascii="宋体" w:hAnsi="宋体"/>
          <w:szCs w:val="21"/>
        </w:rPr>
        <w:t>云财务</w:t>
      </w:r>
      <w:r>
        <w:rPr>
          <w:rFonts w:ascii="宋体" w:hAnsi="宋体"/>
          <w:szCs w:val="21"/>
        </w:rPr>
        <w:t>模式下的</w:t>
      </w:r>
      <w:r>
        <w:rPr>
          <w:rFonts w:hint="eastAsia" w:ascii="宋体" w:hAnsi="宋体"/>
          <w:szCs w:val="21"/>
        </w:rPr>
        <w:t>财务</w:t>
      </w:r>
      <w:r>
        <w:rPr>
          <w:rFonts w:ascii="宋体" w:hAnsi="宋体"/>
          <w:szCs w:val="21"/>
        </w:rPr>
        <w:t>共享</w:t>
      </w:r>
      <w:r>
        <w:rPr>
          <w:rFonts w:hint="eastAsia" w:ascii="宋体" w:hAnsi="宋体"/>
          <w:szCs w:val="21"/>
        </w:rPr>
        <w:t>服务</w:t>
      </w:r>
      <w:r>
        <w:rPr>
          <w:rFonts w:ascii="宋体" w:hAnsi="宋体"/>
          <w:szCs w:val="21"/>
        </w:rPr>
        <w:t>中心会计</w:t>
      </w:r>
      <w:r>
        <w:rPr>
          <w:rFonts w:hint="eastAsia" w:ascii="宋体" w:hAnsi="宋体"/>
          <w:szCs w:val="21"/>
        </w:rPr>
        <w:t>核算</w:t>
      </w:r>
      <w:r>
        <w:rPr>
          <w:rFonts w:ascii="宋体" w:hAnsi="宋体"/>
          <w:szCs w:val="21"/>
        </w:rPr>
        <w:t>工作打下理论和技能方面的基础</w:t>
      </w:r>
      <w:r>
        <w:rPr>
          <w:rFonts w:hint="eastAsia" w:ascii="宋体" w:hAnsi="宋体"/>
          <w:szCs w:val="21"/>
        </w:rPr>
        <w:t>。</w:t>
      </w:r>
    </w:p>
    <w:p>
      <w:pPr>
        <w:pStyle w:val="5"/>
        <w:spacing w:before="156" w:beforeLines="50" w:after="156" w:afterLines="50"/>
        <w:ind w:firstLine="420" w:firstLineChars="200"/>
        <w:rPr>
          <w:rFonts w:ascii="黑体" w:hAnsi="黑体" w:eastAsia="黑体"/>
          <w:b w:val="0"/>
          <w:sz w:val="21"/>
          <w:szCs w:val="21"/>
        </w:rPr>
      </w:pPr>
      <w:r>
        <w:rPr>
          <w:rFonts w:hint="eastAsia" w:ascii="黑体" w:hAnsi="黑体" w:eastAsia="黑体"/>
          <w:b w:val="0"/>
          <w:sz w:val="21"/>
          <w:szCs w:val="21"/>
        </w:rPr>
        <w:t>二、课程目标</w:t>
      </w:r>
    </w:p>
    <w:p>
      <w:pPr>
        <w:spacing w:line="360" w:lineRule="auto"/>
        <w:ind w:firstLine="420" w:firstLineChars="200"/>
        <w:rPr>
          <w:rFonts w:ascii="宋体" w:hAnsi="宋体"/>
          <w:szCs w:val="21"/>
        </w:rPr>
      </w:pPr>
      <w:r>
        <w:rPr>
          <w:rFonts w:hint="eastAsia" w:ascii="宋体" w:hAnsi="宋体"/>
          <w:szCs w:val="21"/>
        </w:rPr>
        <w:t>课程通过对企业财务共享服务中心案例的剖析、各岗位的业务操作，系统讲解共享中心的建设要点和工作方法，让学生了解共享中心从无到有的全过程，理解财务共享服务中心的规划与构建方法、沙盘模拟财务共享服务中心构建过程，并能够在一款主流的财务共享服务管理信息系统中进行共享模式下核心业务流程的多岗协同测试运营、财务共享服务中心的作业绩效管理与质量稽核。</w:t>
      </w:r>
    </w:p>
    <w:p>
      <w:pPr>
        <w:spacing w:line="360" w:lineRule="auto"/>
        <w:ind w:firstLine="420" w:firstLineChars="200"/>
        <w:rPr>
          <w:rFonts w:ascii="宋体" w:hAnsi="宋体"/>
          <w:szCs w:val="21"/>
        </w:rPr>
      </w:pPr>
      <w:r>
        <w:rPr>
          <w:rFonts w:hint="eastAsia" w:ascii="宋体" w:hAnsi="宋体"/>
          <w:szCs w:val="21"/>
        </w:rPr>
        <w:t>本课程具体的教学目标及要求包括：</w:t>
      </w:r>
    </w:p>
    <w:p>
      <w:pPr>
        <w:spacing w:line="360" w:lineRule="auto"/>
        <w:ind w:firstLine="420" w:firstLineChars="200"/>
        <w:rPr>
          <w:rFonts w:ascii="宋体" w:hAnsi="宋体"/>
          <w:szCs w:val="21"/>
        </w:rPr>
      </w:pPr>
      <w:r>
        <w:rPr>
          <w:rFonts w:hint="eastAsia" w:ascii="宋体" w:hAnsi="宋体"/>
          <w:szCs w:val="21"/>
        </w:rPr>
        <w:t>1．能够陈述财务共享服务中心构建的核心要素及其含义；</w:t>
      </w:r>
    </w:p>
    <w:p>
      <w:pPr>
        <w:spacing w:line="360" w:lineRule="auto"/>
        <w:ind w:firstLine="420" w:firstLineChars="200"/>
        <w:rPr>
          <w:rFonts w:ascii="宋体" w:hAnsi="宋体"/>
          <w:szCs w:val="21"/>
        </w:rPr>
      </w:pPr>
      <w:r>
        <w:rPr>
          <w:rFonts w:hint="eastAsia" w:ascii="宋体" w:hAnsi="宋体"/>
          <w:szCs w:val="21"/>
        </w:rPr>
        <w:t>2．根据案例企业的现状描述，总结整理出企业的分层流程目录、当前财务组织结构，并根据财务共享服务中心构建方法论进行案例企业财务共享服务中心的规划设计辅助工作；</w:t>
      </w:r>
    </w:p>
    <w:p>
      <w:pPr>
        <w:spacing w:line="360" w:lineRule="auto"/>
        <w:ind w:firstLine="420" w:firstLineChars="200"/>
        <w:rPr>
          <w:rFonts w:ascii="宋体" w:hAnsi="宋体"/>
          <w:szCs w:val="21"/>
        </w:rPr>
      </w:pPr>
      <w:r>
        <w:rPr>
          <w:rFonts w:hint="eastAsia" w:ascii="宋体" w:hAnsi="宋体"/>
          <w:szCs w:val="21"/>
        </w:rPr>
        <w:t>3．能体验大数据、人工智能、移动互联网、云计算等新技术在共享财务模式下的应用；</w:t>
      </w:r>
    </w:p>
    <w:p>
      <w:pPr>
        <w:spacing w:line="360" w:lineRule="auto"/>
        <w:ind w:firstLine="420" w:firstLineChars="200"/>
        <w:rPr>
          <w:rFonts w:ascii="宋体" w:hAnsi="宋体"/>
          <w:szCs w:val="21"/>
        </w:rPr>
      </w:pPr>
      <w:r>
        <w:rPr>
          <w:rFonts w:hint="eastAsia" w:ascii="宋体" w:hAnsi="宋体"/>
          <w:szCs w:val="21"/>
        </w:rPr>
        <w:t>4．能操作真实的企业信息系统，完成财务共享模式下端到端的业务流程操作；</w:t>
      </w:r>
    </w:p>
    <w:p>
      <w:pPr>
        <w:spacing w:line="360" w:lineRule="auto"/>
        <w:ind w:firstLine="420" w:firstLineChars="200"/>
        <w:rPr>
          <w:rFonts w:ascii="宋体" w:hAnsi="宋体"/>
          <w:szCs w:val="21"/>
        </w:rPr>
      </w:pPr>
      <w:r>
        <w:rPr>
          <w:rFonts w:hint="eastAsia" w:ascii="宋体" w:hAnsi="宋体"/>
          <w:szCs w:val="21"/>
        </w:rPr>
        <w:t>5. 能够完成财务共享服务中心绩效与质量管理规则的辅助设计工作，并能够在信息系统中进行配置和测试。</w:t>
      </w:r>
    </w:p>
    <w:p>
      <w:pPr>
        <w:pStyle w:val="5"/>
        <w:spacing w:before="156" w:beforeLines="50" w:after="156" w:afterLines="50"/>
        <w:ind w:firstLine="420" w:firstLineChars="200"/>
        <w:rPr>
          <w:rFonts w:ascii="黑体" w:hAnsi="黑体" w:eastAsia="黑体"/>
          <w:b w:val="0"/>
          <w:sz w:val="21"/>
          <w:szCs w:val="21"/>
        </w:rPr>
      </w:pPr>
      <w:r>
        <w:rPr>
          <w:rFonts w:hint="eastAsia" w:ascii="黑体" w:hAnsi="黑体" w:eastAsia="黑体"/>
          <w:b w:val="0"/>
          <w:sz w:val="21"/>
          <w:szCs w:val="21"/>
        </w:rPr>
        <w:t>三、课程内容要求和课时分配</w:t>
      </w:r>
    </w:p>
    <w:p>
      <w:pPr>
        <w:spacing w:line="360" w:lineRule="auto"/>
        <w:rPr>
          <w:rFonts w:ascii="宋体" w:hAnsi="宋体"/>
          <w:b/>
          <w:bCs/>
          <w:szCs w:val="21"/>
        </w:rPr>
      </w:pPr>
    </w:p>
    <w:tbl>
      <w:tblPr>
        <w:tblStyle w:val="6"/>
        <w:tblW w:w="10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4"/>
        <w:gridCol w:w="1445"/>
        <w:gridCol w:w="1134"/>
        <w:gridCol w:w="2979"/>
        <w:gridCol w:w="2977"/>
        <w:gridCol w:w="8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4" w:type="dxa"/>
            <w:vAlign w:val="center"/>
          </w:tcPr>
          <w:p>
            <w:pPr>
              <w:spacing w:line="360" w:lineRule="auto"/>
              <w:jc w:val="center"/>
              <w:rPr>
                <w:rFonts w:ascii="宋体" w:hAnsi="宋体"/>
                <w:szCs w:val="21"/>
              </w:rPr>
            </w:pPr>
            <w:r>
              <w:rPr>
                <w:rFonts w:hint="eastAsia" w:ascii="宋体" w:hAnsi="宋体"/>
                <w:szCs w:val="21"/>
              </w:rPr>
              <w:t>序号</w:t>
            </w:r>
          </w:p>
        </w:tc>
        <w:tc>
          <w:tcPr>
            <w:tcW w:w="1445" w:type="dxa"/>
            <w:vAlign w:val="center"/>
          </w:tcPr>
          <w:p>
            <w:pPr>
              <w:adjustRightInd w:val="0"/>
              <w:snapToGrid w:val="0"/>
              <w:spacing w:line="360" w:lineRule="auto"/>
              <w:jc w:val="center"/>
              <w:rPr>
                <w:rFonts w:ascii="宋体" w:hAnsi="宋体"/>
                <w:szCs w:val="21"/>
              </w:rPr>
            </w:pPr>
            <w:r>
              <w:rPr>
                <w:rFonts w:hint="eastAsia" w:ascii="宋体" w:hAnsi="宋体"/>
                <w:szCs w:val="21"/>
              </w:rPr>
              <w:t>教学内容</w:t>
            </w:r>
          </w:p>
        </w:tc>
        <w:tc>
          <w:tcPr>
            <w:tcW w:w="1134" w:type="dxa"/>
            <w:vAlign w:val="center"/>
          </w:tcPr>
          <w:p>
            <w:pPr>
              <w:adjustRightInd w:val="0"/>
              <w:snapToGrid w:val="0"/>
              <w:spacing w:line="360" w:lineRule="auto"/>
              <w:jc w:val="center"/>
              <w:rPr>
                <w:rFonts w:ascii="宋体" w:hAnsi="宋体"/>
                <w:szCs w:val="21"/>
              </w:rPr>
            </w:pPr>
            <w:r>
              <w:rPr>
                <w:rFonts w:hint="eastAsia" w:ascii="宋体" w:hAnsi="宋体"/>
                <w:szCs w:val="21"/>
              </w:rPr>
              <w:t>素质要求</w:t>
            </w:r>
          </w:p>
        </w:tc>
        <w:tc>
          <w:tcPr>
            <w:tcW w:w="2979" w:type="dxa"/>
            <w:vAlign w:val="center"/>
          </w:tcPr>
          <w:p>
            <w:pPr>
              <w:adjustRightInd w:val="0"/>
              <w:snapToGrid w:val="0"/>
              <w:spacing w:line="360" w:lineRule="auto"/>
              <w:jc w:val="center"/>
              <w:rPr>
                <w:rFonts w:ascii="宋体" w:hAnsi="宋体"/>
                <w:szCs w:val="21"/>
              </w:rPr>
            </w:pPr>
            <w:r>
              <w:rPr>
                <w:rFonts w:hint="eastAsia" w:ascii="宋体" w:hAnsi="宋体"/>
                <w:szCs w:val="21"/>
              </w:rPr>
              <w:t>知识内容与要求</w:t>
            </w:r>
          </w:p>
        </w:tc>
        <w:tc>
          <w:tcPr>
            <w:tcW w:w="2977" w:type="dxa"/>
            <w:vAlign w:val="center"/>
          </w:tcPr>
          <w:p>
            <w:pPr>
              <w:adjustRightInd w:val="0"/>
              <w:snapToGrid w:val="0"/>
              <w:spacing w:line="360" w:lineRule="auto"/>
              <w:jc w:val="center"/>
              <w:rPr>
                <w:rFonts w:ascii="宋体" w:hAnsi="宋体"/>
                <w:szCs w:val="21"/>
              </w:rPr>
            </w:pPr>
            <w:r>
              <w:rPr>
                <w:rFonts w:hint="eastAsia" w:ascii="宋体" w:hAnsi="宋体"/>
                <w:szCs w:val="21"/>
              </w:rPr>
              <w:t>技能内容与要求</w:t>
            </w:r>
          </w:p>
        </w:tc>
        <w:tc>
          <w:tcPr>
            <w:tcW w:w="851" w:type="dxa"/>
            <w:vAlign w:val="center"/>
          </w:tcPr>
          <w:p>
            <w:pPr>
              <w:adjustRightInd w:val="0"/>
              <w:snapToGrid w:val="0"/>
              <w:spacing w:line="360" w:lineRule="auto"/>
              <w:jc w:val="center"/>
              <w:rPr>
                <w:rFonts w:ascii="宋体" w:hAnsi="宋体"/>
                <w:szCs w:val="21"/>
              </w:rPr>
            </w:pPr>
            <w:r>
              <w:rPr>
                <w:rFonts w:hint="eastAsia" w:ascii="宋体" w:hAnsi="宋体"/>
                <w:szCs w:val="21"/>
              </w:rPr>
              <w:t>参考课时</w:t>
            </w:r>
            <w:r>
              <w:rPr>
                <w:rFonts w:hint="eastAsia" w:ascii="宋体" w:hAnsi="宋体"/>
                <w:kern w:val="0"/>
                <w:szCs w:val="21"/>
              </w:rPr>
              <w:t>（理论+实践）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674" w:type="dxa"/>
            <w:vAlign w:val="center"/>
          </w:tcPr>
          <w:p>
            <w:pPr>
              <w:spacing w:line="360" w:lineRule="auto"/>
              <w:jc w:val="center"/>
              <w:rPr>
                <w:rFonts w:ascii="宋体" w:hAnsi="宋体"/>
                <w:szCs w:val="21"/>
              </w:rPr>
            </w:pPr>
            <w:r>
              <w:rPr>
                <w:rFonts w:hint="eastAsia" w:ascii="宋体" w:hAnsi="宋体"/>
                <w:szCs w:val="21"/>
              </w:rPr>
              <w:t>1</w:t>
            </w:r>
          </w:p>
        </w:tc>
        <w:tc>
          <w:tcPr>
            <w:tcW w:w="1445" w:type="dxa"/>
            <w:vAlign w:val="center"/>
          </w:tcPr>
          <w:p>
            <w:pPr>
              <w:spacing w:line="360" w:lineRule="auto"/>
              <w:rPr>
                <w:rFonts w:ascii="宋体" w:hAnsi="宋体"/>
                <w:szCs w:val="21"/>
              </w:rPr>
            </w:pPr>
            <w:r>
              <w:rPr>
                <w:rFonts w:hint="eastAsia" w:asciiTheme="minorEastAsia" w:hAnsiTheme="minorEastAsia" w:eastAsiaTheme="minorEastAsia"/>
                <w:szCs w:val="21"/>
              </w:rPr>
              <w:t>财务共享服务中心运营团队</w:t>
            </w:r>
            <w:r>
              <w:rPr>
                <w:rFonts w:asciiTheme="minorEastAsia" w:hAnsiTheme="minorEastAsia" w:eastAsiaTheme="minorEastAsia"/>
                <w:szCs w:val="21"/>
              </w:rPr>
              <w:t>准备</w:t>
            </w:r>
          </w:p>
        </w:tc>
        <w:tc>
          <w:tcPr>
            <w:tcW w:w="1134" w:type="dxa"/>
            <w:vMerge w:val="restart"/>
            <w:vAlign w:val="center"/>
          </w:tcPr>
          <w:p>
            <w:pPr>
              <w:adjustRightInd w:val="0"/>
              <w:snapToGrid w:val="0"/>
              <w:spacing w:line="360" w:lineRule="auto"/>
              <w:rPr>
                <w:rFonts w:asciiTheme="minorEastAsia" w:hAnsiTheme="minorEastAsia" w:eastAsiaTheme="minorEastAsia"/>
                <w:szCs w:val="21"/>
              </w:rPr>
            </w:pPr>
            <w:r>
              <w:rPr>
                <w:rFonts w:hint="eastAsia" w:asciiTheme="minorEastAsia" w:hAnsiTheme="minorEastAsia" w:eastAsiaTheme="minorEastAsia"/>
                <w:szCs w:val="21"/>
              </w:rPr>
              <w:t>书面</w:t>
            </w:r>
            <w:r>
              <w:rPr>
                <w:rFonts w:asciiTheme="minorEastAsia" w:hAnsiTheme="minorEastAsia" w:eastAsiaTheme="minorEastAsia"/>
                <w:szCs w:val="21"/>
              </w:rPr>
              <w:t>和口头的沟通与表达能力；</w:t>
            </w:r>
            <w:r>
              <w:rPr>
                <w:rFonts w:hint="eastAsia" w:asciiTheme="minorEastAsia" w:hAnsiTheme="minorEastAsia" w:eastAsiaTheme="minorEastAsia"/>
                <w:szCs w:val="21"/>
              </w:rPr>
              <w:t>自我</w:t>
            </w:r>
            <w:r>
              <w:rPr>
                <w:rFonts w:asciiTheme="minorEastAsia" w:hAnsiTheme="minorEastAsia" w:eastAsiaTheme="minorEastAsia"/>
                <w:szCs w:val="21"/>
              </w:rPr>
              <w:t>学习的能力；</w:t>
            </w:r>
            <w:r>
              <w:rPr>
                <w:rFonts w:hint="eastAsia" w:asciiTheme="minorEastAsia" w:hAnsiTheme="minorEastAsia" w:eastAsiaTheme="minorEastAsia"/>
                <w:szCs w:val="21"/>
              </w:rPr>
              <w:t>集体</w:t>
            </w:r>
            <w:r>
              <w:rPr>
                <w:rFonts w:asciiTheme="minorEastAsia" w:hAnsiTheme="minorEastAsia" w:eastAsiaTheme="minorEastAsia"/>
                <w:szCs w:val="21"/>
              </w:rPr>
              <w:t>荣誉感和团队协作能力；</w:t>
            </w:r>
            <w:r>
              <w:rPr>
                <w:rFonts w:hint="eastAsia" w:asciiTheme="minorEastAsia" w:hAnsiTheme="minorEastAsia" w:eastAsiaTheme="minorEastAsia"/>
                <w:szCs w:val="21"/>
              </w:rPr>
              <w:t>分析</w:t>
            </w:r>
            <w:r>
              <w:rPr>
                <w:rFonts w:asciiTheme="minorEastAsia" w:hAnsiTheme="minorEastAsia" w:eastAsiaTheme="minorEastAsia"/>
                <w:szCs w:val="21"/>
              </w:rPr>
              <w:t>与总结</w:t>
            </w:r>
            <w:r>
              <w:rPr>
                <w:rFonts w:hint="eastAsia" w:asciiTheme="minorEastAsia" w:hAnsiTheme="minorEastAsia" w:eastAsiaTheme="minorEastAsia"/>
                <w:szCs w:val="21"/>
              </w:rPr>
              <w:t>能力；</w:t>
            </w:r>
            <w:r>
              <w:rPr>
                <w:rFonts w:asciiTheme="minorEastAsia" w:hAnsiTheme="minorEastAsia" w:eastAsiaTheme="minorEastAsia"/>
                <w:szCs w:val="21"/>
              </w:rPr>
              <w:t>严谨的工作态度</w:t>
            </w:r>
            <w:r>
              <w:rPr>
                <w:rFonts w:hint="eastAsia" w:asciiTheme="minorEastAsia" w:hAnsiTheme="minorEastAsia" w:eastAsiaTheme="minorEastAsia"/>
                <w:szCs w:val="21"/>
              </w:rPr>
              <w:t>；岗位</w:t>
            </w:r>
            <w:r>
              <w:rPr>
                <w:rFonts w:asciiTheme="minorEastAsia" w:hAnsiTheme="minorEastAsia" w:eastAsiaTheme="minorEastAsia"/>
                <w:szCs w:val="21"/>
              </w:rPr>
              <w:t>竞争意识</w:t>
            </w:r>
            <w:r>
              <w:rPr>
                <w:rFonts w:hint="eastAsia" w:asciiTheme="minorEastAsia" w:hAnsiTheme="minorEastAsia" w:eastAsiaTheme="minorEastAsia"/>
                <w:szCs w:val="21"/>
              </w:rPr>
              <w:t>与抗压</w:t>
            </w:r>
            <w:r>
              <w:rPr>
                <w:rFonts w:asciiTheme="minorEastAsia" w:hAnsiTheme="minorEastAsia" w:eastAsiaTheme="minorEastAsia"/>
                <w:szCs w:val="21"/>
              </w:rPr>
              <w:t>能力</w:t>
            </w:r>
            <w:r>
              <w:rPr>
                <w:rFonts w:hint="eastAsia" w:asciiTheme="minorEastAsia" w:hAnsiTheme="minorEastAsia" w:eastAsiaTheme="minorEastAsia"/>
                <w:szCs w:val="21"/>
              </w:rPr>
              <w:t>；</w:t>
            </w:r>
            <w:r>
              <w:rPr>
                <w:rFonts w:asciiTheme="minorEastAsia" w:hAnsiTheme="minorEastAsia" w:eastAsiaTheme="minorEastAsia"/>
                <w:szCs w:val="21"/>
              </w:rPr>
              <w:t>绩效</w:t>
            </w:r>
            <w:r>
              <w:rPr>
                <w:rFonts w:hint="eastAsia" w:asciiTheme="minorEastAsia" w:hAnsiTheme="minorEastAsia" w:eastAsiaTheme="minorEastAsia"/>
                <w:szCs w:val="21"/>
              </w:rPr>
              <w:t>导向意识</w:t>
            </w:r>
          </w:p>
        </w:tc>
        <w:tc>
          <w:tcPr>
            <w:tcW w:w="2979" w:type="dxa"/>
          </w:tcPr>
          <w:p>
            <w:pPr>
              <w:pStyle w:val="11"/>
              <w:numPr>
                <w:ilvl w:val="0"/>
                <w:numId w:val="1"/>
              </w:numPr>
              <w:adjustRightInd w:val="0"/>
              <w:snapToGrid w:val="0"/>
              <w:spacing w:line="360" w:lineRule="auto"/>
              <w:ind w:firstLineChars="0"/>
              <w:rPr>
                <w:rFonts w:asciiTheme="minorEastAsia" w:hAnsiTheme="minorEastAsia" w:eastAsiaTheme="minorEastAsia"/>
                <w:szCs w:val="21"/>
              </w:rPr>
            </w:pPr>
            <w:r>
              <w:rPr>
                <w:rFonts w:hint="eastAsia" w:asciiTheme="minorEastAsia" w:hAnsiTheme="minorEastAsia" w:eastAsiaTheme="minorEastAsia"/>
                <w:szCs w:val="21"/>
              </w:rPr>
              <w:t>熟悉共享服务的基本概念</w:t>
            </w:r>
          </w:p>
          <w:p>
            <w:pPr>
              <w:pStyle w:val="11"/>
              <w:numPr>
                <w:ilvl w:val="0"/>
                <w:numId w:val="1"/>
              </w:numPr>
              <w:adjustRightInd w:val="0"/>
              <w:snapToGrid w:val="0"/>
              <w:spacing w:line="360" w:lineRule="auto"/>
              <w:ind w:firstLineChars="0"/>
              <w:rPr>
                <w:rFonts w:asciiTheme="minorEastAsia" w:hAnsiTheme="minorEastAsia" w:eastAsiaTheme="minorEastAsia"/>
                <w:szCs w:val="21"/>
              </w:rPr>
            </w:pPr>
            <w:r>
              <w:rPr>
                <w:rFonts w:hint="eastAsia" w:asciiTheme="minorEastAsia" w:hAnsiTheme="minorEastAsia" w:eastAsiaTheme="minorEastAsia"/>
                <w:szCs w:val="21"/>
              </w:rPr>
              <w:t>掌握财务共享</w:t>
            </w:r>
            <w:r>
              <w:rPr>
                <w:rFonts w:asciiTheme="minorEastAsia" w:hAnsiTheme="minorEastAsia" w:eastAsiaTheme="minorEastAsia"/>
                <w:szCs w:val="21"/>
              </w:rPr>
              <w:t>服务的</w:t>
            </w:r>
            <w:r>
              <w:rPr>
                <w:rFonts w:hint="eastAsia" w:asciiTheme="minorEastAsia" w:hAnsiTheme="minorEastAsia" w:eastAsiaTheme="minorEastAsia"/>
                <w:szCs w:val="21"/>
              </w:rPr>
              <w:t>概念与</w:t>
            </w:r>
            <w:r>
              <w:rPr>
                <w:rFonts w:asciiTheme="minorEastAsia" w:hAnsiTheme="minorEastAsia" w:eastAsiaTheme="minorEastAsia"/>
                <w:szCs w:val="21"/>
              </w:rPr>
              <w:t>实质</w:t>
            </w:r>
          </w:p>
          <w:p>
            <w:pPr>
              <w:pStyle w:val="11"/>
              <w:numPr>
                <w:ilvl w:val="0"/>
                <w:numId w:val="1"/>
              </w:numPr>
              <w:adjustRightInd w:val="0"/>
              <w:snapToGrid w:val="0"/>
              <w:spacing w:line="360" w:lineRule="auto"/>
              <w:ind w:firstLineChars="0"/>
              <w:rPr>
                <w:rFonts w:asciiTheme="minorEastAsia" w:hAnsiTheme="minorEastAsia" w:eastAsiaTheme="minorEastAsia"/>
                <w:szCs w:val="21"/>
              </w:rPr>
            </w:pPr>
            <w:r>
              <w:rPr>
                <w:rFonts w:hint="eastAsia" w:asciiTheme="minorEastAsia" w:hAnsiTheme="minorEastAsia" w:eastAsiaTheme="minorEastAsia"/>
                <w:szCs w:val="21"/>
              </w:rPr>
              <w:t>了解集团企业财务转型的宏观背景</w:t>
            </w:r>
          </w:p>
          <w:p>
            <w:pPr>
              <w:pStyle w:val="11"/>
              <w:numPr>
                <w:ilvl w:val="0"/>
                <w:numId w:val="1"/>
              </w:numPr>
              <w:adjustRightInd w:val="0"/>
              <w:snapToGrid w:val="0"/>
              <w:spacing w:line="360" w:lineRule="auto"/>
              <w:ind w:firstLineChars="0"/>
              <w:rPr>
                <w:rFonts w:asciiTheme="minorEastAsia" w:hAnsiTheme="minorEastAsia" w:eastAsiaTheme="minorEastAsia"/>
                <w:szCs w:val="21"/>
              </w:rPr>
            </w:pPr>
            <w:r>
              <w:rPr>
                <w:rFonts w:hint="eastAsia" w:asciiTheme="minorEastAsia" w:hAnsiTheme="minorEastAsia" w:eastAsiaTheme="minorEastAsia"/>
                <w:szCs w:val="21"/>
              </w:rPr>
              <w:t>了解企业集团化经营面临的困难</w:t>
            </w:r>
          </w:p>
          <w:p>
            <w:pPr>
              <w:pStyle w:val="11"/>
              <w:numPr>
                <w:ilvl w:val="0"/>
                <w:numId w:val="1"/>
              </w:numPr>
              <w:adjustRightInd w:val="0"/>
              <w:snapToGrid w:val="0"/>
              <w:spacing w:line="360" w:lineRule="auto"/>
              <w:ind w:firstLineChars="0"/>
              <w:rPr>
                <w:rFonts w:asciiTheme="minorEastAsia" w:hAnsiTheme="minorEastAsia" w:eastAsiaTheme="minorEastAsia"/>
                <w:szCs w:val="21"/>
              </w:rPr>
            </w:pPr>
            <w:r>
              <w:rPr>
                <w:rFonts w:hint="eastAsia" w:asciiTheme="minorEastAsia" w:hAnsiTheme="minorEastAsia" w:eastAsiaTheme="minorEastAsia"/>
                <w:szCs w:val="21"/>
              </w:rPr>
              <w:t>理解财务共享服务中心</w:t>
            </w:r>
            <w:r>
              <w:rPr>
                <w:rFonts w:asciiTheme="minorEastAsia" w:hAnsiTheme="minorEastAsia" w:eastAsiaTheme="minorEastAsia"/>
                <w:szCs w:val="21"/>
              </w:rPr>
              <w:t>的定位</w:t>
            </w:r>
            <w:r>
              <w:rPr>
                <w:rFonts w:hint="eastAsia" w:asciiTheme="minorEastAsia" w:hAnsiTheme="minorEastAsia" w:eastAsiaTheme="minorEastAsia"/>
                <w:szCs w:val="21"/>
              </w:rPr>
              <w:t>和</w:t>
            </w:r>
            <w:r>
              <w:rPr>
                <w:rFonts w:asciiTheme="minorEastAsia" w:hAnsiTheme="minorEastAsia" w:eastAsiaTheme="minorEastAsia"/>
                <w:szCs w:val="21"/>
              </w:rPr>
              <w:t>给大型企业带来的价值</w:t>
            </w:r>
          </w:p>
          <w:p>
            <w:pPr>
              <w:pStyle w:val="11"/>
              <w:numPr>
                <w:ilvl w:val="0"/>
                <w:numId w:val="1"/>
              </w:numPr>
              <w:adjustRightInd w:val="0"/>
              <w:snapToGrid w:val="0"/>
              <w:spacing w:line="360" w:lineRule="auto"/>
              <w:ind w:firstLineChars="0"/>
              <w:rPr>
                <w:rFonts w:asciiTheme="minorEastAsia" w:hAnsiTheme="minorEastAsia" w:eastAsiaTheme="minorEastAsia"/>
                <w:szCs w:val="21"/>
              </w:rPr>
            </w:pPr>
            <w:r>
              <w:rPr>
                <w:rFonts w:hint="eastAsia" w:asciiTheme="minorEastAsia" w:hAnsiTheme="minorEastAsia" w:eastAsiaTheme="minorEastAsia"/>
                <w:szCs w:val="21"/>
              </w:rPr>
              <w:t>熟悉财务共享</w:t>
            </w:r>
            <w:r>
              <w:rPr>
                <w:rFonts w:asciiTheme="minorEastAsia" w:hAnsiTheme="minorEastAsia" w:eastAsiaTheme="minorEastAsia"/>
                <w:szCs w:val="21"/>
              </w:rPr>
              <w:t>服务中心的模式</w:t>
            </w:r>
          </w:p>
          <w:p>
            <w:pPr>
              <w:pStyle w:val="11"/>
              <w:numPr>
                <w:ilvl w:val="0"/>
                <w:numId w:val="1"/>
              </w:numPr>
              <w:adjustRightInd w:val="0"/>
              <w:snapToGrid w:val="0"/>
              <w:spacing w:line="360" w:lineRule="auto"/>
              <w:ind w:firstLineChars="0"/>
              <w:rPr>
                <w:rFonts w:asciiTheme="minorEastAsia" w:hAnsiTheme="minorEastAsia" w:eastAsiaTheme="minorEastAsia"/>
                <w:szCs w:val="21"/>
              </w:rPr>
            </w:pPr>
            <w:r>
              <w:rPr>
                <w:rFonts w:hint="eastAsia" w:asciiTheme="minorEastAsia" w:hAnsiTheme="minorEastAsia" w:eastAsiaTheme="minorEastAsia"/>
                <w:szCs w:val="21"/>
              </w:rPr>
              <w:t>了解I</w:t>
            </w:r>
            <w:r>
              <w:rPr>
                <w:rFonts w:asciiTheme="minorEastAsia" w:hAnsiTheme="minorEastAsia" w:eastAsiaTheme="minorEastAsia"/>
                <w:szCs w:val="21"/>
              </w:rPr>
              <w:t>T</w:t>
            </w:r>
            <w:r>
              <w:rPr>
                <w:rFonts w:hint="eastAsia" w:asciiTheme="minorEastAsia" w:hAnsiTheme="minorEastAsia" w:eastAsiaTheme="minorEastAsia"/>
                <w:szCs w:val="21"/>
              </w:rPr>
              <w:t>技术</w:t>
            </w:r>
            <w:r>
              <w:rPr>
                <w:rFonts w:asciiTheme="minorEastAsia" w:hAnsiTheme="minorEastAsia" w:eastAsiaTheme="minorEastAsia"/>
                <w:szCs w:val="21"/>
              </w:rPr>
              <w:t>如何影响</w:t>
            </w:r>
            <w:r>
              <w:rPr>
                <w:rFonts w:hint="eastAsia" w:asciiTheme="minorEastAsia" w:hAnsiTheme="minorEastAsia" w:eastAsiaTheme="minorEastAsia"/>
                <w:szCs w:val="21"/>
              </w:rPr>
              <w:t>FSSC运营</w:t>
            </w:r>
          </w:p>
          <w:p>
            <w:pPr>
              <w:pStyle w:val="11"/>
              <w:numPr>
                <w:ilvl w:val="0"/>
                <w:numId w:val="1"/>
              </w:numPr>
              <w:adjustRightInd w:val="0"/>
              <w:snapToGrid w:val="0"/>
              <w:spacing w:line="360" w:lineRule="auto"/>
              <w:ind w:firstLineChars="0"/>
              <w:rPr>
                <w:rFonts w:asciiTheme="minorEastAsia" w:hAnsiTheme="minorEastAsia" w:eastAsiaTheme="minorEastAsia"/>
                <w:szCs w:val="21"/>
              </w:rPr>
            </w:pPr>
            <w:r>
              <w:rPr>
                <w:rFonts w:hint="eastAsia" w:asciiTheme="minorEastAsia" w:hAnsiTheme="minorEastAsia" w:eastAsiaTheme="minorEastAsia"/>
                <w:szCs w:val="21"/>
              </w:rPr>
              <w:t>熟悉FSSC中</w:t>
            </w:r>
            <w:r>
              <w:rPr>
                <w:rFonts w:asciiTheme="minorEastAsia" w:hAnsiTheme="minorEastAsia" w:eastAsiaTheme="minorEastAsia"/>
                <w:szCs w:val="21"/>
              </w:rPr>
              <w:t>常见的</w:t>
            </w:r>
            <w:r>
              <w:rPr>
                <w:rFonts w:hint="eastAsia" w:asciiTheme="minorEastAsia" w:hAnsiTheme="minorEastAsia" w:eastAsiaTheme="minorEastAsia"/>
                <w:szCs w:val="21"/>
              </w:rPr>
              <w:t>IT技术</w:t>
            </w:r>
            <w:r>
              <w:rPr>
                <w:rFonts w:asciiTheme="minorEastAsia" w:hAnsiTheme="minorEastAsia" w:eastAsiaTheme="minorEastAsia"/>
                <w:szCs w:val="21"/>
              </w:rPr>
              <w:t>与信息系统</w:t>
            </w:r>
          </w:p>
          <w:p>
            <w:pPr>
              <w:pStyle w:val="11"/>
              <w:numPr>
                <w:ilvl w:val="0"/>
                <w:numId w:val="1"/>
              </w:numPr>
              <w:adjustRightInd w:val="0"/>
              <w:snapToGrid w:val="0"/>
              <w:spacing w:line="360" w:lineRule="auto"/>
              <w:ind w:firstLineChars="0"/>
              <w:rPr>
                <w:rFonts w:asciiTheme="minorEastAsia" w:hAnsiTheme="minorEastAsia" w:eastAsiaTheme="minorEastAsia"/>
                <w:szCs w:val="21"/>
              </w:rPr>
            </w:pPr>
            <w:r>
              <w:rPr>
                <w:rFonts w:hint="eastAsia" w:asciiTheme="minorEastAsia" w:hAnsiTheme="minorEastAsia" w:eastAsiaTheme="minorEastAsia"/>
                <w:szCs w:val="21"/>
              </w:rPr>
              <w:t>掌握FSSC中</w:t>
            </w:r>
            <w:r>
              <w:rPr>
                <w:rFonts w:asciiTheme="minorEastAsia" w:hAnsiTheme="minorEastAsia" w:eastAsiaTheme="minorEastAsia"/>
                <w:szCs w:val="21"/>
              </w:rPr>
              <w:t>常见的硬件设备</w:t>
            </w:r>
          </w:p>
        </w:tc>
        <w:tc>
          <w:tcPr>
            <w:tcW w:w="2977" w:type="dxa"/>
          </w:tcPr>
          <w:p>
            <w:pPr>
              <w:numPr>
                <w:ilvl w:val="0"/>
                <w:numId w:val="1"/>
              </w:numPr>
              <w:spacing w:line="360" w:lineRule="auto"/>
              <w:rPr>
                <w:rFonts w:ascii="宋体" w:hAnsi="宋体"/>
                <w:szCs w:val="21"/>
              </w:rPr>
            </w:pPr>
            <w:r>
              <w:rPr>
                <w:rFonts w:hint="eastAsia" w:asciiTheme="minorEastAsia" w:hAnsiTheme="minorEastAsia" w:eastAsiaTheme="minorEastAsia"/>
                <w:szCs w:val="21"/>
              </w:rPr>
              <w:t>能够描述高影仪、高速</w:t>
            </w:r>
            <w:r>
              <w:rPr>
                <w:rFonts w:asciiTheme="minorEastAsia" w:hAnsiTheme="minorEastAsia" w:eastAsiaTheme="minorEastAsia"/>
                <w:szCs w:val="21"/>
              </w:rPr>
              <w:t>扫描仪、</w:t>
            </w:r>
            <w:r>
              <w:rPr>
                <w:rFonts w:hint="eastAsia" w:asciiTheme="minorEastAsia" w:hAnsiTheme="minorEastAsia" w:eastAsiaTheme="minorEastAsia"/>
                <w:szCs w:val="21"/>
              </w:rPr>
              <w:t>扫码枪、</w:t>
            </w:r>
            <w:r>
              <w:rPr>
                <w:rFonts w:asciiTheme="minorEastAsia" w:hAnsiTheme="minorEastAsia" w:eastAsiaTheme="minorEastAsia"/>
                <w:szCs w:val="21"/>
              </w:rPr>
              <w:t>双屏、打印机等设备的用途和在</w:t>
            </w:r>
            <w:r>
              <w:rPr>
                <w:rFonts w:hint="eastAsia" w:asciiTheme="minorEastAsia" w:hAnsiTheme="minorEastAsia" w:eastAsiaTheme="minorEastAsia"/>
                <w:szCs w:val="21"/>
              </w:rPr>
              <w:t>共享</w:t>
            </w:r>
            <w:r>
              <w:rPr>
                <w:rFonts w:asciiTheme="minorEastAsia" w:hAnsiTheme="minorEastAsia" w:eastAsiaTheme="minorEastAsia"/>
                <w:szCs w:val="21"/>
              </w:rPr>
              <w:t>模式下的主要应用情境</w:t>
            </w:r>
          </w:p>
          <w:p>
            <w:pPr>
              <w:numPr>
                <w:ilvl w:val="0"/>
                <w:numId w:val="1"/>
              </w:numPr>
              <w:spacing w:line="360" w:lineRule="auto"/>
              <w:rPr>
                <w:rFonts w:ascii="宋体" w:hAnsi="宋体"/>
                <w:szCs w:val="21"/>
              </w:rPr>
            </w:pPr>
            <w:r>
              <w:rPr>
                <w:rFonts w:hint="eastAsia" w:asciiTheme="minorEastAsia" w:hAnsiTheme="minorEastAsia" w:eastAsiaTheme="minorEastAsia"/>
                <w:szCs w:val="21"/>
              </w:rPr>
              <w:t>能够阐述</w:t>
            </w:r>
            <w:r>
              <w:rPr>
                <w:rFonts w:asciiTheme="minorEastAsia" w:hAnsiTheme="minorEastAsia" w:eastAsiaTheme="minorEastAsia"/>
                <w:szCs w:val="21"/>
              </w:rPr>
              <w:t>流程平台、</w:t>
            </w:r>
            <w:r>
              <w:rPr>
                <w:rFonts w:hint="eastAsia" w:asciiTheme="minorEastAsia" w:hAnsiTheme="minorEastAsia" w:eastAsiaTheme="minorEastAsia"/>
                <w:szCs w:val="21"/>
              </w:rPr>
              <w:t>影像系统、</w:t>
            </w:r>
            <w:r>
              <w:rPr>
                <w:rFonts w:asciiTheme="minorEastAsia" w:hAnsiTheme="minorEastAsia" w:eastAsiaTheme="minorEastAsia"/>
                <w:szCs w:val="21"/>
              </w:rPr>
              <w:t>作业平台、移动报销系统等</w:t>
            </w:r>
            <w:r>
              <w:rPr>
                <w:rFonts w:hint="eastAsia" w:asciiTheme="minorEastAsia" w:hAnsiTheme="minorEastAsia" w:eastAsiaTheme="minorEastAsia"/>
                <w:szCs w:val="21"/>
              </w:rPr>
              <w:t>共享</w:t>
            </w:r>
            <w:r>
              <w:rPr>
                <w:rFonts w:asciiTheme="minorEastAsia" w:hAnsiTheme="minorEastAsia" w:eastAsiaTheme="minorEastAsia"/>
                <w:szCs w:val="21"/>
              </w:rPr>
              <w:t>模式常用信息系统的含义和作</w:t>
            </w:r>
            <w:r>
              <w:rPr>
                <w:rFonts w:hint="eastAsia" w:asciiTheme="minorEastAsia" w:hAnsiTheme="minorEastAsia" w:eastAsiaTheme="minorEastAsia"/>
                <w:szCs w:val="21"/>
              </w:rPr>
              <w:t>用</w:t>
            </w:r>
          </w:p>
          <w:p>
            <w:pPr>
              <w:numPr>
                <w:ilvl w:val="0"/>
                <w:numId w:val="1"/>
              </w:numPr>
              <w:spacing w:line="360" w:lineRule="auto"/>
              <w:rPr>
                <w:rFonts w:ascii="宋体" w:hAnsi="宋体"/>
                <w:szCs w:val="21"/>
              </w:rPr>
            </w:pPr>
            <w:r>
              <w:rPr>
                <w:rFonts w:hint="eastAsia" w:asciiTheme="minorEastAsia" w:hAnsiTheme="minorEastAsia" w:eastAsiaTheme="minorEastAsia"/>
                <w:szCs w:val="21"/>
              </w:rPr>
              <w:t>能够</w:t>
            </w:r>
            <w:r>
              <w:rPr>
                <w:rFonts w:asciiTheme="minorEastAsia" w:hAnsiTheme="minorEastAsia" w:eastAsiaTheme="minorEastAsia"/>
                <w:szCs w:val="21"/>
              </w:rPr>
              <w:t>辨别不同的财务共享</w:t>
            </w:r>
            <w:r>
              <w:rPr>
                <w:rFonts w:hint="eastAsia" w:asciiTheme="minorEastAsia" w:hAnsiTheme="minorEastAsia" w:eastAsiaTheme="minorEastAsia"/>
                <w:szCs w:val="21"/>
              </w:rPr>
              <w:t>服务中心</w:t>
            </w:r>
            <w:r>
              <w:rPr>
                <w:rFonts w:asciiTheme="minorEastAsia" w:hAnsiTheme="minorEastAsia" w:eastAsiaTheme="minorEastAsia"/>
                <w:szCs w:val="21"/>
              </w:rPr>
              <w:t>模式</w:t>
            </w:r>
          </w:p>
          <w:p>
            <w:pPr>
              <w:numPr>
                <w:ilvl w:val="0"/>
                <w:numId w:val="1"/>
              </w:numPr>
              <w:spacing w:line="360" w:lineRule="auto"/>
              <w:rPr>
                <w:rFonts w:ascii="宋体" w:hAnsi="宋体"/>
                <w:szCs w:val="21"/>
              </w:rPr>
            </w:pPr>
            <w:r>
              <w:rPr>
                <w:rFonts w:hint="eastAsia" w:ascii="宋体" w:hAnsi="宋体"/>
                <w:szCs w:val="21"/>
              </w:rPr>
              <w:t>能够用图形</w:t>
            </w:r>
            <w:r>
              <w:rPr>
                <w:rFonts w:ascii="宋体" w:hAnsi="宋体"/>
                <w:szCs w:val="21"/>
              </w:rPr>
              <w:t>描述财务共享服务中心的不同模式</w:t>
            </w:r>
          </w:p>
        </w:tc>
        <w:tc>
          <w:tcPr>
            <w:tcW w:w="851" w:type="dxa"/>
            <w:vAlign w:val="center"/>
          </w:tcPr>
          <w:p>
            <w:pPr>
              <w:spacing w:line="360" w:lineRule="auto"/>
              <w:jc w:val="center"/>
              <w:rPr>
                <w:rFonts w:ascii="宋体" w:hAnsi="宋体"/>
                <w:szCs w:val="21"/>
              </w:rPr>
            </w:pPr>
            <w:r>
              <w:rPr>
                <w:rFonts w:ascii="宋体" w:hAnsi="宋体"/>
                <w:szCs w:val="21"/>
              </w:rPr>
              <w:t>2 + 2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674" w:type="dxa"/>
            <w:vAlign w:val="center"/>
          </w:tcPr>
          <w:p>
            <w:pPr>
              <w:spacing w:line="360" w:lineRule="auto"/>
              <w:jc w:val="center"/>
              <w:rPr>
                <w:rFonts w:ascii="宋体" w:hAnsi="宋体"/>
                <w:szCs w:val="21"/>
              </w:rPr>
            </w:pPr>
            <w:r>
              <w:rPr>
                <w:rFonts w:ascii="宋体" w:hAnsi="宋体"/>
                <w:szCs w:val="21"/>
              </w:rPr>
              <w:t>2</w:t>
            </w:r>
          </w:p>
        </w:tc>
        <w:tc>
          <w:tcPr>
            <w:tcW w:w="1445" w:type="dxa"/>
            <w:vAlign w:val="center"/>
          </w:tcPr>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企业现状</w:t>
            </w:r>
            <w:r>
              <w:rPr>
                <w:rFonts w:asciiTheme="minorEastAsia" w:hAnsiTheme="minorEastAsia" w:eastAsiaTheme="minorEastAsia"/>
                <w:szCs w:val="21"/>
              </w:rPr>
              <w:t>调研</w:t>
            </w:r>
          </w:p>
        </w:tc>
        <w:tc>
          <w:tcPr>
            <w:tcW w:w="1134" w:type="dxa"/>
            <w:vMerge w:val="continue"/>
          </w:tcPr>
          <w:p>
            <w:pPr>
              <w:adjustRightInd w:val="0"/>
              <w:snapToGrid w:val="0"/>
              <w:spacing w:line="360" w:lineRule="auto"/>
              <w:rPr>
                <w:rFonts w:asciiTheme="minorEastAsia" w:hAnsiTheme="minorEastAsia" w:eastAsiaTheme="minorEastAsia"/>
                <w:szCs w:val="21"/>
              </w:rPr>
            </w:pPr>
          </w:p>
        </w:tc>
        <w:tc>
          <w:tcPr>
            <w:tcW w:w="2979" w:type="dxa"/>
          </w:tcPr>
          <w:p>
            <w:pPr>
              <w:pStyle w:val="11"/>
              <w:numPr>
                <w:ilvl w:val="0"/>
                <w:numId w:val="1"/>
              </w:numPr>
              <w:adjustRightInd w:val="0"/>
              <w:snapToGrid w:val="0"/>
              <w:spacing w:line="360" w:lineRule="auto"/>
              <w:ind w:firstLineChars="0"/>
              <w:rPr>
                <w:rFonts w:asciiTheme="minorEastAsia" w:hAnsiTheme="minorEastAsia" w:eastAsiaTheme="minorEastAsia"/>
                <w:szCs w:val="21"/>
              </w:rPr>
            </w:pPr>
            <w:r>
              <w:rPr>
                <w:rFonts w:hint="eastAsia" w:asciiTheme="minorEastAsia" w:hAnsiTheme="minorEastAsia" w:eastAsiaTheme="minorEastAsia"/>
                <w:szCs w:val="21"/>
              </w:rPr>
              <w:t>熟悉一</w:t>
            </w:r>
            <w:r>
              <w:rPr>
                <w:rFonts w:asciiTheme="minorEastAsia" w:hAnsiTheme="minorEastAsia" w:eastAsiaTheme="minorEastAsia"/>
                <w:szCs w:val="21"/>
              </w:rPr>
              <w:t>、二级流程清单整理方法</w:t>
            </w:r>
          </w:p>
          <w:p>
            <w:pPr>
              <w:pStyle w:val="11"/>
              <w:numPr>
                <w:ilvl w:val="0"/>
                <w:numId w:val="1"/>
              </w:numPr>
              <w:adjustRightInd w:val="0"/>
              <w:snapToGrid w:val="0"/>
              <w:spacing w:line="360" w:lineRule="auto"/>
              <w:ind w:firstLineChars="0"/>
              <w:rPr>
                <w:rFonts w:asciiTheme="minorEastAsia" w:hAnsiTheme="minorEastAsia" w:eastAsiaTheme="minorEastAsia"/>
                <w:szCs w:val="21"/>
              </w:rPr>
            </w:pPr>
            <w:r>
              <w:rPr>
                <w:rFonts w:hint="eastAsia" w:asciiTheme="minorEastAsia" w:hAnsiTheme="minorEastAsia" w:eastAsiaTheme="minorEastAsia"/>
                <w:szCs w:val="21"/>
              </w:rPr>
              <w:t>掌握M</w:t>
            </w:r>
            <w:r>
              <w:rPr>
                <w:rFonts w:asciiTheme="minorEastAsia" w:hAnsiTheme="minorEastAsia" w:eastAsiaTheme="minorEastAsia"/>
                <w:szCs w:val="21"/>
              </w:rPr>
              <w:t>icrosoft Visio</w:t>
            </w:r>
            <w:r>
              <w:rPr>
                <w:rFonts w:hint="eastAsia" w:asciiTheme="minorEastAsia" w:hAnsiTheme="minorEastAsia" w:eastAsiaTheme="minorEastAsia"/>
                <w:szCs w:val="21"/>
              </w:rPr>
              <w:t>的</w:t>
            </w:r>
            <w:r>
              <w:rPr>
                <w:rFonts w:asciiTheme="minorEastAsia" w:hAnsiTheme="minorEastAsia" w:eastAsiaTheme="minorEastAsia"/>
                <w:szCs w:val="21"/>
              </w:rPr>
              <w:t>基本图形绘制方法</w:t>
            </w:r>
          </w:p>
          <w:p>
            <w:pPr>
              <w:pStyle w:val="11"/>
              <w:numPr>
                <w:ilvl w:val="0"/>
                <w:numId w:val="1"/>
              </w:numPr>
              <w:adjustRightInd w:val="0"/>
              <w:snapToGrid w:val="0"/>
              <w:spacing w:line="360" w:lineRule="auto"/>
              <w:ind w:firstLineChars="0"/>
              <w:rPr>
                <w:rFonts w:asciiTheme="minorEastAsia" w:hAnsiTheme="minorEastAsia" w:eastAsiaTheme="minorEastAsia"/>
                <w:szCs w:val="21"/>
              </w:rPr>
            </w:pPr>
            <w:r>
              <w:rPr>
                <w:rFonts w:hint="eastAsia" w:asciiTheme="minorEastAsia" w:hAnsiTheme="minorEastAsia" w:eastAsiaTheme="minorEastAsia"/>
                <w:szCs w:val="21"/>
              </w:rPr>
              <w:t>理解鸿途集团</w:t>
            </w:r>
            <w:r>
              <w:rPr>
                <w:rFonts w:asciiTheme="minorEastAsia" w:hAnsiTheme="minorEastAsia" w:eastAsiaTheme="minorEastAsia"/>
                <w:szCs w:val="21"/>
              </w:rPr>
              <w:t>的</w:t>
            </w:r>
            <w:r>
              <w:rPr>
                <w:rFonts w:hint="eastAsia" w:asciiTheme="minorEastAsia" w:hAnsiTheme="minorEastAsia" w:eastAsiaTheme="minorEastAsia"/>
                <w:szCs w:val="21"/>
              </w:rPr>
              <w:t>各</w:t>
            </w:r>
            <w:r>
              <w:rPr>
                <w:rFonts w:asciiTheme="minorEastAsia" w:hAnsiTheme="minorEastAsia" w:eastAsiaTheme="minorEastAsia"/>
                <w:szCs w:val="21"/>
              </w:rPr>
              <w:t>业务板块</w:t>
            </w:r>
            <w:r>
              <w:rPr>
                <w:rFonts w:hint="eastAsia" w:asciiTheme="minorEastAsia" w:hAnsiTheme="minorEastAsia" w:eastAsiaTheme="minorEastAsia"/>
                <w:szCs w:val="21"/>
              </w:rPr>
              <w:t>及2018年</w:t>
            </w:r>
            <w:r>
              <w:rPr>
                <w:rFonts w:asciiTheme="minorEastAsia" w:hAnsiTheme="minorEastAsia" w:eastAsiaTheme="minorEastAsia"/>
                <w:szCs w:val="21"/>
              </w:rPr>
              <w:t>的经营状况</w:t>
            </w:r>
          </w:p>
          <w:p>
            <w:pPr>
              <w:pStyle w:val="11"/>
              <w:numPr>
                <w:ilvl w:val="0"/>
                <w:numId w:val="1"/>
              </w:numPr>
              <w:adjustRightInd w:val="0"/>
              <w:snapToGrid w:val="0"/>
              <w:spacing w:line="360" w:lineRule="auto"/>
              <w:ind w:firstLineChars="0"/>
              <w:rPr>
                <w:rFonts w:asciiTheme="minorEastAsia" w:hAnsiTheme="minorEastAsia" w:eastAsiaTheme="minorEastAsia"/>
                <w:szCs w:val="21"/>
              </w:rPr>
            </w:pPr>
            <w:r>
              <w:rPr>
                <w:rFonts w:hint="eastAsia" w:asciiTheme="minorEastAsia" w:hAnsiTheme="minorEastAsia" w:eastAsiaTheme="minorEastAsia"/>
                <w:szCs w:val="21"/>
              </w:rPr>
              <w:t>熟悉鸿途集团</w:t>
            </w:r>
            <w:r>
              <w:rPr>
                <w:rFonts w:asciiTheme="minorEastAsia" w:hAnsiTheme="minorEastAsia" w:eastAsiaTheme="minorEastAsia"/>
                <w:szCs w:val="21"/>
              </w:rPr>
              <w:t>水泥板块</w:t>
            </w:r>
            <w:r>
              <w:rPr>
                <w:rFonts w:hint="eastAsia" w:asciiTheme="minorEastAsia" w:hAnsiTheme="minorEastAsia" w:eastAsiaTheme="minorEastAsia"/>
                <w:szCs w:val="21"/>
              </w:rPr>
              <w:t>的</w:t>
            </w:r>
            <w:r>
              <w:rPr>
                <w:rFonts w:asciiTheme="minorEastAsia" w:hAnsiTheme="minorEastAsia" w:eastAsiaTheme="minorEastAsia"/>
                <w:szCs w:val="21"/>
              </w:rPr>
              <w:t>组织结构</w:t>
            </w:r>
          </w:p>
          <w:p>
            <w:pPr>
              <w:pStyle w:val="11"/>
              <w:numPr>
                <w:ilvl w:val="0"/>
                <w:numId w:val="1"/>
              </w:numPr>
              <w:adjustRightInd w:val="0"/>
              <w:snapToGrid w:val="0"/>
              <w:spacing w:line="360" w:lineRule="auto"/>
              <w:ind w:firstLineChars="0"/>
              <w:rPr>
                <w:rFonts w:asciiTheme="minorEastAsia" w:hAnsiTheme="minorEastAsia" w:eastAsiaTheme="minorEastAsia"/>
                <w:szCs w:val="21"/>
              </w:rPr>
            </w:pPr>
            <w:r>
              <w:rPr>
                <w:rFonts w:hint="eastAsia" w:asciiTheme="minorEastAsia" w:hAnsiTheme="minorEastAsia" w:eastAsiaTheme="minorEastAsia"/>
                <w:szCs w:val="21"/>
              </w:rPr>
              <w:t>掌握鸿途</w:t>
            </w:r>
            <w:r>
              <w:rPr>
                <w:rFonts w:asciiTheme="minorEastAsia" w:hAnsiTheme="minorEastAsia" w:eastAsiaTheme="minorEastAsia"/>
                <w:szCs w:val="21"/>
              </w:rPr>
              <w:t>集团</w:t>
            </w:r>
            <w:r>
              <w:rPr>
                <w:rFonts w:hint="eastAsia" w:asciiTheme="minorEastAsia" w:hAnsiTheme="minorEastAsia" w:eastAsiaTheme="minorEastAsia"/>
                <w:szCs w:val="21"/>
              </w:rPr>
              <w:t>财务</w:t>
            </w:r>
            <w:r>
              <w:rPr>
                <w:rFonts w:asciiTheme="minorEastAsia" w:hAnsiTheme="minorEastAsia" w:eastAsiaTheme="minorEastAsia"/>
                <w:szCs w:val="21"/>
              </w:rPr>
              <w:t>组织设置情况</w:t>
            </w:r>
          </w:p>
          <w:p>
            <w:pPr>
              <w:pStyle w:val="11"/>
              <w:numPr>
                <w:ilvl w:val="0"/>
                <w:numId w:val="1"/>
              </w:numPr>
              <w:adjustRightInd w:val="0"/>
              <w:snapToGrid w:val="0"/>
              <w:spacing w:line="360" w:lineRule="auto"/>
              <w:ind w:firstLineChars="0"/>
              <w:rPr>
                <w:rFonts w:asciiTheme="minorEastAsia" w:hAnsiTheme="minorEastAsia" w:eastAsiaTheme="minorEastAsia"/>
                <w:szCs w:val="21"/>
              </w:rPr>
            </w:pPr>
            <w:r>
              <w:rPr>
                <w:rFonts w:hint="eastAsia" w:asciiTheme="minorEastAsia" w:hAnsiTheme="minorEastAsia" w:eastAsiaTheme="minorEastAsia"/>
                <w:szCs w:val="21"/>
              </w:rPr>
              <w:t>理解鸿途集团</w:t>
            </w:r>
            <w:r>
              <w:rPr>
                <w:rFonts w:asciiTheme="minorEastAsia" w:hAnsiTheme="minorEastAsia" w:eastAsiaTheme="minorEastAsia"/>
                <w:szCs w:val="21"/>
              </w:rPr>
              <w:t>的</w:t>
            </w:r>
            <w:r>
              <w:rPr>
                <w:rFonts w:hint="eastAsia" w:asciiTheme="minorEastAsia" w:hAnsiTheme="minorEastAsia" w:eastAsiaTheme="minorEastAsia"/>
                <w:szCs w:val="21"/>
              </w:rPr>
              <w:t>财务</w:t>
            </w:r>
            <w:r>
              <w:rPr>
                <w:rFonts w:asciiTheme="minorEastAsia" w:hAnsiTheme="minorEastAsia" w:eastAsiaTheme="minorEastAsia"/>
                <w:szCs w:val="21"/>
              </w:rPr>
              <w:t>人员</w:t>
            </w:r>
            <w:r>
              <w:rPr>
                <w:rFonts w:hint="eastAsia" w:asciiTheme="minorEastAsia" w:hAnsiTheme="minorEastAsia" w:eastAsiaTheme="minorEastAsia"/>
                <w:szCs w:val="21"/>
              </w:rPr>
              <w:t>的</w:t>
            </w:r>
            <w:r>
              <w:rPr>
                <w:rFonts w:asciiTheme="minorEastAsia" w:hAnsiTheme="minorEastAsia" w:eastAsiaTheme="minorEastAsia"/>
                <w:szCs w:val="21"/>
              </w:rPr>
              <w:t>人数与职级</w:t>
            </w:r>
            <w:r>
              <w:rPr>
                <w:rFonts w:hint="eastAsia" w:asciiTheme="minorEastAsia" w:hAnsiTheme="minorEastAsia" w:eastAsiaTheme="minorEastAsia"/>
                <w:szCs w:val="21"/>
              </w:rPr>
              <w:t>情况</w:t>
            </w:r>
          </w:p>
        </w:tc>
        <w:tc>
          <w:tcPr>
            <w:tcW w:w="2977" w:type="dxa"/>
          </w:tcPr>
          <w:p>
            <w:pPr>
              <w:numPr>
                <w:ilvl w:val="0"/>
                <w:numId w:val="1"/>
              </w:numPr>
              <w:spacing w:line="360" w:lineRule="auto"/>
              <w:rPr>
                <w:rFonts w:ascii="宋体" w:hAnsi="宋体"/>
                <w:szCs w:val="21"/>
              </w:rPr>
            </w:pPr>
            <w:r>
              <w:rPr>
                <w:rFonts w:hint="eastAsia" w:asciiTheme="minorEastAsia" w:hAnsiTheme="minorEastAsia" w:eastAsiaTheme="minorEastAsia"/>
                <w:szCs w:val="21"/>
              </w:rPr>
              <w:t>能够用Visio工具画出鸿途集团</w:t>
            </w:r>
            <w:r>
              <w:rPr>
                <w:rFonts w:asciiTheme="minorEastAsia" w:hAnsiTheme="minorEastAsia" w:eastAsiaTheme="minorEastAsia"/>
                <w:szCs w:val="21"/>
              </w:rPr>
              <w:t>的组织架构</w:t>
            </w:r>
          </w:p>
          <w:p>
            <w:pPr>
              <w:numPr>
                <w:ilvl w:val="0"/>
                <w:numId w:val="1"/>
              </w:numPr>
              <w:spacing w:line="360" w:lineRule="auto"/>
              <w:rPr>
                <w:rFonts w:ascii="宋体" w:hAnsi="宋体"/>
                <w:szCs w:val="21"/>
              </w:rPr>
            </w:pPr>
            <w:r>
              <w:rPr>
                <w:rFonts w:hint="eastAsia" w:asciiTheme="minorEastAsia" w:hAnsiTheme="minorEastAsia" w:eastAsiaTheme="minorEastAsia"/>
                <w:szCs w:val="21"/>
              </w:rPr>
              <w:t>能够用Visio工具</w:t>
            </w:r>
            <w:r>
              <w:rPr>
                <w:rFonts w:asciiTheme="minorEastAsia" w:hAnsiTheme="minorEastAsia" w:eastAsiaTheme="minorEastAsia"/>
                <w:szCs w:val="21"/>
              </w:rPr>
              <w:t>画出</w:t>
            </w:r>
            <w:r>
              <w:rPr>
                <w:rFonts w:hint="eastAsia" w:asciiTheme="minorEastAsia" w:hAnsiTheme="minorEastAsia" w:eastAsiaTheme="minorEastAsia"/>
                <w:szCs w:val="21"/>
              </w:rPr>
              <w:t>鸿途集团</w:t>
            </w:r>
            <w:r>
              <w:rPr>
                <w:rFonts w:asciiTheme="minorEastAsia" w:hAnsiTheme="minorEastAsia" w:eastAsiaTheme="minorEastAsia"/>
                <w:szCs w:val="21"/>
              </w:rPr>
              <w:t>不同板块、不同层级的财务组织架构与岗位设置</w:t>
            </w:r>
          </w:p>
          <w:p>
            <w:pPr>
              <w:numPr>
                <w:ilvl w:val="0"/>
                <w:numId w:val="1"/>
              </w:numPr>
              <w:spacing w:line="360" w:lineRule="auto"/>
              <w:rPr>
                <w:rFonts w:ascii="宋体" w:hAnsi="宋体"/>
                <w:szCs w:val="21"/>
              </w:rPr>
            </w:pPr>
            <w:r>
              <w:rPr>
                <w:rFonts w:hint="eastAsia" w:asciiTheme="minorEastAsia" w:hAnsiTheme="minorEastAsia" w:eastAsiaTheme="minorEastAsia"/>
                <w:szCs w:val="21"/>
              </w:rPr>
              <w:t>能够用Excel和</w:t>
            </w:r>
            <w:r>
              <w:rPr>
                <w:rFonts w:asciiTheme="minorEastAsia" w:hAnsiTheme="minorEastAsia" w:eastAsiaTheme="minorEastAsia"/>
                <w:szCs w:val="21"/>
              </w:rPr>
              <w:t>《</w:t>
            </w:r>
            <w:r>
              <w:rPr>
                <w:rFonts w:hint="eastAsia" w:asciiTheme="minorEastAsia" w:hAnsiTheme="minorEastAsia" w:eastAsiaTheme="minorEastAsia"/>
                <w:szCs w:val="21"/>
              </w:rPr>
              <w:t>现状</w:t>
            </w:r>
            <w:r>
              <w:rPr>
                <w:rFonts w:asciiTheme="minorEastAsia" w:hAnsiTheme="minorEastAsia" w:eastAsiaTheme="minorEastAsia"/>
                <w:szCs w:val="21"/>
              </w:rPr>
              <w:t>流程清单模板》</w:t>
            </w:r>
            <w:r>
              <w:rPr>
                <w:rFonts w:hint="eastAsia" w:asciiTheme="minorEastAsia" w:hAnsiTheme="minorEastAsia" w:eastAsiaTheme="minorEastAsia"/>
                <w:szCs w:val="21"/>
              </w:rPr>
              <w:t>整理</w:t>
            </w:r>
            <w:r>
              <w:rPr>
                <w:rFonts w:asciiTheme="minorEastAsia" w:hAnsiTheme="minorEastAsia" w:eastAsiaTheme="minorEastAsia"/>
                <w:szCs w:val="21"/>
              </w:rPr>
              <w:t>出</w:t>
            </w:r>
            <w:r>
              <w:rPr>
                <w:rFonts w:hint="eastAsia" w:asciiTheme="minorEastAsia" w:hAnsiTheme="minorEastAsia" w:eastAsiaTheme="minorEastAsia"/>
                <w:szCs w:val="21"/>
              </w:rPr>
              <w:t>鸿途</w:t>
            </w:r>
            <w:r>
              <w:rPr>
                <w:rFonts w:asciiTheme="minorEastAsia" w:hAnsiTheme="minorEastAsia" w:eastAsiaTheme="minorEastAsia"/>
                <w:szCs w:val="21"/>
              </w:rPr>
              <w:t>集团</w:t>
            </w:r>
            <w:r>
              <w:rPr>
                <w:rFonts w:hint="eastAsia" w:asciiTheme="minorEastAsia" w:hAnsiTheme="minorEastAsia" w:eastAsiaTheme="minorEastAsia"/>
                <w:szCs w:val="21"/>
              </w:rPr>
              <w:t>的</w:t>
            </w:r>
            <w:r>
              <w:rPr>
                <w:rFonts w:asciiTheme="minorEastAsia" w:hAnsiTheme="minorEastAsia" w:eastAsiaTheme="minorEastAsia"/>
                <w:szCs w:val="21"/>
              </w:rPr>
              <w:t>一</w:t>
            </w:r>
            <w:r>
              <w:rPr>
                <w:rFonts w:hint="eastAsia" w:asciiTheme="minorEastAsia" w:hAnsiTheme="minorEastAsia" w:eastAsiaTheme="minorEastAsia"/>
                <w:szCs w:val="21"/>
              </w:rPr>
              <w:t>、</w:t>
            </w:r>
            <w:r>
              <w:rPr>
                <w:rFonts w:asciiTheme="minorEastAsia" w:hAnsiTheme="minorEastAsia" w:eastAsiaTheme="minorEastAsia"/>
                <w:szCs w:val="21"/>
              </w:rPr>
              <w:t>二级流程</w:t>
            </w:r>
          </w:p>
        </w:tc>
        <w:tc>
          <w:tcPr>
            <w:tcW w:w="851" w:type="dxa"/>
            <w:vAlign w:val="center"/>
          </w:tcPr>
          <w:p>
            <w:pPr>
              <w:spacing w:line="360" w:lineRule="auto"/>
              <w:jc w:val="center"/>
              <w:rPr>
                <w:rFonts w:ascii="宋体" w:hAnsi="宋体"/>
                <w:szCs w:val="21"/>
              </w:rPr>
            </w:pPr>
            <w:r>
              <w:rPr>
                <w:rFonts w:ascii="宋体" w:hAnsi="宋体"/>
                <w:szCs w:val="21"/>
              </w:rPr>
              <w:t>2 + 2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674" w:type="dxa"/>
            <w:vAlign w:val="center"/>
          </w:tcPr>
          <w:p>
            <w:pPr>
              <w:spacing w:line="360" w:lineRule="auto"/>
              <w:jc w:val="center"/>
              <w:rPr>
                <w:rFonts w:ascii="宋体" w:hAnsi="宋体"/>
                <w:szCs w:val="21"/>
              </w:rPr>
            </w:pPr>
            <w:r>
              <w:rPr>
                <w:rFonts w:ascii="宋体" w:hAnsi="宋体"/>
                <w:szCs w:val="21"/>
              </w:rPr>
              <w:t>3</w:t>
            </w:r>
          </w:p>
        </w:tc>
        <w:tc>
          <w:tcPr>
            <w:tcW w:w="1445" w:type="dxa"/>
            <w:vAlign w:val="center"/>
          </w:tcPr>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F</w:t>
            </w:r>
            <w:r>
              <w:rPr>
                <w:rFonts w:asciiTheme="minorEastAsia" w:hAnsiTheme="minorEastAsia" w:eastAsiaTheme="minorEastAsia"/>
                <w:szCs w:val="21"/>
              </w:rPr>
              <w:t>SSC</w:t>
            </w:r>
            <w:r>
              <w:rPr>
                <w:rFonts w:hint="eastAsia" w:asciiTheme="minorEastAsia" w:hAnsiTheme="minorEastAsia" w:eastAsiaTheme="minorEastAsia"/>
                <w:szCs w:val="21"/>
              </w:rPr>
              <w:t>规划</w:t>
            </w:r>
            <w:r>
              <w:rPr>
                <w:rFonts w:asciiTheme="minorEastAsia" w:hAnsiTheme="minorEastAsia" w:eastAsiaTheme="minorEastAsia"/>
                <w:szCs w:val="21"/>
              </w:rPr>
              <w:t>设计</w:t>
            </w:r>
          </w:p>
        </w:tc>
        <w:tc>
          <w:tcPr>
            <w:tcW w:w="1134" w:type="dxa"/>
            <w:vMerge w:val="continue"/>
          </w:tcPr>
          <w:p>
            <w:pPr>
              <w:adjustRightInd w:val="0"/>
              <w:snapToGrid w:val="0"/>
              <w:spacing w:line="360" w:lineRule="auto"/>
              <w:rPr>
                <w:rFonts w:asciiTheme="minorEastAsia" w:hAnsiTheme="minorEastAsia" w:eastAsiaTheme="minorEastAsia"/>
                <w:szCs w:val="21"/>
              </w:rPr>
            </w:pPr>
          </w:p>
        </w:tc>
        <w:tc>
          <w:tcPr>
            <w:tcW w:w="2979" w:type="dxa"/>
          </w:tcPr>
          <w:p>
            <w:pPr>
              <w:pStyle w:val="11"/>
              <w:numPr>
                <w:ilvl w:val="0"/>
                <w:numId w:val="1"/>
              </w:numPr>
              <w:adjustRightInd w:val="0"/>
              <w:snapToGrid w:val="0"/>
              <w:spacing w:line="360" w:lineRule="auto"/>
              <w:ind w:firstLineChars="0"/>
              <w:rPr>
                <w:rFonts w:asciiTheme="minorEastAsia" w:hAnsiTheme="minorEastAsia" w:eastAsiaTheme="minorEastAsia"/>
                <w:szCs w:val="21"/>
              </w:rPr>
            </w:pPr>
            <w:r>
              <w:rPr>
                <w:rFonts w:hint="eastAsia" w:asciiTheme="minorEastAsia" w:hAnsiTheme="minorEastAsia" w:eastAsiaTheme="minorEastAsia"/>
                <w:szCs w:val="21"/>
              </w:rPr>
              <w:t>掌握新道FSSC沙盘</w:t>
            </w:r>
            <w:r>
              <w:rPr>
                <w:rFonts w:asciiTheme="minorEastAsia" w:hAnsiTheme="minorEastAsia" w:eastAsiaTheme="minorEastAsia"/>
                <w:szCs w:val="21"/>
              </w:rPr>
              <w:t>盘面布局和卡片</w:t>
            </w:r>
            <w:r>
              <w:rPr>
                <w:rFonts w:hint="eastAsia" w:asciiTheme="minorEastAsia" w:hAnsiTheme="minorEastAsia" w:eastAsiaTheme="minorEastAsia"/>
                <w:szCs w:val="21"/>
              </w:rPr>
              <w:t>上</w:t>
            </w:r>
            <w:r>
              <w:rPr>
                <w:rFonts w:asciiTheme="minorEastAsia" w:hAnsiTheme="minorEastAsia" w:eastAsiaTheme="minorEastAsia"/>
                <w:szCs w:val="21"/>
              </w:rPr>
              <w:t>信息含义</w:t>
            </w:r>
          </w:p>
          <w:p>
            <w:pPr>
              <w:pStyle w:val="11"/>
              <w:numPr>
                <w:ilvl w:val="0"/>
                <w:numId w:val="1"/>
              </w:numPr>
              <w:adjustRightInd w:val="0"/>
              <w:snapToGrid w:val="0"/>
              <w:spacing w:line="360" w:lineRule="auto"/>
              <w:ind w:firstLineChars="0"/>
              <w:rPr>
                <w:rFonts w:asciiTheme="minorEastAsia" w:hAnsiTheme="minorEastAsia" w:eastAsiaTheme="minorEastAsia"/>
                <w:szCs w:val="21"/>
              </w:rPr>
            </w:pPr>
            <w:r>
              <w:rPr>
                <w:rFonts w:hint="eastAsia" w:asciiTheme="minorEastAsia" w:hAnsiTheme="minorEastAsia" w:eastAsiaTheme="minorEastAsia"/>
                <w:szCs w:val="21"/>
              </w:rPr>
              <w:t>熟悉财务</w:t>
            </w:r>
            <w:r>
              <w:rPr>
                <w:rFonts w:asciiTheme="minorEastAsia" w:hAnsiTheme="minorEastAsia" w:eastAsiaTheme="minorEastAsia"/>
                <w:szCs w:val="21"/>
              </w:rPr>
              <w:t>共享服务中心构建方法论</w:t>
            </w:r>
          </w:p>
          <w:p>
            <w:pPr>
              <w:pStyle w:val="11"/>
              <w:numPr>
                <w:ilvl w:val="0"/>
                <w:numId w:val="1"/>
              </w:numPr>
              <w:adjustRightInd w:val="0"/>
              <w:snapToGrid w:val="0"/>
              <w:spacing w:line="360" w:lineRule="auto"/>
              <w:ind w:firstLineChars="0"/>
              <w:rPr>
                <w:rFonts w:asciiTheme="minorEastAsia" w:hAnsiTheme="minorEastAsia" w:eastAsiaTheme="minorEastAsia"/>
                <w:szCs w:val="21"/>
              </w:rPr>
            </w:pPr>
            <w:r>
              <w:rPr>
                <w:rFonts w:hint="eastAsia" w:asciiTheme="minorEastAsia" w:hAnsiTheme="minorEastAsia" w:eastAsiaTheme="minorEastAsia"/>
                <w:szCs w:val="21"/>
              </w:rPr>
              <w:t>理解FSSC战略</w:t>
            </w:r>
            <w:r>
              <w:rPr>
                <w:rFonts w:asciiTheme="minorEastAsia" w:hAnsiTheme="minorEastAsia" w:eastAsiaTheme="minorEastAsia"/>
                <w:szCs w:val="21"/>
              </w:rPr>
              <w:t>定位</w:t>
            </w:r>
            <w:r>
              <w:rPr>
                <w:rFonts w:hint="eastAsia" w:asciiTheme="minorEastAsia" w:hAnsiTheme="minorEastAsia" w:eastAsiaTheme="minorEastAsia"/>
                <w:szCs w:val="21"/>
              </w:rPr>
              <w:t>及模式的概念</w:t>
            </w:r>
            <w:r>
              <w:rPr>
                <w:rFonts w:asciiTheme="minorEastAsia" w:hAnsiTheme="minorEastAsia" w:eastAsiaTheme="minorEastAsia"/>
                <w:szCs w:val="21"/>
              </w:rPr>
              <w:t>及规划方法</w:t>
            </w:r>
          </w:p>
          <w:p>
            <w:pPr>
              <w:pStyle w:val="11"/>
              <w:numPr>
                <w:ilvl w:val="0"/>
                <w:numId w:val="1"/>
              </w:numPr>
              <w:adjustRightInd w:val="0"/>
              <w:snapToGrid w:val="0"/>
              <w:spacing w:line="360" w:lineRule="auto"/>
              <w:ind w:firstLineChars="0"/>
              <w:rPr>
                <w:rFonts w:asciiTheme="minorEastAsia" w:hAnsiTheme="minorEastAsia" w:eastAsiaTheme="minorEastAsia"/>
                <w:szCs w:val="21"/>
              </w:rPr>
            </w:pPr>
            <w:r>
              <w:rPr>
                <w:rFonts w:hint="eastAsia" w:asciiTheme="minorEastAsia" w:hAnsiTheme="minorEastAsia" w:eastAsiaTheme="minorEastAsia"/>
                <w:szCs w:val="21"/>
              </w:rPr>
              <w:t>理解FSSC3种</w:t>
            </w:r>
            <w:r>
              <w:rPr>
                <w:rFonts w:asciiTheme="minorEastAsia" w:hAnsiTheme="minorEastAsia" w:eastAsiaTheme="minorEastAsia"/>
                <w:szCs w:val="21"/>
              </w:rPr>
              <w:t>不同阶段</w:t>
            </w:r>
            <w:r>
              <w:rPr>
                <w:rFonts w:hint="eastAsia" w:asciiTheme="minorEastAsia" w:hAnsiTheme="minorEastAsia" w:eastAsiaTheme="minorEastAsia"/>
                <w:szCs w:val="21"/>
              </w:rPr>
              <w:t>组织</w:t>
            </w:r>
            <w:r>
              <w:rPr>
                <w:rFonts w:asciiTheme="minorEastAsia" w:hAnsiTheme="minorEastAsia" w:eastAsiaTheme="minorEastAsia"/>
                <w:szCs w:val="21"/>
              </w:rPr>
              <w:t>职能定位的概念和</w:t>
            </w:r>
            <w:r>
              <w:rPr>
                <w:rFonts w:hint="eastAsia" w:asciiTheme="minorEastAsia" w:hAnsiTheme="minorEastAsia" w:eastAsiaTheme="minorEastAsia"/>
                <w:szCs w:val="21"/>
              </w:rPr>
              <w:t>特征</w:t>
            </w:r>
          </w:p>
          <w:p>
            <w:pPr>
              <w:pStyle w:val="11"/>
              <w:numPr>
                <w:ilvl w:val="0"/>
                <w:numId w:val="1"/>
              </w:numPr>
              <w:adjustRightInd w:val="0"/>
              <w:snapToGrid w:val="0"/>
              <w:spacing w:line="360" w:lineRule="auto"/>
              <w:ind w:firstLineChars="0"/>
              <w:rPr>
                <w:rFonts w:asciiTheme="minorEastAsia" w:hAnsiTheme="minorEastAsia" w:eastAsiaTheme="minorEastAsia"/>
                <w:szCs w:val="21"/>
              </w:rPr>
            </w:pPr>
            <w:r>
              <w:rPr>
                <w:rFonts w:hint="eastAsia" w:asciiTheme="minorEastAsia" w:hAnsiTheme="minorEastAsia" w:eastAsiaTheme="minorEastAsia"/>
                <w:szCs w:val="21"/>
              </w:rPr>
              <w:t>理解</w:t>
            </w:r>
          </w:p>
          <w:p>
            <w:pPr>
              <w:pStyle w:val="11"/>
              <w:numPr>
                <w:ilvl w:val="0"/>
                <w:numId w:val="1"/>
              </w:numPr>
              <w:adjustRightInd w:val="0"/>
              <w:snapToGrid w:val="0"/>
              <w:spacing w:line="360" w:lineRule="auto"/>
              <w:ind w:firstLineChars="0"/>
              <w:rPr>
                <w:rFonts w:asciiTheme="minorEastAsia" w:hAnsiTheme="minorEastAsia" w:eastAsiaTheme="minorEastAsia"/>
                <w:szCs w:val="21"/>
              </w:rPr>
            </w:pPr>
            <w:r>
              <w:rPr>
                <w:rFonts w:hint="eastAsia" w:asciiTheme="minorEastAsia" w:hAnsiTheme="minorEastAsia" w:eastAsiaTheme="minorEastAsia"/>
                <w:szCs w:val="21"/>
              </w:rPr>
              <w:t>熟悉FSSC选址</w:t>
            </w:r>
            <w:r>
              <w:rPr>
                <w:rFonts w:asciiTheme="minorEastAsia" w:hAnsiTheme="minorEastAsia" w:eastAsiaTheme="minorEastAsia"/>
                <w:szCs w:val="21"/>
              </w:rPr>
              <w:t>的规划和</w:t>
            </w:r>
            <w:r>
              <w:rPr>
                <w:rFonts w:hint="eastAsia" w:asciiTheme="minorEastAsia" w:hAnsiTheme="minorEastAsia" w:eastAsiaTheme="minorEastAsia"/>
                <w:szCs w:val="21"/>
              </w:rPr>
              <w:t>评估</w:t>
            </w:r>
            <w:r>
              <w:rPr>
                <w:rFonts w:asciiTheme="minorEastAsia" w:hAnsiTheme="minorEastAsia" w:eastAsiaTheme="minorEastAsia"/>
                <w:szCs w:val="21"/>
              </w:rPr>
              <w:t>方法</w:t>
            </w:r>
          </w:p>
          <w:p>
            <w:pPr>
              <w:pStyle w:val="11"/>
              <w:numPr>
                <w:ilvl w:val="0"/>
                <w:numId w:val="1"/>
              </w:numPr>
              <w:adjustRightInd w:val="0"/>
              <w:snapToGrid w:val="0"/>
              <w:spacing w:line="360" w:lineRule="auto"/>
              <w:ind w:firstLineChars="0"/>
              <w:rPr>
                <w:rFonts w:asciiTheme="minorEastAsia" w:hAnsiTheme="minorEastAsia" w:eastAsiaTheme="minorEastAsia"/>
                <w:szCs w:val="21"/>
              </w:rPr>
            </w:pPr>
            <w:r>
              <w:rPr>
                <w:rFonts w:hint="eastAsia" w:asciiTheme="minorEastAsia" w:hAnsiTheme="minorEastAsia" w:eastAsiaTheme="minorEastAsia"/>
                <w:szCs w:val="21"/>
              </w:rPr>
              <w:t>熟悉</w:t>
            </w:r>
            <w:r>
              <w:rPr>
                <w:rFonts w:asciiTheme="minorEastAsia" w:hAnsiTheme="minorEastAsia" w:eastAsiaTheme="minorEastAsia"/>
                <w:szCs w:val="21"/>
              </w:rPr>
              <w:t>“</w:t>
            </w:r>
            <w:r>
              <w:rPr>
                <w:rFonts w:hint="eastAsia" w:asciiTheme="minorEastAsia" w:hAnsiTheme="minorEastAsia" w:eastAsiaTheme="minorEastAsia"/>
                <w:szCs w:val="21"/>
              </w:rPr>
              <w:t>三角</w:t>
            </w:r>
            <w:r>
              <w:rPr>
                <w:rFonts w:asciiTheme="minorEastAsia" w:hAnsiTheme="minorEastAsia" w:eastAsiaTheme="minorEastAsia"/>
                <w:szCs w:val="21"/>
              </w:rPr>
              <w:t>财务组织”</w:t>
            </w:r>
            <w:r>
              <w:rPr>
                <w:rFonts w:hint="eastAsia" w:asciiTheme="minorEastAsia" w:hAnsiTheme="minorEastAsia" w:eastAsiaTheme="minorEastAsia"/>
                <w:szCs w:val="21"/>
              </w:rPr>
              <w:t>（战略</w:t>
            </w:r>
            <w:r>
              <w:rPr>
                <w:rFonts w:asciiTheme="minorEastAsia" w:hAnsiTheme="minorEastAsia" w:eastAsiaTheme="minorEastAsia"/>
                <w:szCs w:val="21"/>
              </w:rPr>
              <w:t>财务、业务财务、共享财务</w:t>
            </w:r>
            <w:r>
              <w:rPr>
                <w:rFonts w:hint="eastAsia" w:asciiTheme="minorEastAsia" w:hAnsiTheme="minorEastAsia" w:eastAsiaTheme="minorEastAsia"/>
                <w:szCs w:val="21"/>
              </w:rPr>
              <w:t>）的</w:t>
            </w:r>
            <w:r>
              <w:rPr>
                <w:rFonts w:asciiTheme="minorEastAsia" w:hAnsiTheme="minorEastAsia" w:eastAsiaTheme="minorEastAsia"/>
                <w:szCs w:val="21"/>
              </w:rPr>
              <w:t>总体职责划分</w:t>
            </w:r>
          </w:p>
          <w:p>
            <w:pPr>
              <w:pStyle w:val="11"/>
              <w:numPr>
                <w:ilvl w:val="0"/>
                <w:numId w:val="1"/>
              </w:numPr>
              <w:adjustRightInd w:val="0"/>
              <w:snapToGrid w:val="0"/>
              <w:spacing w:line="360" w:lineRule="auto"/>
              <w:ind w:firstLineChars="0"/>
              <w:rPr>
                <w:rFonts w:asciiTheme="minorEastAsia" w:hAnsiTheme="minorEastAsia" w:eastAsiaTheme="minorEastAsia"/>
                <w:szCs w:val="21"/>
              </w:rPr>
            </w:pPr>
            <w:r>
              <w:rPr>
                <w:rFonts w:hint="eastAsia" w:asciiTheme="minorEastAsia" w:hAnsiTheme="minorEastAsia" w:eastAsiaTheme="minorEastAsia"/>
                <w:szCs w:val="21"/>
              </w:rPr>
              <w:t>掌握财务共享服务中心</w:t>
            </w:r>
            <w:r>
              <w:rPr>
                <w:rFonts w:asciiTheme="minorEastAsia" w:hAnsiTheme="minorEastAsia" w:eastAsiaTheme="minorEastAsia"/>
                <w:szCs w:val="21"/>
              </w:rPr>
              <w:t>“</w:t>
            </w:r>
            <w:r>
              <w:rPr>
                <w:rFonts w:hint="eastAsia" w:asciiTheme="minorEastAsia" w:hAnsiTheme="minorEastAsia" w:eastAsiaTheme="minorEastAsia"/>
                <w:szCs w:val="21"/>
              </w:rPr>
              <w:t>三定</w:t>
            </w:r>
            <w:r>
              <w:rPr>
                <w:rFonts w:asciiTheme="minorEastAsia" w:hAnsiTheme="minorEastAsia" w:eastAsiaTheme="minorEastAsia"/>
                <w:szCs w:val="21"/>
              </w:rPr>
              <w:t>”</w:t>
            </w:r>
            <w:r>
              <w:rPr>
                <w:rFonts w:hint="eastAsia" w:asciiTheme="minorEastAsia" w:hAnsiTheme="minorEastAsia" w:eastAsiaTheme="minorEastAsia"/>
                <w:szCs w:val="21"/>
              </w:rPr>
              <w:t>概念</w:t>
            </w:r>
          </w:p>
          <w:p>
            <w:pPr>
              <w:pStyle w:val="11"/>
              <w:numPr>
                <w:ilvl w:val="0"/>
                <w:numId w:val="1"/>
              </w:numPr>
              <w:adjustRightInd w:val="0"/>
              <w:snapToGrid w:val="0"/>
              <w:spacing w:line="360" w:lineRule="auto"/>
              <w:ind w:firstLineChars="0"/>
              <w:rPr>
                <w:rFonts w:asciiTheme="minorEastAsia" w:hAnsiTheme="minorEastAsia" w:eastAsiaTheme="minorEastAsia"/>
                <w:szCs w:val="21"/>
              </w:rPr>
            </w:pPr>
            <w:r>
              <w:rPr>
                <w:rFonts w:hint="eastAsia" w:asciiTheme="minorEastAsia" w:hAnsiTheme="minorEastAsia" w:eastAsiaTheme="minorEastAsia"/>
                <w:szCs w:val="21"/>
              </w:rPr>
              <w:t>熟悉财务</w:t>
            </w:r>
            <w:r>
              <w:rPr>
                <w:rFonts w:asciiTheme="minorEastAsia" w:hAnsiTheme="minorEastAsia" w:eastAsiaTheme="minorEastAsia"/>
                <w:szCs w:val="21"/>
              </w:rPr>
              <w:t>共享服务中心定责的原</w:t>
            </w:r>
            <w:r>
              <w:rPr>
                <w:rFonts w:hint="eastAsia" w:asciiTheme="minorEastAsia" w:hAnsiTheme="minorEastAsia" w:eastAsiaTheme="minorEastAsia"/>
                <w:szCs w:val="21"/>
              </w:rPr>
              <w:t>则</w:t>
            </w:r>
          </w:p>
          <w:p>
            <w:pPr>
              <w:pStyle w:val="11"/>
              <w:numPr>
                <w:ilvl w:val="0"/>
                <w:numId w:val="1"/>
              </w:numPr>
              <w:adjustRightInd w:val="0"/>
              <w:snapToGrid w:val="0"/>
              <w:spacing w:line="360" w:lineRule="auto"/>
              <w:ind w:firstLineChars="0"/>
              <w:rPr>
                <w:rFonts w:asciiTheme="minorEastAsia" w:hAnsiTheme="minorEastAsia" w:eastAsiaTheme="minorEastAsia"/>
                <w:szCs w:val="21"/>
              </w:rPr>
            </w:pPr>
            <w:r>
              <w:rPr>
                <w:rFonts w:hint="eastAsia" w:asciiTheme="minorEastAsia" w:hAnsiTheme="minorEastAsia" w:eastAsiaTheme="minorEastAsia"/>
                <w:szCs w:val="21"/>
              </w:rPr>
              <w:t>熟悉</w:t>
            </w:r>
            <w:r>
              <w:rPr>
                <w:rFonts w:asciiTheme="minorEastAsia" w:hAnsiTheme="minorEastAsia" w:eastAsiaTheme="minorEastAsia"/>
                <w:szCs w:val="21"/>
              </w:rPr>
              <w:t>财务共享服务中心定岗的</w:t>
            </w:r>
            <w:r>
              <w:rPr>
                <w:rFonts w:hint="eastAsia" w:asciiTheme="minorEastAsia" w:hAnsiTheme="minorEastAsia" w:eastAsiaTheme="minorEastAsia"/>
                <w:szCs w:val="21"/>
              </w:rPr>
              <w:t>原则</w:t>
            </w:r>
          </w:p>
          <w:p>
            <w:pPr>
              <w:pStyle w:val="11"/>
              <w:numPr>
                <w:ilvl w:val="0"/>
                <w:numId w:val="1"/>
              </w:numPr>
              <w:adjustRightInd w:val="0"/>
              <w:snapToGrid w:val="0"/>
              <w:spacing w:line="360" w:lineRule="auto"/>
              <w:ind w:firstLineChars="0"/>
              <w:rPr>
                <w:rFonts w:asciiTheme="minorEastAsia" w:hAnsiTheme="minorEastAsia" w:eastAsiaTheme="minorEastAsia"/>
                <w:szCs w:val="21"/>
              </w:rPr>
            </w:pPr>
            <w:r>
              <w:rPr>
                <w:rFonts w:hint="eastAsia" w:asciiTheme="minorEastAsia" w:hAnsiTheme="minorEastAsia" w:eastAsiaTheme="minorEastAsia"/>
                <w:szCs w:val="21"/>
              </w:rPr>
              <w:t>理解</w:t>
            </w:r>
            <w:r>
              <w:rPr>
                <w:rFonts w:asciiTheme="minorEastAsia" w:hAnsiTheme="minorEastAsia" w:eastAsiaTheme="minorEastAsia"/>
                <w:szCs w:val="21"/>
              </w:rPr>
              <w:t>财务共享服务中心定编的</w:t>
            </w:r>
            <w:r>
              <w:rPr>
                <w:rFonts w:hint="eastAsia" w:asciiTheme="minorEastAsia" w:hAnsiTheme="minorEastAsia" w:eastAsiaTheme="minorEastAsia"/>
                <w:szCs w:val="21"/>
              </w:rPr>
              <w:t>3种</w:t>
            </w:r>
            <w:r>
              <w:rPr>
                <w:rFonts w:asciiTheme="minorEastAsia" w:hAnsiTheme="minorEastAsia" w:eastAsiaTheme="minorEastAsia"/>
                <w:szCs w:val="21"/>
              </w:rPr>
              <w:t>不同方法</w:t>
            </w:r>
          </w:p>
          <w:p>
            <w:pPr>
              <w:pStyle w:val="11"/>
              <w:numPr>
                <w:ilvl w:val="0"/>
                <w:numId w:val="1"/>
              </w:numPr>
              <w:adjustRightInd w:val="0"/>
              <w:snapToGrid w:val="0"/>
              <w:spacing w:line="360" w:lineRule="auto"/>
              <w:ind w:firstLineChars="0"/>
              <w:rPr>
                <w:rFonts w:asciiTheme="minorEastAsia" w:hAnsiTheme="minorEastAsia" w:eastAsiaTheme="minorEastAsia"/>
                <w:szCs w:val="21"/>
              </w:rPr>
            </w:pPr>
            <w:r>
              <w:rPr>
                <w:rFonts w:hint="eastAsia" w:asciiTheme="minorEastAsia" w:hAnsiTheme="minorEastAsia" w:eastAsiaTheme="minorEastAsia"/>
                <w:szCs w:val="21"/>
              </w:rPr>
              <w:t>理解</w:t>
            </w:r>
            <w:r>
              <w:rPr>
                <w:rFonts w:asciiTheme="minorEastAsia" w:hAnsiTheme="minorEastAsia" w:eastAsiaTheme="minorEastAsia"/>
                <w:szCs w:val="21"/>
              </w:rPr>
              <w:t>流程</w:t>
            </w:r>
            <w:r>
              <w:rPr>
                <w:rFonts w:hint="eastAsia" w:asciiTheme="minorEastAsia" w:hAnsiTheme="minorEastAsia" w:eastAsiaTheme="minorEastAsia"/>
                <w:szCs w:val="21"/>
              </w:rPr>
              <w:t>优化</w:t>
            </w:r>
            <w:r>
              <w:rPr>
                <w:rFonts w:asciiTheme="minorEastAsia" w:hAnsiTheme="minorEastAsia" w:eastAsiaTheme="minorEastAsia"/>
                <w:szCs w:val="21"/>
              </w:rPr>
              <w:t>路径的含义</w:t>
            </w:r>
          </w:p>
          <w:p>
            <w:pPr>
              <w:pStyle w:val="11"/>
              <w:numPr>
                <w:ilvl w:val="0"/>
                <w:numId w:val="1"/>
              </w:numPr>
              <w:adjustRightInd w:val="0"/>
              <w:snapToGrid w:val="0"/>
              <w:spacing w:line="360" w:lineRule="auto"/>
              <w:ind w:firstLineChars="0"/>
              <w:rPr>
                <w:rFonts w:asciiTheme="minorEastAsia" w:hAnsiTheme="minorEastAsia" w:eastAsiaTheme="minorEastAsia"/>
                <w:szCs w:val="21"/>
              </w:rPr>
            </w:pPr>
            <w:r>
              <w:rPr>
                <w:rFonts w:hint="eastAsia" w:asciiTheme="minorEastAsia" w:hAnsiTheme="minorEastAsia" w:eastAsiaTheme="minorEastAsia"/>
                <w:szCs w:val="21"/>
              </w:rPr>
              <w:t>熟悉</w:t>
            </w:r>
            <w:r>
              <w:rPr>
                <w:rFonts w:asciiTheme="minorEastAsia" w:hAnsiTheme="minorEastAsia" w:eastAsiaTheme="minorEastAsia"/>
                <w:szCs w:val="21"/>
              </w:rPr>
              <w:t>“</w:t>
            </w:r>
            <w:r>
              <w:rPr>
                <w:rFonts w:hint="eastAsia" w:asciiTheme="minorEastAsia" w:hAnsiTheme="minorEastAsia" w:eastAsiaTheme="minorEastAsia"/>
                <w:szCs w:val="21"/>
              </w:rPr>
              <w:t>端到端</w:t>
            </w:r>
            <w:r>
              <w:rPr>
                <w:rFonts w:asciiTheme="minorEastAsia" w:hAnsiTheme="minorEastAsia" w:eastAsiaTheme="minorEastAsia"/>
                <w:szCs w:val="21"/>
              </w:rPr>
              <w:t>”</w:t>
            </w:r>
            <w:r>
              <w:rPr>
                <w:rFonts w:hint="eastAsia" w:asciiTheme="minorEastAsia" w:hAnsiTheme="minorEastAsia" w:eastAsiaTheme="minorEastAsia"/>
                <w:szCs w:val="21"/>
              </w:rPr>
              <w:t>的</w:t>
            </w:r>
            <w:r>
              <w:rPr>
                <w:rFonts w:asciiTheme="minorEastAsia" w:hAnsiTheme="minorEastAsia" w:eastAsiaTheme="minorEastAsia"/>
                <w:szCs w:val="21"/>
              </w:rPr>
              <w:t>概念</w:t>
            </w:r>
          </w:p>
          <w:p>
            <w:pPr>
              <w:pStyle w:val="11"/>
              <w:numPr>
                <w:ilvl w:val="0"/>
                <w:numId w:val="1"/>
              </w:numPr>
              <w:adjustRightInd w:val="0"/>
              <w:snapToGrid w:val="0"/>
              <w:spacing w:line="360" w:lineRule="auto"/>
              <w:ind w:firstLineChars="0"/>
              <w:rPr>
                <w:rFonts w:asciiTheme="minorEastAsia" w:hAnsiTheme="minorEastAsia" w:eastAsiaTheme="minorEastAsia"/>
                <w:szCs w:val="21"/>
              </w:rPr>
            </w:pPr>
            <w:r>
              <w:rPr>
                <w:rFonts w:hint="eastAsia" w:asciiTheme="minorEastAsia" w:hAnsiTheme="minorEastAsia" w:eastAsiaTheme="minorEastAsia"/>
                <w:szCs w:val="21"/>
              </w:rPr>
              <w:t>理解</w:t>
            </w:r>
            <w:r>
              <w:t>端到端业务流程设计</w:t>
            </w:r>
            <w:r>
              <w:rPr>
                <w:rFonts w:hint="eastAsia"/>
              </w:rPr>
              <w:t>原则</w:t>
            </w:r>
          </w:p>
        </w:tc>
        <w:tc>
          <w:tcPr>
            <w:tcW w:w="2977" w:type="dxa"/>
          </w:tcPr>
          <w:p>
            <w:pPr>
              <w:numPr>
                <w:ilvl w:val="0"/>
                <w:numId w:val="1"/>
              </w:numPr>
              <w:spacing w:line="360" w:lineRule="auto"/>
              <w:rPr>
                <w:rFonts w:ascii="宋体" w:hAnsi="宋体"/>
                <w:szCs w:val="21"/>
              </w:rPr>
            </w:pPr>
            <w:r>
              <w:rPr>
                <w:rFonts w:hint="eastAsia" w:asciiTheme="minorEastAsia" w:hAnsiTheme="minorEastAsia" w:eastAsiaTheme="minorEastAsia"/>
                <w:szCs w:val="21"/>
              </w:rPr>
              <w:t>能够在</w:t>
            </w:r>
            <w:r>
              <w:rPr>
                <w:rFonts w:asciiTheme="minorEastAsia" w:hAnsiTheme="minorEastAsia" w:eastAsiaTheme="minorEastAsia"/>
                <w:szCs w:val="21"/>
              </w:rPr>
              <w:t>盘面上进行战略规划区、组织规划区和流程规划区的</w:t>
            </w:r>
            <w:r>
              <w:rPr>
                <w:rFonts w:hint="eastAsia" w:asciiTheme="minorEastAsia" w:hAnsiTheme="minorEastAsia" w:eastAsiaTheme="minorEastAsia"/>
                <w:szCs w:val="21"/>
              </w:rPr>
              <w:t>初始状态</w:t>
            </w:r>
            <w:r>
              <w:rPr>
                <w:rFonts w:asciiTheme="minorEastAsia" w:hAnsiTheme="minorEastAsia" w:eastAsiaTheme="minorEastAsia"/>
                <w:szCs w:val="21"/>
              </w:rPr>
              <w:t>摆盘</w:t>
            </w:r>
          </w:p>
          <w:p>
            <w:pPr>
              <w:numPr>
                <w:ilvl w:val="0"/>
                <w:numId w:val="1"/>
              </w:numPr>
              <w:spacing w:line="360" w:lineRule="auto"/>
              <w:rPr>
                <w:rFonts w:ascii="宋体" w:hAnsi="宋体"/>
                <w:szCs w:val="21"/>
              </w:rPr>
            </w:pPr>
            <w:r>
              <w:rPr>
                <w:rFonts w:hint="eastAsia" w:asciiTheme="minorEastAsia" w:hAnsiTheme="minorEastAsia" w:eastAsiaTheme="minorEastAsia"/>
                <w:szCs w:val="21"/>
              </w:rPr>
              <w:t>能够阅读</w:t>
            </w:r>
            <w:r>
              <w:rPr>
                <w:rFonts w:asciiTheme="minorEastAsia" w:hAnsiTheme="minorEastAsia" w:eastAsiaTheme="minorEastAsia"/>
                <w:szCs w:val="21"/>
              </w:rPr>
              <w:t>案例</w:t>
            </w:r>
            <w:r>
              <w:rPr>
                <w:rFonts w:hint="eastAsia" w:asciiTheme="minorEastAsia" w:hAnsiTheme="minorEastAsia" w:eastAsiaTheme="minorEastAsia"/>
                <w:szCs w:val="21"/>
              </w:rPr>
              <w:t>资料</w:t>
            </w:r>
            <w:r>
              <w:rPr>
                <w:rFonts w:asciiTheme="minorEastAsia" w:hAnsiTheme="minorEastAsia" w:eastAsiaTheme="minorEastAsia"/>
                <w:szCs w:val="21"/>
              </w:rPr>
              <w:t>，</w:t>
            </w:r>
            <w:r>
              <w:rPr>
                <w:rFonts w:hint="eastAsia" w:asciiTheme="minorEastAsia" w:hAnsiTheme="minorEastAsia" w:eastAsiaTheme="minorEastAsia"/>
                <w:szCs w:val="21"/>
              </w:rPr>
              <w:t>给出</w:t>
            </w:r>
            <w:r>
              <w:rPr>
                <w:rFonts w:asciiTheme="minorEastAsia" w:hAnsiTheme="minorEastAsia" w:eastAsiaTheme="minorEastAsia"/>
                <w:szCs w:val="21"/>
              </w:rPr>
              <w:t>案例企业</w:t>
            </w:r>
            <w:r>
              <w:rPr>
                <w:rFonts w:hint="eastAsia" w:asciiTheme="minorEastAsia" w:hAnsiTheme="minorEastAsia" w:eastAsiaTheme="minorEastAsia"/>
                <w:szCs w:val="21"/>
              </w:rPr>
              <w:t>FSSC战略</w:t>
            </w:r>
            <w:r>
              <w:rPr>
                <w:rFonts w:asciiTheme="minorEastAsia" w:hAnsiTheme="minorEastAsia" w:eastAsiaTheme="minorEastAsia"/>
                <w:szCs w:val="21"/>
              </w:rPr>
              <w:t>定位、组织</w:t>
            </w:r>
            <w:r>
              <w:rPr>
                <w:rFonts w:hint="eastAsia" w:asciiTheme="minorEastAsia" w:hAnsiTheme="minorEastAsia" w:eastAsiaTheme="minorEastAsia"/>
                <w:szCs w:val="21"/>
              </w:rPr>
              <w:t>职能</w:t>
            </w:r>
            <w:r>
              <w:rPr>
                <w:rFonts w:asciiTheme="minorEastAsia" w:hAnsiTheme="minorEastAsia" w:eastAsiaTheme="minorEastAsia"/>
                <w:szCs w:val="21"/>
              </w:rPr>
              <w:t>定位、建设模式的建议</w:t>
            </w:r>
          </w:p>
          <w:p>
            <w:pPr>
              <w:numPr>
                <w:ilvl w:val="0"/>
                <w:numId w:val="1"/>
              </w:numPr>
              <w:spacing w:line="360" w:lineRule="auto"/>
              <w:rPr>
                <w:rFonts w:asciiTheme="minorEastAsia" w:hAnsiTheme="minorEastAsia" w:eastAsiaTheme="minorEastAsia"/>
                <w:szCs w:val="21"/>
              </w:rPr>
            </w:pPr>
            <w:r>
              <w:rPr>
                <w:rFonts w:hint="eastAsia"/>
              </w:rPr>
              <w:t>能够</w:t>
            </w:r>
            <w:r>
              <w:t>收集</w:t>
            </w:r>
            <w:r>
              <w:rPr>
                <w:rFonts w:hint="eastAsia"/>
              </w:rPr>
              <w:t>FSSC候选城市</w:t>
            </w:r>
            <w:r>
              <w:t>的相关信息，并使用“</w:t>
            </w:r>
            <w:r>
              <w:rPr>
                <w:rFonts w:hint="eastAsia"/>
              </w:rPr>
              <w:t>财务共享选址决策评分表</w:t>
            </w:r>
            <w:r>
              <w:t>”</w:t>
            </w:r>
            <w:r>
              <w:rPr>
                <w:rFonts w:hint="eastAsia"/>
              </w:rPr>
              <w:t>进行</w:t>
            </w:r>
            <w:r>
              <w:t>评估和选择</w:t>
            </w:r>
          </w:p>
          <w:p>
            <w:pPr>
              <w:numPr>
                <w:ilvl w:val="0"/>
                <w:numId w:val="1"/>
              </w:numPr>
              <w:spacing w:line="360" w:lineRule="auto"/>
              <w:rPr>
                <w:rFonts w:asciiTheme="minorEastAsia" w:hAnsiTheme="minorEastAsia" w:eastAsiaTheme="minorEastAsia"/>
                <w:szCs w:val="21"/>
              </w:rPr>
            </w:pPr>
            <w:r>
              <w:rPr>
                <w:rFonts w:hint="eastAsia" w:asciiTheme="minorEastAsia" w:hAnsiTheme="minorEastAsia" w:eastAsiaTheme="minorEastAsia"/>
                <w:szCs w:val="21"/>
              </w:rPr>
              <w:t>能够绘制</w:t>
            </w:r>
            <w:r>
              <w:rPr>
                <w:rFonts w:asciiTheme="minorEastAsia" w:hAnsiTheme="minorEastAsia" w:eastAsiaTheme="minorEastAsia"/>
                <w:szCs w:val="21"/>
              </w:rPr>
              <w:t>多维度的雷达图</w:t>
            </w:r>
          </w:p>
          <w:p>
            <w:pPr>
              <w:numPr>
                <w:ilvl w:val="0"/>
                <w:numId w:val="1"/>
              </w:numPr>
              <w:spacing w:line="360" w:lineRule="auto"/>
              <w:rPr>
                <w:rFonts w:asciiTheme="minorEastAsia" w:hAnsiTheme="minorEastAsia" w:eastAsiaTheme="minorEastAsia"/>
                <w:szCs w:val="21"/>
              </w:rPr>
            </w:pPr>
            <w:r>
              <w:rPr>
                <w:rFonts w:hint="eastAsia" w:asciiTheme="minorEastAsia" w:hAnsiTheme="minorEastAsia" w:eastAsiaTheme="minorEastAsia"/>
                <w:szCs w:val="21"/>
              </w:rPr>
              <w:t>能够根据</w:t>
            </w:r>
            <w:r>
              <w:rPr>
                <w:rFonts w:asciiTheme="minorEastAsia" w:hAnsiTheme="minorEastAsia" w:eastAsiaTheme="minorEastAsia"/>
                <w:szCs w:val="21"/>
              </w:rPr>
              <w:t>三角财</w:t>
            </w:r>
            <w:r>
              <w:rPr>
                <w:rFonts w:hint="eastAsia" w:asciiTheme="minorEastAsia" w:hAnsiTheme="minorEastAsia" w:eastAsiaTheme="minorEastAsia"/>
                <w:szCs w:val="21"/>
              </w:rPr>
              <w:t>务</w:t>
            </w:r>
            <w:r>
              <w:rPr>
                <w:rFonts w:asciiTheme="minorEastAsia" w:hAnsiTheme="minorEastAsia" w:eastAsiaTheme="minorEastAsia"/>
                <w:szCs w:val="21"/>
              </w:rPr>
              <w:t>组织的职责边界</w:t>
            </w:r>
            <w:r>
              <w:rPr>
                <w:rFonts w:hint="eastAsia" w:asciiTheme="minorEastAsia" w:hAnsiTheme="minorEastAsia" w:eastAsiaTheme="minorEastAsia"/>
                <w:szCs w:val="21"/>
              </w:rPr>
              <w:t>，</w:t>
            </w:r>
            <w:r>
              <w:rPr>
                <w:rFonts w:asciiTheme="minorEastAsia" w:hAnsiTheme="minorEastAsia" w:eastAsiaTheme="minorEastAsia"/>
                <w:szCs w:val="21"/>
              </w:rPr>
              <w:t>调整</w:t>
            </w:r>
            <w:r>
              <w:rPr>
                <w:rFonts w:hint="eastAsia" w:asciiTheme="minorEastAsia" w:hAnsiTheme="minorEastAsia" w:eastAsiaTheme="minorEastAsia"/>
                <w:szCs w:val="21"/>
              </w:rPr>
              <w:t>原有</w:t>
            </w:r>
            <w:r>
              <w:rPr>
                <w:rFonts w:asciiTheme="minorEastAsia" w:hAnsiTheme="minorEastAsia" w:eastAsiaTheme="minorEastAsia"/>
                <w:szCs w:val="21"/>
              </w:rPr>
              <w:t>财务部门及其职责</w:t>
            </w:r>
          </w:p>
          <w:p>
            <w:pPr>
              <w:numPr>
                <w:ilvl w:val="0"/>
                <w:numId w:val="1"/>
              </w:numPr>
              <w:spacing w:line="360" w:lineRule="auto"/>
              <w:rPr>
                <w:rFonts w:asciiTheme="minorEastAsia" w:hAnsiTheme="minorEastAsia" w:eastAsiaTheme="minorEastAsia"/>
                <w:szCs w:val="21"/>
              </w:rPr>
            </w:pPr>
            <w:r>
              <w:rPr>
                <w:rFonts w:hint="eastAsia" w:asciiTheme="minorEastAsia" w:hAnsiTheme="minorEastAsia" w:eastAsiaTheme="minorEastAsia"/>
                <w:szCs w:val="21"/>
              </w:rPr>
              <w:t>能够给出案例企业FSSC部门</w:t>
            </w:r>
            <w:r>
              <w:rPr>
                <w:rFonts w:asciiTheme="minorEastAsia" w:hAnsiTheme="minorEastAsia" w:eastAsiaTheme="minorEastAsia"/>
                <w:szCs w:val="21"/>
              </w:rPr>
              <w:t>、</w:t>
            </w:r>
            <w:r>
              <w:rPr>
                <w:rFonts w:hint="eastAsia" w:asciiTheme="minorEastAsia" w:hAnsiTheme="minorEastAsia" w:eastAsiaTheme="minorEastAsia"/>
                <w:szCs w:val="21"/>
              </w:rPr>
              <w:t>职责</w:t>
            </w:r>
            <w:r>
              <w:rPr>
                <w:rFonts w:asciiTheme="minorEastAsia" w:hAnsiTheme="minorEastAsia" w:eastAsiaTheme="minorEastAsia"/>
                <w:szCs w:val="21"/>
              </w:rPr>
              <w:t>、岗位</w:t>
            </w:r>
            <w:r>
              <w:rPr>
                <w:rFonts w:hint="eastAsia" w:asciiTheme="minorEastAsia" w:hAnsiTheme="minorEastAsia" w:eastAsiaTheme="minorEastAsia"/>
                <w:szCs w:val="21"/>
              </w:rPr>
              <w:t>的</w:t>
            </w:r>
            <w:r>
              <w:rPr>
                <w:rFonts w:asciiTheme="minorEastAsia" w:hAnsiTheme="minorEastAsia" w:eastAsiaTheme="minorEastAsia"/>
                <w:szCs w:val="21"/>
              </w:rPr>
              <w:t>设置建议</w:t>
            </w:r>
          </w:p>
          <w:p>
            <w:pPr>
              <w:numPr>
                <w:ilvl w:val="0"/>
                <w:numId w:val="1"/>
              </w:numPr>
              <w:spacing w:line="360" w:lineRule="auto"/>
              <w:rPr>
                <w:rFonts w:asciiTheme="minorEastAsia" w:hAnsiTheme="minorEastAsia" w:eastAsiaTheme="minorEastAsia"/>
                <w:szCs w:val="21"/>
              </w:rPr>
            </w:pPr>
            <w:r>
              <w:rPr>
                <w:rFonts w:hint="eastAsia" w:asciiTheme="minorEastAsia" w:hAnsiTheme="minorEastAsia" w:eastAsiaTheme="minorEastAsia"/>
                <w:szCs w:val="21"/>
              </w:rPr>
              <w:t>能够</w:t>
            </w:r>
            <w:r>
              <w:rPr>
                <w:rFonts w:asciiTheme="minorEastAsia" w:hAnsiTheme="minorEastAsia" w:eastAsiaTheme="minorEastAsia"/>
                <w:szCs w:val="21"/>
              </w:rPr>
              <w:t>用</w:t>
            </w:r>
            <w:r>
              <w:rPr>
                <w:rFonts w:hint="eastAsia" w:asciiTheme="minorEastAsia" w:hAnsiTheme="minorEastAsia" w:eastAsiaTheme="minorEastAsia"/>
                <w:szCs w:val="21"/>
              </w:rPr>
              <w:t>3种</w:t>
            </w:r>
            <w:r>
              <w:rPr>
                <w:rFonts w:asciiTheme="minorEastAsia" w:hAnsiTheme="minorEastAsia" w:eastAsiaTheme="minorEastAsia"/>
                <w:szCs w:val="21"/>
              </w:rPr>
              <w:t>不同的方法，推算</w:t>
            </w:r>
            <w:r>
              <w:rPr>
                <w:rFonts w:hint="eastAsia" w:asciiTheme="minorEastAsia" w:hAnsiTheme="minorEastAsia" w:eastAsiaTheme="minorEastAsia"/>
                <w:szCs w:val="21"/>
              </w:rPr>
              <w:t>FSSC不同</w:t>
            </w:r>
            <w:r>
              <w:rPr>
                <w:rFonts w:asciiTheme="minorEastAsia" w:hAnsiTheme="minorEastAsia" w:eastAsiaTheme="minorEastAsia"/>
                <w:szCs w:val="21"/>
              </w:rPr>
              <w:t>人员的编制数量</w:t>
            </w:r>
          </w:p>
          <w:p>
            <w:pPr>
              <w:numPr>
                <w:ilvl w:val="0"/>
                <w:numId w:val="1"/>
              </w:numPr>
              <w:spacing w:line="360" w:lineRule="auto"/>
              <w:rPr>
                <w:rFonts w:asciiTheme="minorEastAsia" w:hAnsiTheme="minorEastAsia" w:eastAsiaTheme="minorEastAsia"/>
                <w:szCs w:val="21"/>
              </w:rPr>
            </w:pPr>
            <w:r>
              <w:rPr>
                <w:rFonts w:hint="eastAsia" w:asciiTheme="minorEastAsia" w:hAnsiTheme="minorEastAsia" w:eastAsiaTheme="minorEastAsia"/>
                <w:szCs w:val="21"/>
              </w:rPr>
              <w:t>能够</w:t>
            </w:r>
            <w:r>
              <w:rPr>
                <w:rFonts w:asciiTheme="minorEastAsia" w:hAnsiTheme="minorEastAsia" w:eastAsiaTheme="minorEastAsia"/>
                <w:szCs w:val="21"/>
              </w:rPr>
              <w:t>给出</w:t>
            </w:r>
            <w:r>
              <w:rPr>
                <w:rFonts w:hint="eastAsia" w:asciiTheme="minorEastAsia" w:hAnsiTheme="minorEastAsia" w:eastAsiaTheme="minorEastAsia"/>
                <w:szCs w:val="21"/>
              </w:rPr>
              <w:t>案例</w:t>
            </w:r>
            <w:r>
              <w:rPr>
                <w:rFonts w:asciiTheme="minorEastAsia" w:hAnsiTheme="minorEastAsia" w:eastAsiaTheme="minorEastAsia"/>
                <w:szCs w:val="21"/>
              </w:rPr>
              <w:t>企业财务共享流程优化路径的建议</w:t>
            </w:r>
          </w:p>
          <w:p>
            <w:pPr>
              <w:numPr>
                <w:ilvl w:val="0"/>
                <w:numId w:val="1"/>
              </w:numPr>
              <w:spacing w:line="360" w:lineRule="auto"/>
              <w:rPr>
                <w:rFonts w:asciiTheme="minorEastAsia" w:hAnsiTheme="minorEastAsia" w:eastAsiaTheme="minorEastAsia"/>
                <w:szCs w:val="21"/>
              </w:rPr>
            </w:pPr>
            <w:r>
              <w:rPr>
                <w:rFonts w:hint="eastAsia" w:asciiTheme="minorEastAsia" w:hAnsiTheme="minorEastAsia" w:eastAsiaTheme="minorEastAsia"/>
                <w:szCs w:val="21"/>
              </w:rPr>
              <w:t>可以编制</w:t>
            </w:r>
            <w:r>
              <w:rPr>
                <w:rFonts w:asciiTheme="minorEastAsia" w:hAnsiTheme="minorEastAsia" w:eastAsiaTheme="minorEastAsia"/>
                <w:szCs w:val="21"/>
              </w:rPr>
              <w:t>案例企业</w:t>
            </w:r>
            <w:r>
              <w:rPr>
                <w:rFonts w:hint="eastAsia" w:asciiTheme="minorEastAsia" w:hAnsiTheme="minorEastAsia" w:eastAsiaTheme="minorEastAsia"/>
                <w:szCs w:val="21"/>
              </w:rPr>
              <w:t>共享后</w:t>
            </w:r>
            <w:r>
              <w:rPr>
                <w:rFonts w:asciiTheme="minorEastAsia" w:hAnsiTheme="minorEastAsia" w:eastAsiaTheme="minorEastAsia"/>
                <w:szCs w:val="21"/>
              </w:rPr>
              <w:t>不同财务组织的</w:t>
            </w:r>
            <w:r>
              <w:rPr>
                <w:rFonts w:hint="eastAsia" w:asciiTheme="minorEastAsia" w:hAnsiTheme="minorEastAsia" w:eastAsiaTheme="minorEastAsia"/>
                <w:szCs w:val="21"/>
              </w:rPr>
              <w:t>《业务</w:t>
            </w:r>
            <w:r>
              <w:rPr>
                <w:rFonts w:asciiTheme="minorEastAsia" w:hAnsiTheme="minorEastAsia" w:eastAsiaTheme="minorEastAsia"/>
                <w:szCs w:val="21"/>
              </w:rPr>
              <w:t>职责切分表</w:t>
            </w:r>
            <w:r>
              <w:rPr>
                <w:rFonts w:hint="eastAsia" w:asciiTheme="minorEastAsia" w:hAnsiTheme="minorEastAsia" w:eastAsiaTheme="minorEastAsia"/>
                <w:szCs w:val="21"/>
              </w:rPr>
              <w:t>》</w:t>
            </w:r>
          </w:p>
          <w:p>
            <w:pPr>
              <w:numPr>
                <w:ilvl w:val="0"/>
                <w:numId w:val="1"/>
              </w:numPr>
              <w:spacing w:line="360" w:lineRule="auto"/>
              <w:rPr>
                <w:rFonts w:asciiTheme="minorEastAsia" w:hAnsiTheme="minorEastAsia" w:eastAsiaTheme="minorEastAsia"/>
                <w:szCs w:val="21"/>
              </w:rPr>
            </w:pPr>
            <w:r>
              <w:rPr>
                <w:rFonts w:hint="eastAsia" w:asciiTheme="minorEastAsia" w:hAnsiTheme="minorEastAsia" w:eastAsiaTheme="minorEastAsia"/>
                <w:szCs w:val="21"/>
              </w:rPr>
              <w:t>能够</w:t>
            </w:r>
            <w:r>
              <w:rPr>
                <w:rFonts w:asciiTheme="minorEastAsia" w:hAnsiTheme="minorEastAsia" w:eastAsiaTheme="minorEastAsia"/>
                <w:szCs w:val="21"/>
              </w:rPr>
              <w:t>基于</w:t>
            </w:r>
            <w:r>
              <w:rPr>
                <w:rFonts w:hint="eastAsia" w:asciiTheme="minorEastAsia" w:hAnsiTheme="minorEastAsia" w:eastAsiaTheme="minorEastAsia"/>
                <w:szCs w:val="21"/>
              </w:rPr>
              <w:t>动作、角色、单据实现</w:t>
            </w:r>
            <w:r>
              <w:rPr>
                <w:rFonts w:asciiTheme="minorEastAsia" w:hAnsiTheme="minorEastAsia" w:eastAsiaTheme="minorEastAsia"/>
                <w:szCs w:val="21"/>
              </w:rPr>
              <w:t>一个首要优化流程</w:t>
            </w:r>
            <w:r>
              <w:rPr>
                <w:rFonts w:hint="eastAsia" w:asciiTheme="minorEastAsia" w:hAnsiTheme="minorEastAsia" w:eastAsiaTheme="minorEastAsia"/>
                <w:szCs w:val="21"/>
              </w:rPr>
              <w:t>设计</w:t>
            </w:r>
            <w:r>
              <w:rPr>
                <w:rFonts w:asciiTheme="minorEastAsia" w:hAnsiTheme="minorEastAsia" w:eastAsiaTheme="minorEastAsia"/>
                <w:szCs w:val="21"/>
              </w:rPr>
              <w:t>的摆盘推演</w:t>
            </w:r>
          </w:p>
          <w:p>
            <w:pPr>
              <w:numPr>
                <w:ilvl w:val="0"/>
                <w:numId w:val="1"/>
              </w:numPr>
              <w:spacing w:line="360" w:lineRule="auto"/>
              <w:rPr>
                <w:rFonts w:asciiTheme="minorEastAsia" w:hAnsiTheme="minorEastAsia" w:eastAsiaTheme="minorEastAsia"/>
                <w:szCs w:val="21"/>
              </w:rPr>
            </w:pPr>
            <w:r>
              <w:rPr>
                <w:rFonts w:hint="eastAsia" w:asciiTheme="minorEastAsia" w:hAnsiTheme="minorEastAsia" w:eastAsiaTheme="minorEastAsia"/>
                <w:szCs w:val="21"/>
              </w:rPr>
              <w:t>能够</w:t>
            </w:r>
            <w:r>
              <w:rPr>
                <w:rFonts w:asciiTheme="minorEastAsia" w:hAnsiTheme="minorEastAsia" w:eastAsiaTheme="minorEastAsia"/>
                <w:szCs w:val="21"/>
              </w:rPr>
              <w:t>列举不同</w:t>
            </w:r>
            <w:r>
              <w:rPr>
                <w:rFonts w:hint="eastAsia" w:asciiTheme="minorEastAsia" w:hAnsiTheme="minorEastAsia" w:eastAsiaTheme="minorEastAsia"/>
                <w:szCs w:val="21"/>
              </w:rPr>
              <w:t>流程</w:t>
            </w:r>
            <w:r>
              <w:rPr>
                <w:rFonts w:asciiTheme="minorEastAsia" w:hAnsiTheme="minorEastAsia" w:eastAsiaTheme="minorEastAsia"/>
                <w:szCs w:val="21"/>
              </w:rPr>
              <w:t>环节</w:t>
            </w:r>
            <w:r>
              <w:rPr>
                <w:rFonts w:hint="eastAsia" w:asciiTheme="minorEastAsia" w:hAnsiTheme="minorEastAsia" w:eastAsiaTheme="minorEastAsia"/>
                <w:szCs w:val="21"/>
              </w:rPr>
              <w:t>所</w:t>
            </w:r>
            <w:r>
              <w:rPr>
                <w:rFonts w:asciiTheme="minorEastAsia" w:hAnsiTheme="minorEastAsia" w:eastAsiaTheme="minorEastAsia"/>
                <w:szCs w:val="21"/>
              </w:rPr>
              <w:t>可能用到的</w:t>
            </w:r>
            <w:r>
              <w:rPr>
                <w:rFonts w:hint="eastAsia" w:asciiTheme="minorEastAsia" w:hAnsiTheme="minorEastAsia" w:eastAsiaTheme="minorEastAsia"/>
                <w:szCs w:val="21"/>
              </w:rPr>
              <w:t>IT技术</w:t>
            </w:r>
            <w:r>
              <w:rPr>
                <w:rFonts w:asciiTheme="minorEastAsia" w:hAnsiTheme="minorEastAsia" w:eastAsiaTheme="minorEastAsia"/>
                <w:szCs w:val="21"/>
              </w:rPr>
              <w:t>、信息系统</w:t>
            </w:r>
          </w:p>
          <w:p>
            <w:pPr>
              <w:numPr>
                <w:ilvl w:val="0"/>
                <w:numId w:val="1"/>
              </w:numPr>
              <w:spacing w:line="360" w:lineRule="auto"/>
              <w:rPr>
                <w:rFonts w:asciiTheme="minorEastAsia" w:hAnsiTheme="minorEastAsia" w:eastAsiaTheme="minorEastAsia"/>
                <w:szCs w:val="21"/>
              </w:rPr>
            </w:pPr>
            <w:r>
              <w:rPr>
                <w:rFonts w:hint="eastAsia" w:asciiTheme="minorEastAsia" w:hAnsiTheme="minorEastAsia" w:eastAsiaTheme="minorEastAsia"/>
                <w:szCs w:val="21"/>
              </w:rPr>
              <w:t>能够根据</w:t>
            </w:r>
            <w:r>
              <w:rPr>
                <w:rFonts w:asciiTheme="minorEastAsia" w:hAnsiTheme="minorEastAsia" w:eastAsiaTheme="minorEastAsia"/>
                <w:szCs w:val="21"/>
              </w:rPr>
              <w:t>沙盘模拟</w:t>
            </w:r>
            <w:r>
              <w:rPr>
                <w:rFonts w:hint="eastAsia" w:asciiTheme="minorEastAsia" w:hAnsiTheme="minorEastAsia" w:eastAsiaTheme="minorEastAsia"/>
                <w:szCs w:val="21"/>
              </w:rPr>
              <w:t>结果</w:t>
            </w:r>
            <w:r>
              <w:rPr>
                <w:rFonts w:asciiTheme="minorEastAsia" w:hAnsiTheme="minorEastAsia" w:eastAsiaTheme="minorEastAsia"/>
                <w:szCs w:val="21"/>
              </w:rPr>
              <w:t>撰写</w:t>
            </w:r>
            <w:r>
              <w:rPr>
                <w:rFonts w:hint="eastAsia" w:asciiTheme="minorEastAsia" w:hAnsiTheme="minorEastAsia" w:eastAsiaTheme="minorEastAsia"/>
                <w:szCs w:val="21"/>
              </w:rPr>
              <w:t>FSSC高阶</w:t>
            </w:r>
            <w:r>
              <w:rPr>
                <w:rFonts w:asciiTheme="minorEastAsia" w:hAnsiTheme="minorEastAsia" w:eastAsiaTheme="minorEastAsia"/>
                <w:szCs w:val="21"/>
              </w:rPr>
              <w:t>规划方案</w:t>
            </w:r>
          </w:p>
          <w:p>
            <w:pPr>
              <w:numPr>
                <w:ilvl w:val="0"/>
                <w:numId w:val="1"/>
              </w:numPr>
              <w:spacing w:line="360" w:lineRule="auto"/>
              <w:rPr>
                <w:rFonts w:asciiTheme="minorEastAsia" w:hAnsiTheme="minorEastAsia" w:eastAsiaTheme="minorEastAsia"/>
                <w:szCs w:val="21"/>
              </w:rPr>
            </w:pPr>
            <w:r>
              <w:rPr>
                <w:rFonts w:hint="eastAsia" w:asciiTheme="minorEastAsia" w:hAnsiTheme="minorEastAsia" w:eastAsiaTheme="minorEastAsia"/>
                <w:szCs w:val="21"/>
              </w:rPr>
              <w:t>能够呈现FSSC高阶</w:t>
            </w:r>
            <w:r>
              <w:rPr>
                <w:rFonts w:asciiTheme="minorEastAsia" w:hAnsiTheme="minorEastAsia" w:eastAsiaTheme="minorEastAsia"/>
                <w:szCs w:val="21"/>
              </w:rPr>
              <w:t>规划方案</w:t>
            </w:r>
          </w:p>
        </w:tc>
        <w:tc>
          <w:tcPr>
            <w:tcW w:w="851" w:type="dxa"/>
            <w:vAlign w:val="center"/>
          </w:tcPr>
          <w:p>
            <w:pPr>
              <w:spacing w:line="360" w:lineRule="auto"/>
              <w:jc w:val="center"/>
              <w:rPr>
                <w:rFonts w:ascii="宋体" w:hAnsi="宋体"/>
                <w:szCs w:val="21"/>
              </w:rPr>
            </w:pPr>
            <w:r>
              <w:rPr>
                <w:rFonts w:ascii="宋体" w:hAnsi="宋体"/>
                <w:szCs w:val="21"/>
              </w:rPr>
              <w:t>2 + 4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1" w:hRule="atLeast"/>
          <w:jc w:val="center"/>
        </w:trPr>
        <w:tc>
          <w:tcPr>
            <w:tcW w:w="674" w:type="dxa"/>
            <w:vAlign w:val="center"/>
          </w:tcPr>
          <w:p>
            <w:pPr>
              <w:spacing w:line="360" w:lineRule="auto"/>
              <w:jc w:val="center"/>
              <w:rPr>
                <w:rFonts w:ascii="宋体" w:hAnsi="宋体"/>
                <w:szCs w:val="21"/>
              </w:rPr>
            </w:pPr>
            <w:r>
              <w:rPr>
                <w:rFonts w:hint="eastAsia" w:ascii="宋体" w:hAnsi="宋体"/>
                <w:szCs w:val="21"/>
              </w:rPr>
              <w:t>4</w:t>
            </w:r>
          </w:p>
        </w:tc>
        <w:tc>
          <w:tcPr>
            <w:tcW w:w="1445" w:type="dxa"/>
            <w:vAlign w:val="center"/>
          </w:tcPr>
          <w:p>
            <w:pPr>
              <w:spacing w:line="360" w:lineRule="auto"/>
              <w:rPr>
                <w:rFonts w:ascii="宋体" w:hAnsi="宋体"/>
                <w:szCs w:val="21"/>
              </w:rPr>
            </w:pPr>
            <w:r>
              <w:rPr>
                <w:rFonts w:hint="eastAsia" w:asciiTheme="minorEastAsia" w:hAnsiTheme="minorEastAsia" w:eastAsiaTheme="minorEastAsia"/>
                <w:szCs w:val="21"/>
              </w:rPr>
              <w:t>费用</w:t>
            </w:r>
            <w:r>
              <w:rPr>
                <w:rFonts w:asciiTheme="minorEastAsia" w:hAnsiTheme="minorEastAsia" w:eastAsiaTheme="minorEastAsia"/>
                <w:szCs w:val="21"/>
              </w:rPr>
              <w:t>报销</w:t>
            </w:r>
            <w:r>
              <w:rPr>
                <w:rFonts w:hint="eastAsia" w:asciiTheme="minorEastAsia" w:hAnsiTheme="minorEastAsia" w:eastAsiaTheme="minorEastAsia"/>
                <w:szCs w:val="21"/>
              </w:rPr>
              <w:t>共享业务处理</w:t>
            </w:r>
          </w:p>
        </w:tc>
        <w:tc>
          <w:tcPr>
            <w:tcW w:w="1134" w:type="dxa"/>
            <w:vMerge w:val="continue"/>
          </w:tcPr>
          <w:p>
            <w:pPr>
              <w:numPr>
                <w:ilvl w:val="0"/>
                <w:numId w:val="2"/>
              </w:numPr>
              <w:spacing w:line="360" w:lineRule="auto"/>
              <w:rPr>
                <w:rFonts w:ascii="宋体" w:hAnsi="宋体"/>
                <w:szCs w:val="21"/>
              </w:rPr>
            </w:pPr>
          </w:p>
        </w:tc>
        <w:tc>
          <w:tcPr>
            <w:tcW w:w="2979" w:type="dxa"/>
          </w:tcPr>
          <w:p>
            <w:pPr>
              <w:numPr>
                <w:ilvl w:val="0"/>
                <w:numId w:val="2"/>
              </w:numPr>
              <w:spacing w:line="360" w:lineRule="auto"/>
              <w:rPr>
                <w:rFonts w:ascii="宋体" w:hAnsi="宋体"/>
                <w:szCs w:val="21"/>
              </w:rPr>
            </w:pPr>
            <w:r>
              <w:rPr>
                <w:rFonts w:hint="eastAsia" w:ascii="宋体" w:hAnsi="宋体"/>
                <w:szCs w:val="21"/>
              </w:rPr>
              <w:t>熟悉费用</w:t>
            </w:r>
            <w:r>
              <w:rPr>
                <w:rFonts w:ascii="宋体" w:hAnsi="宋体"/>
                <w:szCs w:val="21"/>
              </w:rPr>
              <w:t>报销的基本概念、流程和应用场景</w:t>
            </w:r>
          </w:p>
          <w:p>
            <w:pPr>
              <w:numPr>
                <w:ilvl w:val="0"/>
                <w:numId w:val="2"/>
              </w:numPr>
              <w:spacing w:line="360" w:lineRule="auto"/>
              <w:rPr>
                <w:rFonts w:ascii="宋体" w:hAnsi="宋体"/>
                <w:szCs w:val="21"/>
              </w:rPr>
            </w:pPr>
            <w:r>
              <w:rPr>
                <w:rFonts w:hint="eastAsia" w:ascii="宋体" w:hAnsi="宋体"/>
                <w:szCs w:val="21"/>
              </w:rPr>
              <w:t>理解费用</w:t>
            </w:r>
            <w:r>
              <w:rPr>
                <w:rFonts w:ascii="宋体" w:hAnsi="宋体"/>
                <w:szCs w:val="21"/>
              </w:rPr>
              <w:t>控制的要点</w:t>
            </w:r>
          </w:p>
          <w:p>
            <w:pPr>
              <w:numPr>
                <w:ilvl w:val="0"/>
                <w:numId w:val="2"/>
              </w:numPr>
              <w:spacing w:line="360" w:lineRule="auto"/>
              <w:rPr>
                <w:rFonts w:ascii="宋体" w:hAnsi="宋体"/>
                <w:szCs w:val="21"/>
              </w:rPr>
            </w:pPr>
            <w:r>
              <w:rPr>
                <w:rFonts w:hint="eastAsia" w:ascii="宋体" w:hAnsi="宋体"/>
                <w:szCs w:val="21"/>
              </w:rPr>
              <w:t>熟悉差旅</w:t>
            </w:r>
            <w:r>
              <w:rPr>
                <w:rFonts w:ascii="宋体" w:hAnsi="宋体"/>
                <w:szCs w:val="21"/>
              </w:rPr>
              <w:t>费报销的应用场景</w:t>
            </w:r>
          </w:p>
          <w:p>
            <w:pPr>
              <w:numPr>
                <w:ilvl w:val="0"/>
                <w:numId w:val="2"/>
              </w:numPr>
              <w:spacing w:line="360" w:lineRule="auto"/>
              <w:rPr>
                <w:rFonts w:ascii="宋体" w:hAnsi="宋体"/>
                <w:szCs w:val="21"/>
              </w:rPr>
            </w:pPr>
            <w:r>
              <w:rPr>
                <w:rFonts w:hint="eastAsia" w:ascii="宋体" w:hAnsi="宋体"/>
                <w:szCs w:val="21"/>
              </w:rPr>
              <w:t>理解</w:t>
            </w:r>
            <w:r>
              <w:rPr>
                <w:rFonts w:ascii="宋体" w:hAnsi="宋体"/>
                <w:szCs w:val="21"/>
              </w:rPr>
              <w:t>智能商旅的概念和对企业的价值</w:t>
            </w:r>
          </w:p>
          <w:p>
            <w:pPr>
              <w:numPr>
                <w:ilvl w:val="0"/>
                <w:numId w:val="2"/>
              </w:numPr>
              <w:spacing w:line="360" w:lineRule="auto"/>
              <w:rPr>
                <w:rFonts w:ascii="宋体" w:hAnsi="宋体"/>
                <w:szCs w:val="21"/>
              </w:rPr>
            </w:pPr>
            <w:r>
              <w:rPr>
                <w:rFonts w:hint="eastAsia" w:ascii="宋体" w:hAnsi="宋体"/>
                <w:szCs w:val="21"/>
              </w:rPr>
              <w:t>了解</w:t>
            </w:r>
            <w:r>
              <w:rPr>
                <w:rFonts w:ascii="宋体" w:hAnsi="宋体"/>
                <w:szCs w:val="21"/>
              </w:rPr>
              <w:t>商旅服务协议的内容</w:t>
            </w:r>
          </w:p>
          <w:p>
            <w:pPr>
              <w:numPr>
                <w:ilvl w:val="0"/>
                <w:numId w:val="2"/>
              </w:numPr>
              <w:spacing w:line="360" w:lineRule="auto"/>
              <w:rPr>
                <w:rFonts w:ascii="宋体" w:hAnsi="宋体"/>
                <w:szCs w:val="21"/>
              </w:rPr>
            </w:pPr>
            <w:r>
              <w:rPr>
                <w:rFonts w:hint="eastAsia" w:ascii="宋体" w:hAnsi="宋体"/>
                <w:szCs w:val="21"/>
              </w:rPr>
              <w:t>理解专项费用</w:t>
            </w:r>
            <w:r>
              <w:rPr>
                <w:rFonts w:ascii="宋体" w:hAnsi="宋体"/>
                <w:szCs w:val="21"/>
              </w:rPr>
              <w:t>报销</w:t>
            </w:r>
            <w:r>
              <w:rPr>
                <w:rFonts w:hint="eastAsia" w:ascii="宋体" w:hAnsi="宋体"/>
                <w:szCs w:val="21"/>
              </w:rPr>
              <w:t>和</w:t>
            </w:r>
            <w:r>
              <w:rPr>
                <w:rFonts w:ascii="宋体" w:hAnsi="宋体"/>
                <w:szCs w:val="21"/>
              </w:rPr>
              <w:t>跨组织费用分摊的应用场景</w:t>
            </w:r>
          </w:p>
        </w:tc>
        <w:tc>
          <w:tcPr>
            <w:tcW w:w="2977" w:type="dxa"/>
          </w:tcPr>
          <w:p>
            <w:pPr>
              <w:numPr>
                <w:ilvl w:val="0"/>
                <w:numId w:val="2"/>
              </w:numPr>
              <w:spacing w:line="360" w:lineRule="auto"/>
              <w:rPr>
                <w:rFonts w:ascii="宋体" w:hAnsi="宋体"/>
                <w:szCs w:val="21"/>
              </w:rPr>
            </w:pPr>
            <w:r>
              <w:rPr>
                <w:rFonts w:hint="eastAsia" w:ascii="宋体" w:hAnsi="宋体"/>
                <w:szCs w:val="21"/>
              </w:rPr>
              <w:t>能够阅读企业</w:t>
            </w:r>
            <w:r>
              <w:rPr>
                <w:rFonts w:ascii="宋体" w:hAnsi="宋体"/>
                <w:szCs w:val="21"/>
              </w:rPr>
              <w:t>财务</w:t>
            </w:r>
            <w:r>
              <w:rPr>
                <w:rFonts w:hint="eastAsia" w:ascii="宋体" w:hAnsi="宋体"/>
                <w:szCs w:val="21"/>
              </w:rPr>
              <w:t>报销</w:t>
            </w:r>
            <w:r>
              <w:rPr>
                <w:rFonts w:ascii="宋体" w:hAnsi="宋体"/>
                <w:szCs w:val="21"/>
              </w:rPr>
              <w:t>制度并整理出差旅费用报销相关规定</w:t>
            </w:r>
          </w:p>
          <w:p>
            <w:pPr>
              <w:numPr>
                <w:ilvl w:val="0"/>
                <w:numId w:val="2"/>
              </w:numPr>
              <w:spacing w:line="360" w:lineRule="auto"/>
              <w:rPr>
                <w:rFonts w:ascii="宋体" w:hAnsi="宋体"/>
                <w:szCs w:val="21"/>
              </w:rPr>
            </w:pPr>
            <w:r>
              <w:rPr>
                <w:rFonts w:hint="eastAsia" w:ascii="宋体" w:hAnsi="宋体"/>
                <w:szCs w:val="21"/>
              </w:rPr>
              <w:t>能够</w:t>
            </w:r>
            <w:r>
              <w:rPr>
                <w:rFonts w:ascii="宋体" w:hAnsi="宋体"/>
                <w:szCs w:val="21"/>
              </w:rPr>
              <w:t>用</w:t>
            </w:r>
            <w:r>
              <w:rPr>
                <w:rFonts w:hint="eastAsia" w:ascii="宋体" w:hAnsi="宋体"/>
                <w:szCs w:val="21"/>
              </w:rPr>
              <w:t>Visio工具</w:t>
            </w:r>
            <w:r>
              <w:rPr>
                <w:rFonts w:ascii="宋体" w:hAnsi="宋体"/>
                <w:szCs w:val="21"/>
              </w:rPr>
              <w:t>绘制跨职能流程图</w:t>
            </w:r>
          </w:p>
          <w:p>
            <w:pPr>
              <w:numPr>
                <w:ilvl w:val="0"/>
                <w:numId w:val="2"/>
              </w:numPr>
              <w:spacing w:line="360" w:lineRule="auto"/>
              <w:rPr>
                <w:rFonts w:ascii="宋体" w:hAnsi="宋体"/>
                <w:szCs w:val="21"/>
              </w:rPr>
            </w:pPr>
            <w:r>
              <w:rPr>
                <w:rFonts w:hint="eastAsia" w:ascii="宋体" w:hAnsi="宋体"/>
                <w:szCs w:val="21"/>
              </w:rPr>
              <w:t>能够用Visio</w:t>
            </w:r>
            <w:r>
              <w:rPr>
                <w:rFonts w:ascii="宋体" w:hAnsi="宋体"/>
                <w:szCs w:val="21"/>
              </w:rPr>
              <w:t>绘制</w:t>
            </w:r>
            <w:r>
              <w:rPr>
                <w:rFonts w:hint="eastAsia" w:ascii="宋体" w:hAnsi="宋体"/>
                <w:szCs w:val="21"/>
              </w:rPr>
              <w:t>鸿途</w:t>
            </w:r>
            <w:r>
              <w:rPr>
                <w:rFonts w:ascii="宋体" w:hAnsi="宋体"/>
                <w:szCs w:val="21"/>
              </w:rPr>
              <w:t>集团共享前和共享后的差旅费报销流程图</w:t>
            </w:r>
          </w:p>
          <w:p>
            <w:pPr>
              <w:numPr>
                <w:ilvl w:val="0"/>
                <w:numId w:val="2"/>
              </w:numPr>
              <w:spacing w:line="360" w:lineRule="auto"/>
              <w:rPr>
                <w:rFonts w:ascii="宋体" w:hAnsi="宋体"/>
                <w:szCs w:val="21"/>
              </w:rPr>
            </w:pPr>
            <w:r>
              <w:rPr>
                <w:rFonts w:hint="eastAsia" w:ascii="宋体" w:hAnsi="宋体"/>
                <w:szCs w:val="21"/>
              </w:rPr>
              <w:t>能够</w:t>
            </w:r>
            <w:r>
              <w:rPr>
                <w:rFonts w:ascii="宋体" w:hAnsi="宋体"/>
                <w:szCs w:val="21"/>
              </w:rPr>
              <w:t>在</w:t>
            </w:r>
            <w:r>
              <w:rPr>
                <w:rFonts w:hint="eastAsia" w:ascii="宋体" w:hAnsi="宋体"/>
                <w:szCs w:val="21"/>
              </w:rPr>
              <w:t>用友NCC中</w:t>
            </w:r>
            <w:r>
              <w:rPr>
                <w:rFonts w:ascii="宋体" w:hAnsi="宋体"/>
                <w:szCs w:val="21"/>
              </w:rPr>
              <w:t>利用测试用例</w:t>
            </w:r>
            <w:r>
              <w:rPr>
                <w:rFonts w:hint="eastAsia" w:ascii="宋体" w:hAnsi="宋体"/>
                <w:szCs w:val="21"/>
              </w:rPr>
              <w:t>完成差旅</w:t>
            </w:r>
            <w:r>
              <w:rPr>
                <w:rFonts w:ascii="宋体" w:hAnsi="宋体"/>
                <w:szCs w:val="21"/>
              </w:rPr>
              <w:t>费用报销的</w:t>
            </w:r>
            <w:r>
              <w:rPr>
                <w:rFonts w:hint="eastAsia" w:ascii="宋体" w:hAnsi="宋体"/>
                <w:szCs w:val="21"/>
              </w:rPr>
              <w:t>完整</w:t>
            </w:r>
            <w:r>
              <w:rPr>
                <w:rFonts w:ascii="宋体" w:hAnsi="宋体"/>
                <w:szCs w:val="21"/>
              </w:rPr>
              <w:t>流程</w:t>
            </w:r>
          </w:p>
          <w:p>
            <w:pPr>
              <w:numPr>
                <w:ilvl w:val="0"/>
                <w:numId w:val="2"/>
              </w:numPr>
              <w:spacing w:line="360" w:lineRule="auto"/>
              <w:rPr>
                <w:rFonts w:ascii="宋体" w:hAnsi="宋体"/>
                <w:szCs w:val="21"/>
              </w:rPr>
            </w:pPr>
            <w:r>
              <w:rPr>
                <w:rFonts w:hint="eastAsia" w:ascii="宋体" w:hAnsi="宋体"/>
                <w:szCs w:val="21"/>
              </w:rPr>
              <w:t>能够</w:t>
            </w:r>
            <w:r>
              <w:rPr>
                <w:rFonts w:ascii="宋体" w:hAnsi="宋体"/>
                <w:szCs w:val="21"/>
              </w:rPr>
              <w:t>用测试用例</w:t>
            </w:r>
            <w:r>
              <w:rPr>
                <w:rFonts w:hint="eastAsia" w:ascii="宋体" w:hAnsi="宋体"/>
                <w:szCs w:val="21"/>
              </w:rPr>
              <w:t>、</w:t>
            </w:r>
            <w:r>
              <w:rPr>
                <w:rFonts w:ascii="宋体" w:hAnsi="宋体"/>
                <w:szCs w:val="21"/>
              </w:rPr>
              <w:t>手机</w:t>
            </w:r>
            <w:r>
              <w:rPr>
                <w:rFonts w:hint="eastAsia" w:ascii="宋体" w:hAnsi="宋体"/>
                <w:szCs w:val="21"/>
              </w:rPr>
              <w:t>APP、</w:t>
            </w:r>
            <w:r>
              <w:rPr>
                <w:rFonts w:ascii="宋体" w:hAnsi="宋体"/>
                <w:szCs w:val="21"/>
              </w:rPr>
              <w:t>用友</w:t>
            </w:r>
            <w:r>
              <w:rPr>
                <w:rFonts w:hint="eastAsia" w:ascii="宋体" w:hAnsi="宋体"/>
                <w:szCs w:val="21"/>
              </w:rPr>
              <w:t>NCC完成商旅服务的</w:t>
            </w:r>
            <w:r>
              <w:rPr>
                <w:rFonts w:ascii="宋体" w:hAnsi="宋体"/>
                <w:szCs w:val="21"/>
              </w:rPr>
              <w:t>完整流程</w:t>
            </w:r>
          </w:p>
          <w:p>
            <w:pPr>
              <w:numPr>
                <w:ilvl w:val="0"/>
                <w:numId w:val="2"/>
              </w:numPr>
              <w:spacing w:line="360" w:lineRule="auto"/>
              <w:rPr>
                <w:rFonts w:ascii="宋体" w:hAnsi="宋体"/>
                <w:szCs w:val="21"/>
              </w:rPr>
            </w:pPr>
            <w:r>
              <w:rPr>
                <w:rFonts w:hint="eastAsia" w:ascii="宋体" w:hAnsi="宋体"/>
                <w:szCs w:val="21"/>
              </w:rPr>
              <w:t>能够用Visio</w:t>
            </w:r>
            <w:r>
              <w:rPr>
                <w:rFonts w:ascii="宋体" w:hAnsi="宋体"/>
                <w:szCs w:val="21"/>
              </w:rPr>
              <w:t>绘制</w:t>
            </w:r>
            <w:r>
              <w:rPr>
                <w:rFonts w:hint="eastAsia" w:ascii="宋体" w:hAnsi="宋体"/>
                <w:szCs w:val="21"/>
              </w:rPr>
              <w:t>鸿途</w:t>
            </w:r>
            <w:r>
              <w:rPr>
                <w:rFonts w:ascii="宋体" w:hAnsi="宋体"/>
                <w:szCs w:val="21"/>
              </w:rPr>
              <w:t>集团共享前和共享后</w:t>
            </w:r>
            <w:r>
              <w:rPr>
                <w:rFonts w:hint="eastAsia" w:ascii="宋体" w:hAnsi="宋体"/>
                <w:szCs w:val="21"/>
              </w:rPr>
              <w:t>专项费用跨组织</w:t>
            </w:r>
            <w:r>
              <w:rPr>
                <w:rFonts w:ascii="宋体" w:hAnsi="宋体"/>
                <w:szCs w:val="21"/>
              </w:rPr>
              <w:t>分摊的报销流程图</w:t>
            </w:r>
          </w:p>
          <w:p>
            <w:pPr>
              <w:numPr>
                <w:ilvl w:val="0"/>
                <w:numId w:val="2"/>
              </w:numPr>
              <w:spacing w:line="360" w:lineRule="auto"/>
              <w:rPr>
                <w:rFonts w:ascii="宋体" w:hAnsi="宋体"/>
                <w:szCs w:val="21"/>
              </w:rPr>
            </w:pPr>
            <w:r>
              <w:rPr>
                <w:rFonts w:hint="eastAsia" w:ascii="宋体" w:hAnsi="宋体"/>
                <w:szCs w:val="21"/>
              </w:rPr>
              <w:t>能够</w:t>
            </w:r>
            <w:r>
              <w:rPr>
                <w:rFonts w:ascii="宋体" w:hAnsi="宋体"/>
                <w:szCs w:val="21"/>
              </w:rPr>
              <w:t>在</w:t>
            </w:r>
            <w:r>
              <w:rPr>
                <w:rFonts w:hint="eastAsia" w:ascii="宋体" w:hAnsi="宋体"/>
                <w:szCs w:val="21"/>
              </w:rPr>
              <w:t>用友NCC中</w:t>
            </w:r>
            <w:r>
              <w:rPr>
                <w:rFonts w:ascii="宋体" w:hAnsi="宋体"/>
                <w:szCs w:val="21"/>
              </w:rPr>
              <w:t>利用测试用例</w:t>
            </w:r>
            <w:r>
              <w:rPr>
                <w:rFonts w:hint="eastAsia" w:ascii="宋体" w:hAnsi="宋体"/>
                <w:szCs w:val="21"/>
              </w:rPr>
              <w:t>完成专项</w:t>
            </w:r>
            <w:r>
              <w:rPr>
                <w:rFonts w:ascii="宋体" w:hAnsi="宋体"/>
                <w:szCs w:val="21"/>
              </w:rPr>
              <w:t>费用报销</w:t>
            </w:r>
            <w:r>
              <w:rPr>
                <w:rFonts w:hint="eastAsia" w:ascii="宋体" w:hAnsi="宋体"/>
                <w:szCs w:val="21"/>
              </w:rPr>
              <w:t>和</w:t>
            </w:r>
            <w:r>
              <w:rPr>
                <w:rFonts w:ascii="宋体" w:hAnsi="宋体"/>
                <w:szCs w:val="21"/>
              </w:rPr>
              <w:t>跨组织分摊报销的</w:t>
            </w:r>
            <w:r>
              <w:rPr>
                <w:rFonts w:hint="eastAsia" w:ascii="宋体" w:hAnsi="宋体"/>
                <w:szCs w:val="21"/>
              </w:rPr>
              <w:t>完整</w:t>
            </w:r>
            <w:r>
              <w:rPr>
                <w:rFonts w:ascii="宋体" w:hAnsi="宋体"/>
                <w:szCs w:val="21"/>
              </w:rPr>
              <w:t>流程</w:t>
            </w:r>
          </w:p>
        </w:tc>
        <w:tc>
          <w:tcPr>
            <w:tcW w:w="851" w:type="dxa"/>
            <w:vAlign w:val="center"/>
          </w:tcPr>
          <w:p>
            <w:pPr>
              <w:spacing w:line="360" w:lineRule="auto"/>
              <w:jc w:val="center"/>
              <w:rPr>
                <w:rFonts w:ascii="宋体" w:hAnsi="宋体"/>
                <w:szCs w:val="21"/>
              </w:rPr>
            </w:pPr>
            <w:r>
              <w:rPr>
                <w:rFonts w:ascii="宋体" w:hAnsi="宋体"/>
                <w:szCs w:val="21"/>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1" w:hRule="atLeast"/>
          <w:jc w:val="center"/>
        </w:trPr>
        <w:tc>
          <w:tcPr>
            <w:tcW w:w="674" w:type="dxa"/>
            <w:vAlign w:val="center"/>
          </w:tcPr>
          <w:p>
            <w:pPr>
              <w:spacing w:line="360" w:lineRule="auto"/>
              <w:jc w:val="center"/>
              <w:rPr>
                <w:rFonts w:ascii="宋体" w:hAnsi="宋体"/>
                <w:szCs w:val="21"/>
              </w:rPr>
            </w:pPr>
            <w:r>
              <w:rPr>
                <w:rFonts w:hint="eastAsia" w:ascii="宋体" w:hAnsi="宋体"/>
                <w:szCs w:val="21"/>
              </w:rPr>
              <w:t>5</w:t>
            </w:r>
          </w:p>
        </w:tc>
        <w:tc>
          <w:tcPr>
            <w:tcW w:w="1445" w:type="dxa"/>
            <w:vAlign w:val="center"/>
          </w:tcPr>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采购-</w:t>
            </w:r>
            <w:r>
              <w:rPr>
                <w:rFonts w:asciiTheme="minorEastAsia" w:hAnsiTheme="minorEastAsia" w:eastAsiaTheme="minorEastAsia"/>
                <w:szCs w:val="21"/>
              </w:rPr>
              <w:t>应付共享业务处理</w:t>
            </w:r>
          </w:p>
        </w:tc>
        <w:tc>
          <w:tcPr>
            <w:tcW w:w="1134" w:type="dxa"/>
            <w:vMerge w:val="continue"/>
          </w:tcPr>
          <w:p>
            <w:pPr>
              <w:numPr>
                <w:ilvl w:val="0"/>
                <w:numId w:val="2"/>
              </w:numPr>
              <w:spacing w:line="360" w:lineRule="auto"/>
              <w:rPr>
                <w:rFonts w:ascii="宋体" w:hAnsi="宋体"/>
                <w:szCs w:val="21"/>
              </w:rPr>
            </w:pPr>
          </w:p>
        </w:tc>
        <w:tc>
          <w:tcPr>
            <w:tcW w:w="2979" w:type="dxa"/>
          </w:tcPr>
          <w:p>
            <w:pPr>
              <w:numPr>
                <w:ilvl w:val="0"/>
                <w:numId w:val="2"/>
              </w:numPr>
              <w:spacing w:line="360" w:lineRule="auto"/>
              <w:rPr>
                <w:rFonts w:ascii="宋体" w:hAnsi="宋体"/>
                <w:szCs w:val="21"/>
              </w:rPr>
            </w:pPr>
            <w:r>
              <w:rPr>
                <w:rFonts w:hint="eastAsia" w:ascii="宋体" w:hAnsi="宋体"/>
                <w:szCs w:val="21"/>
              </w:rPr>
              <w:t>熟悉采购到付款业务的一般概念</w:t>
            </w:r>
          </w:p>
          <w:p>
            <w:pPr>
              <w:numPr>
                <w:ilvl w:val="0"/>
                <w:numId w:val="2"/>
              </w:numPr>
              <w:spacing w:line="360" w:lineRule="auto"/>
              <w:rPr>
                <w:rFonts w:ascii="宋体" w:hAnsi="宋体"/>
                <w:szCs w:val="21"/>
              </w:rPr>
            </w:pPr>
            <w:r>
              <w:rPr>
                <w:rFonts w:hint="eastAsia" w:ascii="宋体" w:hAnsi="宋体"/>
                <w:szCs w:val="21"/>
              </w:rPr>
              <w:t>理解不同采购场景</w:t>
            </w:r>
          </w:p>
          <w:p>
            <w:pPr>
              <w:numPr>
                <w:ilvl w:val="0"/>
                <w:numId w:val="2"/>
              </w:numPr>
              <w:spacing w:line="360" w:lineRule="auto"/>
              <w:rPr>
                <w:rFonts w:ascii="宋体" w:hAnsi="宋体"/>
                <w:szCs w:val="21"/>
              </w:rPr>
            </w:pPr>
            <w:r>
              <w:rPr>
                <w:rFonts w:hint="eastAsia" w:ascii="宋体" w:hAnsi="宋体"/>
                <w:szCs w:val="21"/>
              </w:rPr>
              <w:t>熟悉采购</w:t>
            </w:r>
            <w:r>
              <w:rPr>
                <w:rFonts w:ascii="宋体" w:hAnsi="宋体"/>
                <w:szCs w:val="21"/>
              </w:rPr>
              <w:t>到付款业务的</w:t>
            </w:r>
            <w:r>
              <w:rPr>
                <w:rFonts w:hint="eastAsia" w:ascii="宋体" w:hAnsi="宋体"/>
                <w:szCs w:val="21"/>
              </w:rPr>
              <w:t>共性流程</w:t>
            </w:r>
          </w:p>
          <w:p>
            <w:pPr>
              <w:numPr>
                <w:ilvl w:val="0"/>
                <w:numId w:val="2"/>
              </w:numPr>
              <w:spacing w:line="360" w:lineRule="auto"/>
              <w:rPr>
                <w:rFonts w:ascii="宋体" w:hAnsi="宋体"/>
                <w:szCs w:val="21"/>
              </w:rPr>
            </w:pPr>
            <w:r>
              <w:rPr>
                <w:rFonts w:hint="eastAsia" w:ascii="宋体" w:hAnsi="宋体"/>
                <w:szCs w:val="21"/>
              </w:rPr>
              <w:t>理解鸿途集团的采购管理现状</w:t>
            </w:r>
          </w:p>
          <w:p>
            <w:pPr>
              <w:numPr>
                <w:ilvl w:val="0"/>
                <w:numId w:val="2"/>
              </w:numPr>
              <w:spacing w:line="360" w:lineRule="auto"/>
              <w:rPr>
                <w:rFonts w:ascii="宋体" w:hAnsi="宋体"/>
                <w:szCs w:val="21"/>
              </w:rPr>
            </w:pPr>
            <w:r>
              <w:rPr>
                <w:rFonts w:hint="eastAsia" w:ascii="宋体" w:hAnsi="宋体"/>
                <w:szCs w:val="21"/>
              </w:rPr>
              <w:t>熟悉鸿途集团</w:t>
            </w:r>
            <w:r>
              <w:rPr>
                <w:rFonts w:ascii="宋体" w:hAnsi="宋体"/>
                <w:szCs w:val="21"/>
              </w:rPr>
              <w:t>备品备件采购</w:t>
            </w:r>
            <w:r>
              <w:rPr>
                <w:rFonts w:hint="eastAsia" w:ascii="宋体" w:hAnsi="宋体"/>
                <w:szCs w:val="21"/>
              </w:rPr>
              <w:t>的</w:t>
            </w:r>
            <w:r>
              <w:rPr>
                <w:rFonts w:ascii="宋体" w:hAnsi="宋体"/>
                <w:szCs w:val="21"/>
              </w:rPr>
              <w:t>详细业务场景</w:t>
            </w:r>
          </w:p>
          <w:p>
            <w:pPr>
              <w:numPr>
                <w:ilvl w:val="0"/>
                <w:numId w:val="2"/>
              </w:numPr>
              <w:spacing w:line="360" w:lineRule="auto"/>
              <w:rPr>
                <w:rFonts w:ascii="宋体" w:hAnsi="宋体"/>
                <w:szCs w:val="21"/>
              </w:rPr>
            </w:pPr>
            <w:r>
              <w:rPr>
                <w:rFonts w:hint="eastAsia" w:ascii="宋体" w:hAnsi="宋体"/>
                <w:szCs w:val="21"/>
              </w:rPr>
              <w:t>理解案例</w:t>
            </w:r>
            <w:r>
              <w:rPr>
                <w:rFonts w:ascii="宋体" w:hAnsi="宋体"/>
                <w:szCs w:val="21"/>
              </w:rPr>
              <w:t>企业</w:t>
            </w:r>
            <w:r>
              <w:rPr>
                <w:rFonts w:hint="eastAsia" w:ascii="宋体" w:hAnsi="宋体"/>
                <w:szCs w:val="21"/>
              </w:rPr>
              <w:t>大宗原燃料采购的详细业务场景</w:t>
            </w:r>
          </w:p>
          <w:p>
            <w:pPr>
              <w:numPr>
                <w:ilvl w:val="0"/>
                <w:numId w:val="2"/>
              </w:numPr>
              <w:spacing w:line="360" w:lineRule="auto"/>
              <w:rPr>
                <w:rFonts w:ascii="宋体" w:hAnsi="宋体"/>
                <w:szCs w:val="21"/>
              </w:rPr>
            </w:pPr>
            <w:r>
              <w:rPr>
                <w:rFonts w:hint="eastAsia" w:ascii="宋体" w:hAnsi="宋体"/>
                <w:szCs w:val="21"/>
              </w:rPr>
              <w:t>掌握鸿途集团原燃料采购到付款的流程现状</w:t>
            </w:r>
          </w:p>
        </w:tc>
        <w:tc>
          <w:tcPr>
            <w:tcW w:w="2977" w:type="dxa"/>
          </w:tcPr>
          <w:p>
            <w:pPr>
              <w:numPr>
                <w:ilvl w:val="0"/>
                <w:numId w:val="2"/>
              </w:numPr>
              <w:spacing w:line="360" w:lineRule="auto"/>
              <w:rPr>
                <w:rFonts w:ascii="宋体" w:hAnsi="宋体"/>
                <w:szCs w:val="21"/>
              </w:rPr>
            </w:pPr>
            <w:r>
              <w:rPr>
                <w:rFonts w:hint="eastAsia" w:ascii="宋体" w:hAnsi="宋体"/>
                <w:szCs w:val="21"/>
              </w:rPr>
              <w:t>能够用Visio</w:t>
            </w:r>
            <w:r>
              <w:rPr>
                <w:rFonts w:ascii="宋体" w:hAnsi="宋体"/>
                <w:szCs w:val="21"/>
              </w:rPr>
              <w:t>绘制</w:t>
            </w:r>
            <w:r>
              <w:rPr>
                <w:rFonts w:hint="eastAsia" w:ascii="宋体" w:hAnsi="宋体"/>
                <w:szCs w:val="21"/>
              </w:rPr>
              <w:t>鸿途</w:t>
            </w:r>
            <w:r>
              <w:rPr>
                <w:rFonts w:ascii="宋体" w:hAnsi="宋体"/>
                <w:szCs w:val="21"/>
              </w:rPr>
              <w:t>集团共享前和共享后</w:t>
            </w:r>
            <w:r>
              <w:rPr>
                <w:rFonts w:hint="eastAsia" w:ascii="宋体" w:hAnsi="宋体"/>
                <w:szCs w:val="21"/>
              </w:rPr>
              <w:t>备品备件采购</w:t>
            </w:r>
            <w:r>
              <w:rPr>
                <w:rFonts w:ascii="宋体" w:hAnsi="宋体"/>
                <w:szCs w:val="21"/>
              </w:rPr>
              <w:t>的端到端流程图</w:t>
            </w:r>
          </w:p>
          <w:p>
            <w:pPr>
              <w:numPr>
                <w:ilvl w:val="0"/>
                <w:numId w:val="2"/>
              </w:numPr>
              <w:spacing w:line="360" w:lineRule="auto"/>
              <w:rPr>
                <w:rFonts w:ascii="宋体" w:hAnsi="宋体"/>
                <w:szCs w:val="21"/>
              </w:rPr>
            </w:pPr>
            <w:r>
              <w:rPr>
                <w:rFonts w:hint="eastAsia" w:ascii="宋体" w:hAnsi="宋体"/>
                <w:szCs w:val="21"/>
              </w:rPr>
              <w:t>能够</w:t>
            </w:r>
            <w:r>
              <w:rPr>
                <w:rFonts w:ascii="宋体" w:hAnsi="宋体"/>
                <w:szCs w:val="21"/>
              </w:rPr>
              <w:t>在</w:t>
            </w:r>
            <w:r>
              <w:rPr>
                <w:rFonts w:hint="eastAsia" w:ascii="宋体" w:hAnsi="宋体"/>
                <w:szCs w:val="21"/>
              </w:rPr>
              <w:t>用友NCC中</w:t>
            </w:r>
            <w:r>
              <w:rPr>
                <w:rFonts w:ascii="宋体" w:hAnsi="宋体"/>
                <w:szCs w:val="21"/>
              </w:rPr>
              <w:t>利用测试用例</w:t>
            </w:r>
            <w:r>
              <w:rPr>
                <w:rFonts w:hint="eastAsia" w:ascii="宋体" w:hAnsi="宋体"/>
                <w:szCs w:val="21"/>
              </w:rPr>
              <w:t>完成鸿途集团备品</w:t>
            </w:r>
            <w:r>
              <w:rPr>
                <w:rFonts w:ascii="宋体" w:hAnsi="宋体"/>
                <w:szCs w:val="21"/>
              </w:rPr>
              <w:t>备件采购的</w:t>
            </w:r>
            <w:r>
              <w:rPr>
                <w:rFonts w:hint="eastAsia" w:ascii="宋体" w:hAnsi="宋体"/>
                <w:szCs w:val="21"/>
              </w:rPr>
              <w:t>端到端</w:t>
            </w:r>
            <w:r>
              <w:rPr>
                <w:rFonts w:ascii="宋体" w:hAnsi="宋体"/>
                <w:szCs w:val="21"/>
              </w:rPr>
              <w:t>流程</w:t>
            </w:r>
          </w:p>
          <w:p>
            <w:pPr>
              <w:numPr>
                <w:ilvl w:val="0"/>
                <w:numId w:val="2"/>
              </w:numPr>
              <w:spacing w:line="360" w:lineRule="auto"/>
              <w:rPr>
                <w:rFonts w:ascii="宋体" w:hAnsi="宋体"/>
                <w:szCs w:val="21"/>
              </w:rPr>
            </w:pPr>
            <w:r>
              <w:rPr>
                <w:rFonts w:hint="eastAsia" w:ascii="宋体" w:hAnsi="宋体"/>
                <w:szCs w:val="21"/>
              </w:rPr>
              <w:t>能够用Visio</w:t>
            </w:r>
            <w:r>
              <w:rPr>
                <w:rFonts w:ascii="宋体" w:hAnsi="宋体"/>
                <w:szCs w:val="21"/>
              </w:rPr>
              <w:t>绘制</w:t>
            </w:r>
            <w:r>
              <w:rPr>
                <w:rFonts w:hint="eastAsia" w:ascii="宋体" w:hAnsi="宋体"/>
                <w:szCs w:val="21"/>
              </w:rPr>
              <w:t>鸿途</w:t>
            </w:r>
            <w:r>
              <w:rPr>
                <w:rFonts w:ascii="宋体" w:hAnsi="宋体"/>
                <w:szCs w:val="21"/>
              </w:rPr>
              <w:t>集团共享前和共享后</w:t>
            </w:r>
            <w:r>
              <w:rPr>
                <w:rFonts w:hint="eastAsia" w:ascii="宋体" w:hAnsi="宋体"/>
                <w:szCs w:val="21"/>
              </w:rPr>
              <w:t>大宗原燃料采购</w:t>
            </w:r>
            <w:r>
              <w:rPr>
                <w:rFonts w:ascii="宋体" w:hAnsi="宋体"/>
                <w:szCs w:val="21"/>
              </w:rPr>
              <w:t>的端到端流程图</w:t>
            </w:r>
          </w:p>
          <w:p>
            <w:pPr>
              <w:numPr>
                <w:ilvl w:val="0"/>
                <w:numId w:val="2"/>
              </w:numPr>
              <w:spacing w:line="360" w:lineRule="auto"/>
              <w:rPr>
                <w:rFonts w:ascii="宋体" w:hAnsi="宋体"/>
                <w:szCs w:val="21"/>
              </w:rPr>
            </w:pPr>
            <w:r>
              <w:rPr>
                <w:rFonts w:hint="eastAsia" w:ascii="宋体" w:hAnsi="宋体"/>
                <w:szCs w:val="21"/>
              </w:rPr>
              <w:t>能够</w:t>
            </w:r>
            <w:r>
              <w:rPr>
                <w:rFonts w:ascii="宋体" w:hAnsi="宋体"/>
                <w:szCs w:val="21"/>
              </w:rPr>
              <w:t>在</w:t>
            </w:r>
            <w:r>
              <w:rPr>
                <w:rFonts w:hint="eastAsia" w:ascii="宋体" w:hAnsi="宋体"/>
                <w:szCs w:val="21"/>
              </w:rPr>
              <w:t>用友NCC中</w:t>
            </w:r>
            <w:r>
              <w:rPr>
                <w:rFonts w:ascii="宋体" w:hAnsi="宋体"/>
                <w:szCs w:val="21"/>
              </w:rPr>
              <w:t>利用测试用例</w:t>
            </w:r>
            <w:r>
              <w:rPr>
                <w:rFonts w:hint="eastAsia" w:ascii="宋体" w:hAnsi="宋体"/>
                <w:szCs w:val="21"/>
              </w:rPr>
              <w:t>完成鸿途集团原燃料</w:t>
            </w:r>
            <w:r>
              <w:rPr>
                <w:rFonts w:ascii="宋体" w:hAnsi="宋体"/>
                <w:szCs w:val="21"/>
              </w:rPr>
              <w:t>采购的</w:t>
            </w:r>
            <w:r>
              <w:rPr>
                <w:rFonts w:hint="eastAsia" w:ascii="宋体" w:hAnsi="宋体"/>
                <w:szCs w:val="21"/>
              </w:rPr>
              <w:t>端到端</w:t>
            </w:r>
            <w:r>
              <w:rPr>
                <w:rFonts w:ascii="宋体" w:hAnsi="宋体"/>
                <w:szCs w:val="21"/>
              </w:rPr>
              <w:t>流程</w:t>
            </w:r>
          </w:p>
        </w:tc>
        <w:tc>
          <w:tcPr>
            <w:tcW w:w="851" w:type="dxa"/>
            <w:vAlign w:val="center"/>
          </w:tcPr>
          <w:p>
            <w:pPr>
              <w:spacing w:line="360" w:lineRule="auto"/>
              <w:jc w:val="center"/>
              <w:rPr>
                <w:rFonts w:ascii="宋体" w:hAnsi="宋体"/>
                <w:szCs w:val="21"/>
              </w:rPr>
            </w:pPr>
            <w:r>
              <w:rPr>
                <w:rFonts w:ascii="宋体" w:hAnsi="宋体"/>
                <w:szCs w:val="21"/>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1" w:hRule="atLeast"/>
          <w:jc w:val="center"/>
        </w:trPr>
        <w:tc>
          <w:tcPr>
            <w:tcW w:w="674" w:type="dxa"/>
            <w:vAlign w:val="center"/>
          </w:tcPr>
          <w:p>
            <w:pPr>
              <w:spacing w:line="360" w:lineRule="auto"/>
              <w:jc w:val="center"/>
              <w:rPr>
                <w:rFonts w:ascii="宋体" w:hAnsi="宋体"/>
                <w:szCs w:val="21"/>
              </w:rPr>
            </w:pPr>
            <w:r>
              <w:rPr>
                <w:rFonts w:hint="eastAsia" w:ascii="宋体" w:hAnsi="宋体"/>
                <w:szCs w:val="21"/>
              </w:rPr>
              <w:t>6</w:t>
            </w:r>
          </w:p>
        </w:tc>
        <w:tc>
          <w:tcPr>
            <w:tcW w:w="1445" w:type="dxa"/>
            <w:vAlign w:val="center"/>
          </w:tcPr>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销售-</w:t>
            </w:r>
            <w:r>
              <w:rPr>
                <w:rFonts w:asciiTheme="minorEastAsia" w:hAnsiTheme="minorEastAsia" w:eastAsiaTheme="minorEastAsia"/>
                <w:szCs w:val="21"/>
              </w:rPr>
              <w:t>应收业务</w:t>
            </w:r>
            <w:r>
              <w:rPr>
                <w:rFonts w:hint="eastAsia" w:asciiTheme="minorEastAsia" w:hAnsiTheme="minorEastAsia" w:eastAsiaTheme="minorEastAsia"/>
                <w:szCs w:val="21"/>
              </w:rPr>
              <w:t>处理</w:t>
            </w:r>
          </w:p>
        </w:tc>
        <w:tc>
          <w:tcPr>
            <w:tcW w:w="1134" w:type="dxa"/>
            <w:vMerge w:val="continue"/>
          </w:tcPr>
          <w:p>
            <w:pPr>
              <w:numPr>
                <w:ilvl w:val="0"/>
                <w:numId w:val="2"/>
              </w:numPr>
              <w:spacing w:line="360" w:lineRule="auto"/>
              <w:rPr>
                <w:rFonts w:ascii="宋体" w:hAnsi="宋体"/>
                <w:szCs w:val="21"/>
              </w:rPr>
            </w:pPr>
          </w:p>
        </w:tc>
        <w:tc>
          <w:tcPr>
            <w:tcW w:w="2979" w:type="dxa"/>
          </w:tcPr>
          <w:p>
            <w:pPr>
              <w:numPr>
                <w:ilvl w:val="0"/>
                <w:numId w:val="2"/>
              </w:numPr>
              <w:spacing w:line="360" w:lineRule="auto"/>
              <w:rPr>
                <w:rFonts w:ascii="宋体" w:hAnsi="宋体"/>
                <w:szCs w:val="21"/>
              </w:rPr>
            </w:pPr>
            <w:r>
              <w:rPr>
                <w:rFonts w:hint="eastAsia" w:ascii="宋体" w:hAnsi="宋体"/>
                <w:szCs w:val="21"/>
              </w:rPr>
              <w:t>理解销售到收款业务的一般概念</w:t>
            </w:r>
          </w:p>
          <w:p>
            <w:pPr>
              <w:numPr>
                <w:ilvl w:val="0"/>
                <w:numId w:val="2"/>
              </w:numPr>
              <w:spacing w:line="360" w:lineRule="auto"/>
              <w:rPr>
                <w:rFonts w:ascii="宋体" w:hAnsi="宋体"/>
                <w:szCs w:val="21"/>
              </w:rPr>
            </w:pPr>
            <w:r>
              <w:rPr>
                <w:rFonts w:hint="eastAsia" w:ascii="宋体" w:hAnsi="宋体"/>
                <w:szCs w:val="21"/>
              </w:rPr>
              <w:t>理解不同销售场景和</w:t>
            </w:r>
            <w:r>
              <w:rPr>
                <w:rFonts w:ascii="宋体" w:hAnsi="宋体"/>
                <w:szCs w:val="21"/>
              </w:rPr>
              <w:t>共性流程</w:t>
            </w:r>
          </w:p>
          <w:p>
            <w:pPr>
              <w:numPr>
                <w:ilvl w:val="0"/>
                <w:numId w:val="2"/>
              </w:numPr>
              <w:spacing w:line="360" w:lineRule="auto"/>
              <w:rPr>
                <w:rFonts w:ascii="宋体" w:hAnsi="宋体"/>
                <w:szCs w:val="21"/>
              </w:rPr>
            </w:pPr>
            <w:r>
              <w:rPr>
                <w:rFonts w:hint="eastAsia" w:ascii="宋体" w:hAnsi="宋体"/>
                <w:szCs w:val="21"/>
              </w:rPr>
              <w:t>理解鸿途集团的销售管理现状</w:t>
            </w:r>
          </w:p>
          <w:p>
            <w:pPr>
              <w:numPr>
                <w:ilvl w:val="0"/>
                <w:numId w:val="2"/>
              </w:numPr>
              <w:spacing w:line="360" w:lineRule="auto"/>
              <w:rPr>
                <w:rFonts w:ascii="宋体" w:hAnsi="宋体"/>
                <w:szCs w:val="21"/>
              </w:rPr>
            </w:pPr>
            <w:r>
              <w:rPr>
                <w:rFonts w:hint="eastAsia" w:ascii="宋体" w:hAnsi="宋体"/>
                <w:szCs w:val="21"/>
              </w:rPr>
              <w:t>熟悉鸿途</w:t>
            </w:r>
            <w:r>
              <w:rPr>
                <w:rFonts w:ascii="宋体" w:hAnsi="宋体"/>
                <w:szCs w:val="21"/>
              </w:rPr>
              <w:t>集团</w:t>
            </w:r>
            <w:r>
              <w:rPr>
                <w:rFonts w:hint="eastAsia" w:ascii="宋体" w:hAnsi="宋体"/>
                <w:szCs w:val="21"/>
              </w:rPr>
              <w:t>产成品销售和</w:t>
            </w:r>
            <w:r>
              <w:rPr>
                <w:rFonts w:ascii="宋体" w:hAnsi="宋体"/>
                <w:szCs w:val="21"/>
              </w:rPr>
              <w:t>其他商品销售</w:t>
            </w:r>
            <w:r>
              <w:rPr>
                <w:rFonts w:hint="eastAsia" w:ascii="宋体" w:hAnsi="宋体"/>
                <w:szCs w:val="21"/>
              </w:rPr>
              <w:t>的详细业务场景</w:t>
            </w:r>
          </w:p>
          <w:p>
            <w:pPr>
              <w:numPr>
                <w:ilvl w:val="0"/>
                <w:numId w:val="2"/>
              </w:numPr>
              <w:spacing w:line="360" w:lineRule="auto"/>
              <w:rPr>
                <w:rFonts w:ascii="宋体" w:hAnsi="宋体"/>
                <w:szCs w:val="21"/>
              </w:rPr>
            </w:pPr>
            <w:r>
              <w:rPr>
                <w:rFonts w:hint="eastAsia" w:ascii="宋体" w:hAnsi="宋体"/>
                <w:szCs w:val="21"/>
              </w:rPr>
              <w:t>熟悉鸿途集团产成品和</w:t>
            </w:r>
            <w:r>
              <w:rPr>
                <w:rFonts w:ascii="宋体" w:hAnsi="宋体"/>
                <w:szCs w:val="21"/>
              </w:rPr>
              <w:t>其他商品</w:t>
            </w:r>
            <w:r>
              <w:rPr>
                <w:rFonts w:hint="eastAsia" w:ascii="宋体" w:hAnsi="宋体"/>
                <w:szCs w:val="21"/>
              </w:rPr>
              <w:t>销售到收款的流程现状</w:t>
            </w:r>
          </w:p>
          <w:p>
            <w:pPr>
              <w:numPr>
                <w:ilvl w:val="0"/>
                <w:numId w:val="2"/>
              </w:numPr>
              <w:spacing w:line="360" w:lineRule="auto"/>
              <w:rPr>
                <w:rFonts w:ascii="宋体" w:hAnsi="宋体"/>
                <w:szCs w:val="21"/>
              </w:rPr>
            </w:pPr>
            <w:r>
              <w:rPr>
                <w:rFonts w:hint="eastAsia" w:ascii="宋体" w:hAnsi="宋体"/>
                <w:szCs w:val="21"/>
              </w:rPr>
              <w:t>熟悉电子</w:t>
            </w:r>
            <w:r>
              <w:rPr>
                <w:rFonts w:ascii="宋体" w:hAnsi="宋体"/>
                <w:szCs w:val="21"/>
              </w:rPr>
              <w:t>发票的概念</w:t>
            </w:r>
          </w:p>
        </w:tc>
        <w:tc>
          <w:tcPr>
            <w:tcW w:w="2977" w:type="dxa"/>
          </w:tcPr>
          <w:p>
            <w:pPr>
              <w:numPr>
                <w:ilvl w:val="0"/>
                <w:numId w:val="2"/>
              </w:numPr>
              <w:spacing w:line="360" w:lineRule="auto"/>
              <w:rPr>
                <w:rFonts w:ascii="宋体" w:hAnsi="宋体"/>
                <w:szCs w:val="21"/>
              </w:rPr>
            </w:pPr>
            <w:r>
              <w:rPr>
                <w:rFonts w:hint="eastAsia" w:ascii="宋体" w:hAnsi="宋体"/>
                <w:szCs w:val="21"/>
              </w:rPr>
              <w:t>能够用Visio</w:t>
            </w:r>
            <w:r>
              <w:rPr>
                <w:rFonts w:ascii="宋体" w:hAnsi="宋体"/>
                <w:szCs w:val="21"/>
              </w:rPr>
              <w:t>绘制</w:t>
            </w:r>
            <w:r>
              <w:rPr>
                <w:rFonts w:hint="eastAsia" w:ascii="宋体" w:hAnsi="宋体"/>
                <w:szCs w:val="21"/>
              </w:rPr>
              <w:t>鸿途</w:t>
            </w:r>
            <w:r>
              <w:rPr>
                <w:rFonts w:ascii="宋体" w:hAnsi="宋体"/>
                <w:szCs w:val="21"/>
              </w:rPr>
              <w:t>集团共享前和共享后</w:t>
            </w:r>
            <w:r>
              <w:rPr>
                <w:rFonts w:hint="eastAsia" w:ascii="宋体" w:hAnsi="宋体"/>
                <w:szCs w:val="21"/>
              </w:rPr>
              <w:t>产成品销售</w:t>
            </w:r>
            <w:r>
              <w:rPr>
                <w:rFonts w:ascii="宋体" w:hAnsi="宋体"/>
                <w:szCs w:val="21"/>
              </w:rPr>
              <w:t>的端到端流程图</w:t>
            </w:r>
          </w:p>
          <w:p>
            <w:pPr>
              <w:numPr>
                <w:ilvl w:val="0"/>
                <w:numId w:val="2"/>
              </w:numPr>
              <w:spacing w:line="360" w:lineRule="auto"/>
              <w:rPr>
                <w:rFonts w:ascii="宋体" w:hAnsi="宋体"/>
                <w:szCs w:val="21"/>
              </w:rPr>
            </w:pPr>
            <w:r>
              <w:rPr>
                <w:rFonts w:hint="eastAsia" w:ascii="宋体" w:hAnsi="宋体"/>
                <w:szCs w:val="21"/>
              </w:rPr>
              <w:t>能够</w:t>
            </w:r>
            <w:r>
              <w:rPr>
                <w:rFonts w:ascii="宋体" w:hAnsi="宋体"/>
                <w:szCs w:val="21"/>
              </w:rPr>
              <w:t>在</w:t>
            </w:r>
            <w:r>
              <w:rPr>
                <w:rFonts w:hint="eastAsia" w:ascii="宋体" w:hAnsi="宋体"/>
                <w:szCs w:val="21"/>
              </w:rPr>
              <w:t>用友NCC中</w:t>
            </w:r>
            <w:r>
              <w:rPr>
                <w:rFonts w:ascii="宋体" w:hAnsi="宋体"/>
                <w:szCs w:val="21"/>
              </w:rPr>
              <w:t>利用测试用例</w:t>
            </w:r>
            <w:r>
              <w:rPr>
                <w:rFonts w:hint="eastAsia" w:ascii="宋体" w:hAnsi="宋体"/>
                <w:szCs w:val="21"/>
              </w:rPr>
              <w:t>完成鸿途集团产成品销售</w:t>
            </w:r>
            <w:r>
              <w:rPr>
                <w:rFonts w:ascii="宋体" w:hAnsi="宋体"/>
                <w:szCs w:val="21"/>
              </w:rPr>
              <w:t>的</w:t>
            </w:r>
            <w:r>
              <w:rPr>
                <w:rFonts w:hint="eastAsia" w:ascii="宋体" w:hAnsi="宋体"/>
                <w:szCs w:val="21"/>
              </w:rPr>
              <w:t>端到端</w:t>
            </w:r>
            <w:r>
              <w:rPr>
                <w:rFonts w:ascii="宋体" w:hAnsi="宋体"/>
                <w:szCs w:val="21"/>
              </w:rPr>
              <w:t>流程</w:t>
            </w:r>
          </w:p>
          <w:p>
            <w:pPr>
              <w:numPr>
                <w:ilvl w:val="0"/>
                <w:numId w:val="2"/>
              </w:numPr>
              <w:spacing w:line="360" w:lineRule="auto"/>
              <w:rPr>
                <w:rFonts w:ascii="宋体" w:hAnsi="宋体"/>
                <w:szCs w:val="21"/>
              </w:rPr>
            </w:pPr>
            <w:r>
              <w:rPr>
                <w:rFonts w:hint="eastAsia" w:ascii="宋体" w:hAnsi="宋体"/>
                <w:szCs w:val="21"/>
              </w:rPr>
              <w:t>能够用Visio</w:t>
            </w:r>
            <w:r>
              <w:rPr>
                <w:rFonts w:ascii="宋体" w:hAnsi="宋体"/>
                <w:szCs w:val="21"/>
              </w:rPr>
              <w:t>绘制</w:t>
            </w:r>
            <w:r>
              <w:rPr>
                <w:rFonts w:hint="eastAsia" w:ascii="宋体" w:hAnsi="宋体"/>
                <w:szCs w:val="21"/>
              </w:rPr>
              <w:t>鸿途</w:t>
            </w:r>
            <w:r>
              <w:rPr>
                <w:rFonts w:ascii="宋体" w:hAnsi="宋体"/>
                <w:szCs w:val="21"/>
              </w:rPr>
              <w:t>集团共享前和共享后</w:t>
            </w:r>
            <w:r>
              <w:rPr>
                <w:rFonts w:hint="eastAsia" w:ascii="宋体" w:hAnsi="宋体"/>
                <w:szCs w:val="21"/>
              </w:rPr>
              <w:t>其他商品销售</w:t>
            </w:r>
            <w:r>
              <w:rPr>
                <w:rFonts w:ascii="宋体" w:hAnsi="宋体"/>
                <w:szCs w:val="21"/>
              </w:rPr>
              <w:t>的端到端流程图</w:t>
            </w:r>
          </w:p>
          <w:p>
            <w:pPr>
              <w:numPr>
                <w:ilvl w:val="0"/>
                <w:numId w:val="2"/>
              </w:numPr>
              <w:spacing w:line="360" w:lineRule="auto"/>
              <w:rPr>
                <w:rFonts w:ascii="宋体" w:hAnsi="宋体"/>
                <w:szCs w:val="21"/>
              </w:rPr>
            </w:pPr>
            <w:r>
              <w:rPr>
                <w:rFonts w:hint="eastAsia" w:ascii="宋体" w:hAnsi="宋体"/>
                <w:szCs w:val="21"/>
              </w:rPr>
              <w:t>能够</w:t>
            </w:r>
            <w:r>
              <w:rPr>
                <w:rFonts w:ascii="宋体" w:hAnsi="宋体"/>
                <w:szCs w:val="21"/>
              </w:rPr>
              <w:t>在</w:t>
            </w:r>
            <w:r>
              <w:rPr>
                <w:rFonts w:hint="eastAsia" w:ascii="宋体" w:hAnsi="宋体"/>
                <w:szCs w:val="21"/>
              </w:rPr>
              <w:t>用友NCC中</w:t>
            </w:r>
            <w:r>
              <w:rPr>
                <w:rFonts w:ascii="宋体" w:hAnsi="宋体"/>
                <w:szCs w:val="21"/>
              </w:rPr>
              <w:t>利用测试用例</w:t>
            </w:r>
            <w:r>
              <w:rPr>
                <w:rFonts w:hint="eastAsia" w:ascii="宋体" w:hAnsi="宋体"/>
                <w:szCs w:val="21"/>
              </w:rPr>
              <w:t>完成鸿途集团其他商品销售</w:t>
            </w:r>
            <w:r>
              <w:rPr>
                <w:rFonts w:ascii="宋体" w:hAnsi="宋体"/>
                <w:szCs w:val="21"/>
              </w:rPr>
              <w:t>的</w:t>
            </w:r>
            <w:r>
              <w:rPr>
                <w:rFonts w:hint="eastAsia" w:ascii="宋体" w:hAnsi="宋体"/>
                <w:szCs w:val="21"/>
              </w:rPr>
              <w:t>端到端</w:t>
            </w:r>
            <w:r>
              <w:rPr>
                <w:rFonts w:ascii="宋体" w:hAnsi="宋体"/>
                <w:szCs w:val="21"/>
              </w:rPr>
              <w:t>流程</w:t>
            </w:r>
          </w:p>
          <w:p>
            <w:pPr>
              <w:numPr>
                <w:ilvl w:val="0"/>
                <w:numId w:val="2"/>
              </w:numPr>
              <w:spacing w:line="360" w:lineRule="auto"/>
              <w:rPr>
                <w:rFonts w:ascii="宋体" w:hAnsi="宋体"/>
                <w:szCs w:val="21"/>
              </w:rPr>
            </w:pPr>
            <w:r>
              <w:rPr>
                <w:rFonts w:hint="eastAsia" w:ascii="宋体" w:hAnsi="宋体"/>
                <w:szCs w:val="21"/>
              </w:rPr>
              <w:t>能够</w:t>
            </w:r>
            <w:r>
              <w:rPr>
                <w:rFonts w:ascii="宋体" w:hAnsi="宋体"/>
                <w:szCs w:val="21"/>
              </w:rPr>
              <w:t>模拟开票界面进行电子</w:t>
            </w:r>
            <w:r>
              <w:rPr>
                <w:rFonts w:hint="eastAsia" w:ascii="宋体" w:hAnsi="宋体"/>
                <w:szCs w:val="21"/>
              </w:rPr>
              <w:t>普通</w:t>
            </w:r>
            <w:r>
              <w:rPr>
                <w:rFonts w:ascii="宋体" w:hAnsi="宋体"/>
                <w:szCs w:val="21"/>
              </w:rPr>
              <w:t>发票开具、</w:t>
            </w:r>
            <w:r>
              <w:rPr>
                <w:rFonts w:hint="eastAsia" w:ascii="宋体" w:hAnsi="宋体"/>
                <w:szCs w:val="21"/>
              </w:rPr>
              <w:t>邮箱</w:t>
            </w:r>
            <w:r>
              <w:rPr>
                <w:rFonts w:ascii="宋体" w:hAnsi="宋体"/>
                <w:szCs w:val="21"/>
              </w:rPr>
              <w:t>邮寄</w:t>
            </w:r>
            <w:r>
              <w:rPr>
                <w:rFonts w:hint="eastAsia" w:ascii="宋体" w:hAnsi="宋体"/>
                <w:szCs w:val="21"/>
              </w:rPr>
              <w:t>操作</w:t>
            </w:r>
          </w:p>
        </w:tc>
        <w:tc>
          <w:tcPr>
            <w:tcW w:w="851" w:type="dxa"/>
            <w:vAlign w:val="center"/>
          </w:tcPr>
          <w:p>
            <w:pPr>
              <w:spacing w:line="360" w:lineRule="auto"/>
              <w:jc w:val="center"/>
              <w:rPr>
                <w:rFonts w:ascii="宋体" w:hAnsi="宋体"/>
                <w:szCs w:val="21"/>
              </w:rPr>
            </w:pPr>
            <w:r>
              <w:rPr>
                <w:rFonts w:ascii="宋体" w:hAnsi="宋体"/>
                <w:szCs w:val="21"/>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1" w:hRule="atLeast"/>
          <w:jc w:val="center"/>
        </w:trPr>
        <w:tc>
          <w:tcPr>
            <w:tcW w:w="674" w:type="dxa"/>
            <w:vAlign w:val="center"/>
          </w:tcPr>
          <w:p>
            <w:pPr>
              <w:spacing w:line="360" w:lineRule="auto"/>
              <w:jc w:val="center"/>
              <w:rPr>
                <w:rFonts w:ascii="宋体" w:hAnsi="宋体"/>
                <w:szCs w:val="21"/>
              </w:rPr>
            </w:pPr>
            <w:r>
              <w:rPr>
                <w:rFonts w:hint="eastAsia" w:ascii="宋体" w:hAnsi="宋体"/>
                <w:szCs w:val="21"/>
              </w:rPr>
              <w:t>7</w:t>
            </w:r>
          </w:p>
        </w:tc>
        <w:tc>
          <w:tcPr>
            <w:tcW w:w="1445" w:type="dxa"/>
            <w:vAlign w:val="center"/>
          </w:tcPr>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资金结算共享</w:t>
            </w:r>
            <w:r>
              <w:rPr>
                <w:rFonts w:asciiTheme="minorEastAsia" w:hAnsiTheme="minorEastAsia" w:eastAsiaTheme="minorEastAsia"/>
                <w:szCs w:val="21"/>
              </w:rPr>
              <w:t>业务处理</w:t>
            </w:r>
          </w:p>
        </w:tc>
        <w:tc>
          <w:tcPr>
            <w:tcW w:w="1134" w:type="dxa"/>
            <w:vMerge w:val="continue"/>
          </w:tcPr>
          <w:p>
            <w:pPr>
              <w:numPr>
                <w:ilvl w:val="0"/>
                <w:numId w:val="2"/>
              </w:numPr>
              <w:spacing w:line="360" w:lineRule="auto"/>
              <w:rPr>
                <w:rFonts w:ascii="宋体" w:hAnsi="宋体"/>
                <w:color w:val="FF0000"/>
                <w:szCs w:val="21"/>
              </w:rPr>
            </w:pPr>
          </w:p>
        </w:tc>
        <w:tc>
          <w:tcPr>
            <w:tcW w:w="2979" w:type="dxa"/>
          </w:tcPr>
          <w:p>
            <w:pPr>
              <w:numPr>
                <w:ilvl w:val="0"/>
                <w:numId w:val="2"/>
              </w:numPr>
              <w:spacing w:line="360" w:lineRule="auto"/>
              <w:rPr>
                <w:rFonts w:ascii="宋体" w:hAnsi="宋体"/>
                <w:szCs w:val="21"/>
              </w:rPr>
            </w:pPr>
            <w:r>
              <w:rPr>
                <w:rFonts w:hint="eastAsia" w:ascii="宋体" w:hAnsi="宋体"/>
                <w:szCs w:val="21"/>
              </w:rPr>
              <w:t>掌握收付款合同的概念和适用条件</w:t>
            </w:r>
          </w:p>
          <w:p>
            <w:pPr>
              <w:numPr>
                <w:ilvl w:val="0"/>
                <w:numId w:val="2"/>
              </w:numPr>
              <w:spacing w:line="360" w:lineRule="auto"/>
              <w:rPr>
                <w:rFonts w:ascii="宋体" w:hAnsi="宋体"/>
                <w:szCs w:val="21"/>
              </w:rPr>
            </w:pPr>
            <w:r>
              <w:rPr>
                <w:rFonts w:hint="eastAsia" w:ascii="宋体" w:hAnsi="宋体"/>
                <w:szCs w:val="21"/>
              </w:rPr>
              <w:t>熟悉案例企业收付款合同结算现状</w:t>
            </w:r>
          </w:p>
          <w:p>
            <w:pPr>
              <w:numPr>
                <w:ilvl w:val="0"/>
                <w:numId w:val="2"/>
              </w:numPr>
              <w:spacing w:line="360" w:lineRule="auto"/>
              <w:rPr>
                <w:rFonts w:ascii="宋体" w:hAnsi="宋体"/>
                <w:szCs w:val="21"/>
              </w:rPr>
            </w:pPr>
            <w:r>
              <w:rPr>
                <w:rFonts w:hint="eastAsia" w:ascii="宋体" w:hAnsi="宋体"/>
                <w:szCs w:val="21"/>
              </w:rPr>
              <w:t>理解</w:t>
            </w:r>
            <w:r>
              <w:rPr>
                <w:rFonts w:ascii="宋体" w:hAnsi="宋体"/>
                <w:szCs w:val="21"/>
              </w:rPr>
              <w:t>银企直联的概念</w:t>
            </w:r>
          </w:p>
          <w:p>
            <w:pPr>
              <w:numPr>
                <w:ilvl w:val="0"/>
                <w:numId w:val="2"/>
              </w:numPr>
              <w:spacing w:line="360" w:lineRule="auto"/>
              <w:rPr>
                <w:rFonts w:ascii="宋体" w:hAnsi="宋体"/>
                <w:szCs w:val="21"/>
              </w:rPr>
            </w:pPr>
            <w:r>
              <w:rPr>
                <w:rFonts w:hint="eastAsia" w:ascii="宋体" w:hAnsi="宋体"/>
                <w:szCs w:val="21"/>
              </w:rPr>
              <w:t>理解资金结算业务的概念</w:t>
            </w:r>
          </w:p>
        </w:tc>
        <w:tc>
          <w:tcPr>
            <w:tcW w:w="2977" w:type="dxa"/>
          </w:tcPr>
          <w:p>
            <w:pPr>
              <w:numPr>
                <w:ilvl w:val="0"/>
                <w:numId w:val="2"/>
              </w:numPr>
              <w:spacing w:line="360" w:lineRule="auto"/>
              <w:rPr>
                <w:rFonts w:ascii="宋体" w:hAnsi="宋体"/>
                <w:szCs w:val="21"/>
              </w:rPr>
            </w:pPr>
            <w:r>
              <w:rPr>
                <w:rFonts w:hint="eastAsia" w:ascii="宋体" w:hAnsi="宋体"/>
                <w:szCs w:val="21"/>
              </w:rPr>
              <w:t>能够用Visio</w:t>
            </w:r>
            <w:r>
              <w:rPr>
                <w:rFonts w:ascii="宋体" w:hAnsi="宋体"/>
                <w:szCs w:val="21"/>
              </w:rPr>
              <w:t>绘制</w:t>
            </w:r>
            <w:r>
              <w:rPr>
                <w:rFonts w:hint="eastAsia" w:ascii="宋体" w:hAnsi="宋体"/>
                <w:szCs w:val="21"/>
              </w:rPr>
              <w:t>鸿途</w:t>
            </w:r>
            <w:r>
              <w:rPr>
                <w:rFonts w:ascii="宋体" w:hAnsi="宋体"/>
                <w:szCs w:val="21"/>
              </w:rPr>
              <w:t>集团共享前和共享后</w:t>
            </w:r>
            <w:r>
              <w:rPr>
                <w:rFonts w:hint="eastAsia" w:ascii="宋体" w:hAnsi="宋体"/>
                <w:szCs w:val="21"/>
              </w:rPr>
              <w:t>付款合同结算</w:t>
            </w:r>
            <w:r>
              <w:rPr>
                <w:rFonts w:ascii="宋体" w:hAnsi="宋体"/>
                <w:szCs w:val="21"/>
              </w:rPr>
              <w:t>的流程图</w:t>
            </w:r>
          </w:p>
          <w:p>
            <w:pPr>
              <w:numPr>
                <w:ilvl w:val="0"/>
                <w:numId w:val="2"/>
              </w:numPr>
              <w:spacing w:line="360" w:lineRule="auto"/>
              <w:rPr>
                <w:rFonts w:ascii="宋体" w:hAnsi="宋体"/>
                <w:szCs w:val="21"/>
              </w:rPr>
            </w:pPr>
            <w:r>
              <w:rPr>
                <w:rFonts w:hint="eastAsia" w:ascii="宋体" w:hAnsi="宋体"/>
                <w:szCs w:val="21"/>
              </w:rPr>
              <w:t>能够用Visio</w:t>
            </w:r>
            <w:r>
              <w:rPr>
                <w:rFonts w:ascii="宋体" w:hAnsi="宋体"/>
                <w:szCs w:val="21"/>
              </w:rPr>
              <w:t>绘制</w:t>
            </w:r>
            <w:r>
              <w:rPr>
                <w:rFonts w:hint="eastAsia" w:ascii="宋体" w:hAnsi="宋体"/>
                <w:szCs w:val="21"/>
              </w:rPr>
              <w:t>鸿途</w:t>
            </w:r>
            <w:r>
              <w:rPr>
                <w:rFonts w:ascii="宋体" w:hAnsi="宋体"/>
                <w:szCs w:val="21"/>
              </w:rPr>
              <w:t>集团共享前和共享后</w:t>
            </w:r>
            <w:r>
              <w:rPr>
                <w:rFonts w:hint="eastAsia" w:ascii="宋体" w:hAnsi="宋体"/>
                <w:szCs w:val="21"/>
              </w:rPr>
              <w:t>收款合同结算</w:t>
            </w:r>
            <w:r>
              <w:rPr>
                <w:rFonts w:ascii="宋体" w:hAnsi="宋体"/>
                <w:szCs w:val="21"/>
              </w:rPr>
              <w:t>的流程图</w:t>
            </w:r>
          </w:p>
          <w:p>
            <w:pPr>
              <w:numPr>
                <w:ilvl w:val="0"/>
                <w:numId w:val="2"/>
              </w:numPr>
              <w:spacing w:line="360" w:lineRule="auto"/>
              <w:rPr>
                <w:rFonts w:ascii="宋体" w:hAnsi="宋体"/>
                <w:szCs w:val="21"/>
              </w:rPr>
            </w:pPr>
            <w:r>
              <w:rPr>
                <w:rFonts w:hint="eastAsia" w:ascii="宋体" w:hAnsi="宋体"/>
                <w:szCs w:val="21"/>
              </w:rPr>
              <w:t>能够</w:t>
            </w:r>
            <w:r>
              <w:rPr>
                <w:rFonts w:ascii="宋体" w:hAnsi="宋体"/>
                <w:szCs w:val="21"/>
              </w:rPr>
              <w:t>在</w:t>
            </w:r>
            <w:r>
              <w:rPr>
                <w:rFonts w:hint="eastAsia" w:ascii="宋体" w:hAnsi="宋体"/>
                <w:szCs w:val="21"/>
              </w:rPr>
              <w:t>用友NCC中</w:t>
            </w:r>
            <w:r>
              <w:rPr>
                <w:rFonts w:ascii="宋体" w:hAnsi="宋体"/>
                <w:szCs w:val="21"/>
              </w:rPr>
              <w:t>利用测试用例</w:t>
            </w:r>
            <w:r>
              <w:rPr>
                <w:rFonts w:hint="eastAsia" w:ascii="宋体" w:hAnsi="宋体"/>
                <w:szCs w:val="21"/>
              </w:rPr>
              <w:t>完成鸿途集团的收付款</w:t>
            </w:r>
            <w:r>
              <w:rPr>
                <w:rFonts w:ascii="宋体" w:hAnsi="宋体"/>
                <w:szCs w:val="21"/>
              </w:rPr>
              <w:t>合同结算</w:t>
            </w:r>
          </w:p>
          <w:p>
            <w:pPr>
              <w:numPr>
                <w:ilvl w:val="0"/>
                <w:numId w:val="2"/>
              </w:numPr>
              <w:spacing w:line="360" w:lineRule="auto"/>
              <w:rPr>
                <w:rFonts w:ascii="宋体" w:hAnsi="宋体"/>
                <w:szCs w:val="21"/>
              </w:rPr>
            </w:pPr>
            <w:r>
              <w:rPr>
                <w:rFonts w:hint="eastAsia" w:ascii="宋体" w:hAnsi="宋体"/>
                <w:szCs w:val="21"/>
              </w:rPr>
              <w:t>能够</w:t>
            </w:r>
            <w:r>
              <w:rPr>
                <w:rFonts w:ascii="宋体" w:hAnsi="宋体"/>
                <w:szCs w:val="21"/>
              </w:rPr>
              <w:t>查询网银</w:t>
            </w:r>
            <w:r>
              <w:rPr>
                <w:rFonts w:hint="eastAsia" w:ascii="宋体" w:hAnsi="宋体"/>
                <w:szCs w:val="21"/>
              </w:rPr>
              <w:t>并</w:t>
            </w:r>
            <w:r>
              <w:rPr>
                <w:rFonts w:ascii="宋体" w:hAnsi="宋体"/>
                <w:szCs w:val="21"/>
              </w:rPr>
              <w:t>验证引起直联的功能</w:t>
            </w:r>
          </w:p>
          <w:p>
            <w:pPr>
              <w:numPr>
                <w:ilvl w:val="0"/>
                <w:numId w:val="2"/>
              </w:numPr>
              <w:spacing w:line="360" w:lineRule="auto"/>
              <w:rPr>
                <w:rFonts w:ascii="宋体" w:hAnsi="宋体"/>
                <w:szCs w:val="21"/>
              </w:rPr>
            </w:pPr>
            <w:r>
              <w:rPr>
                <w:rFonts w:hint="eastAsia" w:ascii="宋体" w:hAnsi="宋体"/>
                <w:szCs w:val="21"/>
              </w:rPr>
              <w:t>能够用Visio</w:t>
            </w:r>
            <w:r>
              <w:rPr>
                <w:rFonts w:ascii="宋体" w:hAnsi="宋体"/>
                <w:szCs w:val="21"/>
              </w:rPr>
              <w:t>绘制</w:t>
            </w:r>
            <w:r>
              <w:rPr>
                <w:rFonts w:hint="eastAsia" w:ascii="宋体" w:hAnsi="宋体"/>
                <w:szCs w:val="21"/>
              </w:rPr>
              <w:t>鸿途</w:t>
            </w:r>
            <w:r>
              <w:rPr>
                <w:rFonts w:ascii="宋体" w:hAnsi="宋体"/>
                <w:szCs w:val="21"/>
              </w:rPr>
              <w:t>集团共享前和共享后</w:t>
            </w:r>
            <w:r>
              <w:rPr>
                <w:rFonts w:hint="eastAsia" w:ascii="宋体" w:hAnsi="宋体"/>
                <w:szCs w:val="21"/>
              </w:rPr>
              <w:t>资金结算</w:t>
            </w:r>
            <w:r>
              <w:rPr>
                <w:rFonts w:ascii="宋体" w:hAnsi="宋体"/>
                <w:szCs w:val="21"/>
              </w:rPr>
              <w:t>业务的流程图</w:t>
            </w:r>
          </w:p>
          <w:p>
            <w:pPr>
              <w:numPr>
                <w:ilvl w:val="0"/>
                <w:numId w:val="2"/>
              </w:numPr>
              <w:spacing w:line="360" w:lineRule="auto"/>
              <w:rPr>
                <w:rFonts w:ascii="宋体" w:hAnsi="宋体"/>
                <w:szCs w:val="21"/>
              </w:rPr>
            </w:pPr>
            <w:r>
              <w:rPr>
                <w:rFonts w:hint="eastAsia" w:ascii="宋体" w:hAnsi="宋体"/>
                <w:szCs w:val="21"/>
              </w:rPr>
              <w:t>能够</w:t>
            </w:r>
            <w:r>
              <w:rPr>
                <w:rFonts w:ascii="宋体" w:hAnsi="宋体"/>
                <w:szCs w:val="21"/>
              </w:rPr>
              <w:t>在</w:t>
            </w:r>
            <w:r>
              <w:rPr>
                <w:rFonts w:hint="eastAsia" w:ascii="宋体" w:hAnsi="宋体"/>
                <w:szCs w:val="21"/>
              </w:rPr>
              <w:t>用友NCC中</w:t>
            </w:r>
            <w:r>
              <w:rPr>
                <w:rFonts w:ascii="宋体" w:hAnsi="宋体"/>
                <w:szCs w:val="21"/>
              </w:rPr>
              <w:t>利用测试用例</w:t>
            </w:r>
            <w:r>
              <w:rPr>
                <w:rFonts w:hint="eastAsia" w:ascii="宋体" w:hAnsi="宋体"/>
                <w:szCs w:val="21"/>
              </w:rPr>
              <w:t>完成鸿途集团的资金结算</w:t>
            </w:r>
            <w:r>
              <w:rPr>
                <w:rFonts w:ascii="宋体" w:hAnsi="宋体"/>
                <w:szCs w:val="21"/>
              </w:rPr>
              <w:t>业务</w:t>
            </w:r>
          </w:p>
        </w:tc>
        <w:tc>
          <w:tcPr>
            <w:tcW w:w="851" w:type="dxa"/>
            <w:vAlign w:val="center"/>
          </w:tcPr>
          <w:p>
            <w:pPr>
              <w:spacing w:line="360" w:lineRule="auto"/>
              <w:jc w:val="center"/>
              <w:rPr>
                <w:rFonts w:ascii="宋体" w:hAnsi="宋体"/>
                <w:szCs w:val="21"/>
              </w:rPr>
            </w:pPr>
            <w:r>
              <w:rPr>
                <w:rFonts w:ascii="宋体" w:hAnsi="宋体"/>
                <w:szCs w:val="21"/>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1" w:hRule="atLeast"/>
          <w:jc w:val="center"/>
        </w:trPr>
        <w:tc>
          <w:tcPr>
            <w:tcW w:w="674" w:type="dxa"/>
            <w:vAlign w:val="center"/>
          </w:tcPr>
          <w:p>
            <w:pPr>
              <w:spacing w:line="360" w:lineRule="auto"/>
              <w:jc w:val="center"/>
              <w:rPr>
                <w:rFonts w:ascii="宋体" w:hAnsi="宋体"/>
                <w:szCs w:val="21"/>
              </w:rPr>
            </w:pPr>
            <w:r>
              <w:rPr>
                <w:rFonts w:hint="eastAsia" w:ascii="宋体" w:hAnsi="宋体"/>
                <w:szCs w:val="21"/>
              </w:rPr>
              <w:t>8</w:t>
            </w:r>
          </w:p>
        </w:tc>
        <w:tc>
          <w:tcPr>
            <w:tcW w:w="1445" w:type="dxa"/>
            <w:vAlign w:val="center"/>
          </w:tcPr>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财资管理共享</w:t>
            </w:r>
            <w:r>
              <w:rPr>
                <w:rFonts w:asciiTheme="minorEastAsia" w:hAnsiTheme="minorEastAsia" w:eastAsiaTheme="minorEastAsia"/>
                <w:szCs w:val="21"/>
              </w:rPr>
              <w:t>业务处理</w:t>
            </w:r>
          </w:p>
        </w:tc>
        <w:tc>
          <w:tcPr>
            <w:tcW w:w="1134" w:type="dxa"/>
            <w:vMerge w:val="continue"/>
          </w:tcPr>
          <w:p>
            <w:pPr>
              <w:numPr>
                <w:ilvl w:val="0"/>
                <w:numId w:val="2"/>
              </w:numPr>
              <w:spacing w:line="360" w:lineRule="auto"/>
              <w:rPr>
                <w:rFonts w:ascii="宋体" w:hAnsi="宋体"/>
                <w:color w:val="FF0000"/>
                <w:szCs w:val="21"/>
              </w:rPr>
            </w:pPr>
          </w:p>
        </w:tc>
        <w:tc>
          <w:tcPr>
            <w:tcW w:w="2979" w:type="dxa"/>
          </w:tcPr>
          <w:p>
            <w:pPr>
              <w:numPr>
                <w:ilvl w:val="0"/>
                <w:numId w:val="3"/>
              </w:numPr>
              <w:spacing w:line="360" w:lineRule="auto"/>
              <w:rPr>
                <w:rFonts w:ascii="宋体" w:hAnsi="宋体"/>
                <w:szCs w:val="21"/>
              </w:rPr>
            </w:pPr>
            <w:r>
              <w:rPr>
                <w:rFonts w:hint="eastAsia" w:ascii="宋体" w:hAnsi="宋体"/>
                <w:szCs w:val="21"/>
              </w:rPr>
              <w:t>熟悉资金管理基本概念</w:t>
            </w:r>
          </w:p>
          <w:p>
            <w:pPr>
              <w:numPr>
                <w:ilvl w:val="0"/>
                <w:numId w:val="3"/>
              </w:numPr>
              <w:spacing w:line="360" w:lineRule="auto"/>
              <w:rPr>
                <w:rFonts w:ascii="宋体" w:hAnsi="宋体"/>
                <w:szCs w:val="21"/>
              </w:rPr>
            </w:pPr>
            <w:r>
              <w:rPr>
                <w:rFonts w:hint="eastAsia" w:ascii="宋体" w:hAnsi="宋体"/>
                <w:szCs w:val="21"/>
              </w:rPr>
              <w:t>了解常见的资金管理模式</w:t>
            </w:r>
          </w:p>
          <w:p>
            <w:pPr>
              <w:numPr>
                <w:ilvl w:val="0"/>
                <w:numId w:val="3"/>
              </w:numPr>
              <w:spacing w:line="360" w:lineRule="auto"/>
              <w:rPr>
                <w:rFonts w:ascii="宋体" w:hAnsi="宋体"/>
                <w:szCs w:val="21"/>
              </w:rPr>
            </w:pPr>
            <w:r>
              <w:rPr>
                <w:rFonts w:hint="eastAsia" w:ascii="宋体" w:hAnsi="宋体"/>
                <w:szCs w:val="21"/>
              </w:rPr>
              <w:t>理解结算中心模式的银行账户体系</w:t>
            </w:r>
          </w:p>
          <w:p>
            <w:pPr>
              <w:numPr>
                <w:ilvl w:val="0"/>
                <w:numId w:val="3"/>
              </w:numPr>
              <w:spacing w:line="360" w:lineRule="auto"/>
              <w:rPr>
                <w:rFonts w:ascii="宋体" w:hAnsi="宋体"/>
                <w:szCs w:val="21"/>
              </w:rPr>
            </w:pPr>
            <w:r>
              <w:rPr>
                <w:rFonts w:hint="eastAsia" w:ascii="宋体" w:hAnsi="宋体"/>
                <w:szCs w:val="21"/>
              </w:rPr>
              <w:t>熟悉鸿途集团目前的资金管理现状</w:t>
            </w:r>
          </w:p>
          <w:p>
            <w:pPr>
              <w:numPr>
                <w:ilvl w:val="0"/>
                <w:numId w:val="3"/>
              </w:numPr>
              <w:spacing w:line="360" w:lineRule="auto"/>
              <w:rPr>
                <w:rFonts w:ascii="宋体" w:hAnsi="宋体"/>
                <w:szCs w:val="21"/>
              </w:rPr>
            </w:pPr>
            <w:r>
              <w:rPr>
                <w:rFonts w:hint="eastAsia" w:ascii="宋体" w:hAnsi="宋体"/>
                <w:szCs w:val="21"/>
              </w:rPr>
              <w:t>理解鸿途集团资金管理痛点及期望与诉求</w:t>
            </w:r>
          </w:p>
          <w:p>
            <w:pPr>
              <w:numPr>
                <w:ilvl w:val="0"/>
                <w:numId w:val="3"/>
              </w:numPr>
              <w:spacing w:line="360" w:lineRule="auto"/>
              <w:rPr>
                <w:rFonts w:ascii="宋体" w:hAnsi="宋体"/>
                <w:szCs w:val="21"/>
              </w:rPr>
            </w:pPr>
            <w:r>
              <w:rPr>
                <w:rFonts w:hint="eastAsia" w:ascii="宋体" w:hAnsi="宋体"/>
                <w:szCs w:val="21"/>
              </w:rPr>
              <w:t>理解结算中心职责</w:t>
            </w:r>
          </w:p>
          <w:p>
            <w:pPr>
              <w:numPr>
                <w:ilvl w:val="0"/>
                <w:numId w:val="3"/>
              </w:numPr>
              <w:spacing w:line="360" w:lineRule="auto"/>
              <w:rPr>
                <w:rFonts w:ascii="宋体" w:hAnsi="宋体"/>
                <w:szCs w:val="21"/>
              </w:rPr>
            </w:pPr>
            <w:r>
              <w:rPr>
                <w:rFonts w:hint="eastAsia" w:ascii="宋体" w:hAnsi="宋体"/>
                <w:szCs w:val="21"/>
              </w:rPr>
              <w:t>理解资金计划与资金上收下拨的概念</w:t>
            </w:r>
          </w:p>
          <w:p>
            <w:pPr>
              <w:numPr>
                <w:ilvl w:val="0"/>
                <w:numId w:val="3"/>
              </w:numPr>
              <w:spacing w:line="360" w:lineRule="auto"/>
              <w:rPr>
                <w:rFonts w:ascii="宋体" w:hAnsi="宋体"/>
                <w:szCs w:val="21"/>
              </w:rPr>
            </w:pPr>
            <w:r>
              <w:rPr>
                <w:rFonts w:hint="eastAsia" w:ascii="宋体" w:hAnsi="宋体"/>
                <w:szCs w:val="21"/>
              </w:rPr>
              <w:t>理解外部委托付款的概念</w:t>
            </w:r>
          </w:p>
        </w:tc>
        <w:tc>
          <w:tcPr>
            <w:tcW w:w="2977" w:type="dxa"/>
          </w:tcPr>
          <w:p>
            <w:pPr>
              <w:numPr>
                <w:ilvl w:val="0"/>
                <w:numId w:val="3"/>
              </w:numPr>
              <w:spacing w:line="360" w:lineRule="auto"/>
              <w:rPr>
                <w:rFonts w:ascii="宋体" w:hAnsi="宋体"/>
                <w:szCs w:val="21"/>
              </w:rPr>
            </w:pPr>
            <w:r>
              <w:rPr>
                <w:rFonts w:hint="eastAsia" w:ascii="宋体" w:hAnsi="宋体"/>
                <w:szCs w:val="21"/>
              </w:rPr>
              <w:t>能够用Visio绘制鸿途集团共享前和共享后资金上收业务的流程图</w:t>
            </w:r>
          </w:p>
          <w:p>
            <w:pPr>
              <w:numPr>
                <w:ilvl w:val="0"/>
                <w:numId w:val="3"/>
              </w:numPr>
              <w:spacing w:line="360" w:lineRule="auto"/>
              <w:rPr>
                <w:rFonts w:ascii="宋体" w:hAnsi="宋体"/>
                <w:szCs w:val="21"/>
              </w:rPr>
            </w:pPr>
            <w:r>
              <w:rPr>
                <w:rFonts w:hint="eastAsia" w:ascii="宋体" w:hAnsi="宋体"/>
                <w:szCs w:val="21"/>
              </w:rPr>
              <w:t>能够用Visio绘制鸿途集团共享前和共享后资金下拨业务的流程图</w:t>
            </w:r>
          </w:p>
          <w:p>
            <w:pPr>
              <w:numPr>
                <w:ilvl w:val="0"/>
                <w:numId w:val="3"/>
              </w:numPr>
              <w:spacing w:line="360" w:lineRule="auto"/>
              <w:rPr>
                <w:rFonts w:ascii="宋体" w:hAnsi="宋体"/>
                <w:szCs w:val="21"/>
              </w:rPr>
            </w:pPr>
            <w:r>
              <w:rPr>
                <w:rFonts w:hint="eastAsia" w:ascii="宋体" w:hAnsi="宋体"/>
                <w:szCs w:val="21"/>
              </w:rPr>
              <w:t>能够利用测试用例、操作用友NCC来完成鸿途集团的资金计划录入</w:t>
            </w:r>
          </w:p>
          <w:p>
            <w:pPr>
              <w:numPr>
                <w:ilvl w:val="0"/>
                <w:numId w:val="3"/>
              </w:numPr>
              <w:spacing w:line="360" w:lineRule="auto"/>
              <w:rPr>
                <w:rFonts w:ascii="宋体" w:hAnsi="宋体"/>
                <w:szCs w:val="21"/>
              </w:rPr>
            </w:pPr>
            <w:r>
              <w:rPr>
                <w:rFonts w:hint="eastAsia" w:ascii="宋体" w:hAnsi="宋体"/>
                <w:szCs w:val="21"/>
              </w:rPr>
              <w:t>能够利用测试用例、操作用友NCC来完成鸿途集团的资金上收业务</w:t>
            </w:r>
          </w:p>
          <w:p>
            <w:pPr>
              <w:numPr>
                <w:ilvl w:val="0"/>
                <w:numId w:val="3"/>
              </w:numPr>
              <w:spacing w:line="360" w:lineRule="auto"/>
              <w:rPr>
                <w:rFonts w:ascii="宋体" w:hAnsi="宋体"/>
                <w:szCs w:val="21"/>
              </w:rPr>
            </w:pPr>
            <w:r>
              <w:rPr>
                <w:rFonts w:hint="eastAsia" w:ascii="宋体" w:hAnsi="宋体"/>
                <w:szCs w:val="21"/>
              </w:rPr>
              <w:t>能够利用测试用例、操作用友NCC来完成鸿途集团的资金下拨业务</w:t>
            </w:r>
          </w:p>
          <w:p>
            <w:pPr>
              <w:numPr>
                <w:ilvl w:val="0"/>
                <w:numId w:val="3"/>
              </w:numPr>
              <w:spacing w:line="360" w:lineRule="auto"/>
              <w:rPr>
                <w:rFonts w:ascii="宋体" w:hAnsi="宋体"/>
                <w:szCs w:val="21"/>
              </w:rPr>
            </w:pPr>
            <w:r>
              <w:rPr>
                <w:rFonts w:hint="eastAsia" w:ascii="宋体" w:hAnsi="宋体"/>
                <w:szCs w:val="21"/>
              </w:rPr>
              <w:t>能够用Visio绘制鸿途集团共享前和共享后外部委托付款业务的流程图</w:t>
            </w:r>
          </w:p>
          <w:p>
            <w:pPr>
              <w:numPr>
                <w:ilvl w:val="0"/>
                <w:numId w:val="3"/>
              </w:numPr>
              <w:spacing w:line="360" w:lineRule="auto"/>
              <w:rPr>
                <w:rFonts w:ascii="宋体" w:hAnsi="宋体"/>
                <w:szCs w:val="21"/>
              </w:rPr>
            </w:pPr>
            <w:r>
              <w:rPr>
                <w:rFonts w:hint="eastAsia" w:ascii="宋体" w:hAnsi="宋体"/>
                <w:szCs w:val="21"/>
              </w:rPr>
              <w:t>能够利用测试用例、操作用友NCC来完成鸿途集团的外部委托付款业务</w:t>
            </w:r>
          </w:p>
        </w:tc>
        <w:tc>
          <w:tcPr>
            <w:tcW w:w="851" w:type="dxa"/>
            <w:vAlign w:val="center"/>
          </w:tcPr>
          <w:p>
            <w:pPr>
              <w:spacing w:line="360" w:lineRule="auto"/>
              <w:jc w:val="center"/>
              <w:rPr>
                <w:rFonts w:ascii="宋体" w:hAnsi="宋体"/>
                <w:szCs w:val="21"/>
              </w:rPr>
            </w:pPr>
            <w:r>
              <w:rPr>
                <w:rFonts w:ascii="宋体" w:hAnsi="宋体"/>
                <w:szCs w:val="21"/>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1" w:hRule="atLeast"/>
          <w:jc w:val="center"/>
        </w:trPr>
        <w:tc>
          <w:tcPr>
            <w:tcW w:w="674" w:type="dxa"/>
            <w:vAlign w:val="center"/>
          </w:tcPr>
          <w:p>
            <w:pPr>
              <w:spacing w:line="360" w:lineRule="auto"/>
              <w:jc w:val="center"/>
              <w:rPr>
                <w:rFonts w:ascii="宋体" w:hAnsi="宋体"/>
                <w:szCs w:val="21"/>
              </w:rPr>
            </w:pPr>
            <w:r>
              <w:rPr>
                <w:rFonts w:hint="eastAsia" w:ascii="宋体" w:hAnsi="宋体"/>
                <w:szCs w:val="21"/>
              </w:rPr>
              <w:t>9</w:t>
            </w:r>
          </w:p>
        </w:tc>
        <w:tc>
          <w:tcPr>
            <w:tcW w:w="1445" w:type="dxa"/>
            <w:vAlign w:val="center"/>
          </w:tcPr>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固定资产</w:t>
            </w:r>
            <w:r>
              <w:rPr>
                <w:rFonts w:asciiTheme="minorEastAsia" w:hAnsiTheme="minorEastAsia" w:eastAsiaTheme="minorEastAsia"/>
                <w:szCs w:val="21"/>
              </w:rPr>
              <w:t>共享业务处理</w:t>
            </w:r>
          </w:p>
        </w:tc>
        <w:tc>
          <w:tcPr>
            <w:tcW w:w="1134" w:type="dxa"/>
            <w:vMerge w:val="continue"/>
          </w:tcPr>
          <w:p>
            <w:pPr>
              <w:spacing w:line="360" w:lineRule="auto"/>
              <w:rPr>
                <w:rFonts w:ascii="宋体" w:hAnsi="宋体"/>
                <w:color w:val="FF0000"/>
                <w:szCs w:val="21"/>
              </w:rPr>
            </w:pPr>
          </w:p>
        </w:tc>
        <w:tc>
          <w:tcPr>
            <w:tcW w:w="2979" w:type="dxa"/>
          </w:tcPr>
          <w:p>
            <w:pPr>
              <w:numPr>
                <w:ilvl w:val="0"/>
                <w:numId w:val="3"/>
              </w:numPr>
              <w:spacing w:line="360" w:lineRule="auto"/>
              <w:rPr>
                <w:rFonts w:ascii="宋体" w:hAnsi="宋体"/>
                <w:szCs w:val="21"/>
              </w:rPr>
            </w:pPr>
            <w:r>
              <w:rPr>
                <w:rFonts w:hint="eastAsia" w:ascii="宋体" w:hAnsi="宋体"/>
                <w:szCs w:val="21"/>
              </w:rPr>
              <w:t>理解企业固定资产管理共享的业务场景；</w:t>
            </w:r>
          </w:p>
          <w:p>
            <w:pPr>
              <w:numPr>
                <w:ilvl w:val="0"/>
                <w:numId w:val="3"/>
              </w:numPr>
              <w:spacing w:line="360" w:lineRule="auto"/>
              <w:rPr>
                <w:rFonts w:ascii="宋体" w:hAnsi="宋体"/>
                <w:szCs w:val="21"/>
              </w:rPr>
            </w:pPr>
            <w:r>
              <w:rPr>
                <w:rFonts w:hint="eastAsia" w:ascii="宋体" w:hAnsi="宋体"/>
                <w:szCs w:val="21"/>
              </w:rPr>
              <w:t>熟悉企业固定资产新增的业务场景；</w:t>
            </w:r>
          </w:p>
          <w:p>
            <w:pPr>
              <w:numPr>
                <w:ilvl w:val="0"/>
                <w:numId w:val="3"/>
              </w:numPr>
              <w:spacing w:line="360" w:lineRule="auto"/>
              <w:rPr>
                <w:rFonts w:ascii="宋体" w:hAnsi="宋体"/>
                <w:szCs w:val="21"/>
              </w:rPr>
            </w:pPr>
            <w:r>
              <w:rPr>
                <w:rFonts w:hint="eastAsia" w:ascii="宋体" w:hAnsi="宋体"/>
                <w:szCs w:val="21"/>
              </w:rPr>
              <w:t>理解企业固定资产变动的业务场景；</w:t>
            </w:r>
          </w:p>
          <w:p>
            <w:pPr>
              <w:numPr>
                <w:ilvl w:val="0"/>
                <w:numId w:val="3"/>
              </w:numPr>
              <w:spacing w:line="360" w:lineRule="auto"/>
              <w:rPr>
                <w:rFonts w:ascii="宋体" w:hAnsi="宋体"/>
                <w:szCs w:val="21"/>
              </w:rPr>
            </w:pPr>
            <w:r>
              <w:rPr>
                <w:rFonts w:hint="eastAsia" w:ascii="宋体" w:hAnsi="宋体"/>
                <w:szCs w:val="21"/>
              </w:rPr>
              <w:t>熟悉企业固定资产计提折旧共享的业务场景</w:t>
            </w:r>
          </w:p>
        </w:tc>
        <w:tc>
          <w:tcPr>
            <w:tcW w:w="2977" w:type="dxa"/>
          </w:tcPr>
          <w:p>
            <w:pPr>
              <w:numPr>
                <w:ilvl w:val="0"/>
                <w:numId w:val="3"/>
              </w:numPr>
              <w:spacing w:line="360" w:lineRule="auto"/>
              <w:rPr>
                <w:rFonts w:ascii="宋体" w:hAnsi="宋体"/>
                <w:szCs w:val="21"/>
              </w:rPr>
            </w:pPr>
            <w:r>
              <w:rPr>
                <w:rFonts w:hint="eastAsia" w:ascii="宋体" w:hAnsi="宋体"/>
                <w:szCs w:val="21"/>
              </w:rPr>
              <w:t>能够用Visio绘制鸿途集团共享前和共享后固定资产新增业务的流程图</w:t>
            </w:r>
          </w:p>
          <w:p>
            <w:pPr>
              <w:numPr>
                <w:ilvl w:val="0"/>
                <w:numId w:val="3"/>
              </w:numPr>
              <w:spacing w:line="360" w:lineRule="auto"/>
              <w:rPr>
                <w:rFonts w:ascii="宋体" w:hAnsi="宋体"/>
                <w:szCs w:val="21"/>
              </w:rPr>
            </w:pPr>
            <w:r>
              <w:rPr>
                <w:rFonts w:hint="eastAsia" w:ascii="宋体" w:hAnsi="宋体"/>
                <w:szCs w:val="21"/>
              </w:rPr>
              <w:t>能够利用测试用例、操作用友NCC来完成鸿途集团的新增固定资产业务</w:t>
            </w:r>
          </w:p>
          <w:p>
            <w:pPr>
              <w:numPr>
                <w:ilvl w:val="0"/>
                <w:numId w:val="3"/>
              </w:numPr>
              <w:spacing w:line="360" w:lineRule="auto"/>
              <w:rPr>
                <w:rFonts w:ascii="宋体" w:hAnsi="宋体"/>
                <w:szCs w:val="21"/>
              </w:rPr>
            </w:pPr>
            <w:r>
              <w:rPr>
                <w:rFonts w:hint="eastAsia" w:ascii="宋体" w:hAnsi="宋体"/>
                <w:szCs w:val="21"/>
              </w:rPr>
              <w:t>能够用Visio绘制鸿途集团共享前和共享后固定资产变动业务的流程图</w:t>
            </w:r>
          </w:p>
          <w:p>
            <w:pPr>
              <w:numPr>
                <w:ilvl w:val="0"/>
                <w:numId w:val="3"/>
              </w:numPr>
              <w:spacing w:line="360" w:lineRule="auto"/>
              <w:rPr>
                <w:rFonts w:ascii="宋体" w:hAnsi="宋体"/>
                <w:szCs w:val="21"/>
              </w:rPr>
            </w:pPr>
            <w:r>
              <w:rPr>
                <w:rFonts w:hint="eastAsia" w:ascii="宋体" w:hAnsi="宋体"/>
                <w:szCs w:val="21"/>
              </w:rPr>
              <w:t>能够利用测试用例、操作用友NCC来完成鸿途集团的固定资产变动业务</w:t>
            </w:r>
          </w:p>
          <w:p>
            <w:pPr>
              <w:numPr>
                <w:ilvl w:val="0"/>
                <w:numId w:val="3"/>
              </w:numPr>
              <w:spacing w:line="360" w:lineRule="auto"/>
              <w:rPr>
                <w:rFonts w:ascii="宋体" w:hAnsi="宋体"/>
                <w:szCs w:val="21"/>
              </w:rPr>
            </w:pPr>
            <w:r>
              <w:rPr>
                <w:rFonts w:hint="eastAsia" w:ascii="宋体" w:hAnsi="宋体"/>
                <w:szCs w:val="21"/>
              </w:rPr>
              <w:t>能够操作用友NCC来完成鸿途集团下某一个子公司的期末固定资产计提折旧业务</w:t>
            </w:r>
          </w:p>
        </w:tc>
        <w:tc>
          <w:tcPr>
            <w:tcW w:w="851" w:type="dxa"/>
            <w:vAlign w:val="center"/>
          </w:tcPr>
          <w:p>
            <w:pPr>
              <w:spacing w:line="360" w:lineRule="auto"/>
              <w:jc w:val="center"/>
              <w:rPr>
                <w:rFonts w:ascii="宋体" w:hAnsi="宋体"/>
                <w:szCs w:val="21"/>
              </w:rPr>
            </w:pPr>
            <w:r>
              <w:rPr>
                <w:rFonts w:ascii="宋体" w:hAnsi="宋体"/>
                <w:szCs w:val="21"/>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1" w:hRule="atLeast"/>
          <w:jc w:val="center"/>
        </w:trPr>
        <w:tc>
          <w:tcPr>
            <w:tcW w:w="674" w:type="dxa"/>
            <w:vAlign w:val="center"/>
          </w:tcPr>
          <w:p>
            <w:pPr>
              <w:spacing w:line="360" w:lineRule="auto"/>
              <w:jc w:val="center"/>
              <w:rPr>
                <w:rFonts w:ascii="宋体" w:hAnsi="宋体"/>
                <w:szCs w:val="21"/>
              </w:rPr>
            </w:pPr>
            <w:r>
              <w:rPr>
                <w:rFonts w:hint="eastAsia" w:ascii="宋体" w:hAnsi="宋体"/>
                <w:szCs w:val="21"/>
              </w:rPr>
              <w:t>10</w:t>
            </w:r>
          </w:p>
        </w:tc>
        <w:tc>
          <w:tcPr>
            <w:tcW w:w="1445" w:type="dxa"/>
            <w:vAlign w:val="center"/>
          </w:tcPr>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总账</w:t>
            </w:r>
            <w:r>
              <w:rPr>
                <w:rFonts w:asciiTheme="minorEastAsia" w:hAnsiTheme="minorEastAsia" w:eastAsiaTheme="minorEastAsia"/>
                <w:szCs w:val="21"/>
              </w:rPr>
              <w:t>共享业务处理</w:t>
            </w:r>
          </w:p>
        </w:tc>
        <w:tc>
          <w:tcPr>
            <w:tcW w:w="1134" w:type="dxa"/>
            <w:vMerge w:val="continue"/>
          </w:tcPr>
          <w:p>
            <w:pPr>
              <w:spacing w:line="360" w:lineRule="auto"/>
              <w:rPr>
                <w:rFonts w:ascii="宋体" w:hAnsi="宋体"/>
                <w:color w:val="FF0000"/>
                <w:szCs w:val="21"/>
              </w:rPr>
            </w:pPr>
          </w:p>
        </w:tc>
        <w:tc>
          <w:tcPr>
            <w:tcW w:w="2979" w:type="dxa"/>
          </w:tcPr>
          <w:p>
            <w:pPr>
              <w:numPr>
                <w:ilvl w:val="0"/>
                <w:numId w:val="3"/>
              </w:numPr>
              <w:spacing w:line="360" w:lineRule="auto"/>
              <w:rPr>
                <w:rFonts w:ascii="宋体" w:hAnsi="宋体"/>
                <w:szCs w:val="21"/>
              </w:rPr>
            </w:pPr>
            <w:r>
              <w:rPr>
                <w:rFonts w:hint="eastAsia" w:ascii="宋体" w:hAnsi="宋体"/>
                <w:szCs w:val="21"/>
              </w:rPr>
              <w:t>理解NCC中总账月结检查机器人的基本功能</w:t>
            </w:r>
          </w:p>
          <w:p>
            <w:pPr>
              <w:numPr>
                <w:ilvl w:val="0"/>
                <w:numId w:val="3"/>
              </w:numPr>
              <w:spacing w:line="360" w:lineRule="auto"/>
              <w:rPr>
                <w:rFonts w:ascii="宋体" w:hAnsi="宋体"/>
                <w:szCs w:val="21"/>
              </w:rPr>
            </w:pPr>
            <w:r>
              <w:rPr>
                <w:rFonts w:hint="eastAsia" w:ascii="宋体" w:hAnsi="宋体"/>
                <w:szCs w:val="21"/>
              </w:rPr>
              <w:t>熟悉电子会计档案的基本概念</w:t>
            </w:r>
          </w:p>
        </w:tc>
        <w:tc>
          <w:tcPr>
            <w:tcW w:w="2977" w:type="dxa"/>
          </w:tcPr>
          <w:p>
            <w:pPr>
              <w:numPr>
                <w:ilvl w:val="0"/>
                <w:numId w:val="3"/>
              </w:numPr>
              <w:spacing w:line="360" w:lineRule="auto"/>
              <w:rPr>
                <w:rFonts w:ascii="宋体" w:hAnsi="宋体"/>
                <w:szCs w:val="21"/>
              </w:rPr>
            </w:pPr>
            <w:r>
              <w:rPr>
                <w:rFonts w:hint="eastAsia" w:ascii="宋体" w:hAnsi="宋体"/>
                <w:szCs w:val="21"/>
              </w:rPr>
              <w:t>能够下载并安装用友NCC自动化机器人客户端软件</w:t>
            </w:r>
          </w:p>
          <w:p>
            <w:pPr>
              <w:numPr>
                <w:ilvl w:val="0"/>
                <w:numId w:val="3"/>
              </w:numPr>
              <w:spacing w:line="360" w:lineRule="auto"/>
              <w:rPr>
                <w:rFonts w:ascii="宋体" w:hAnsi="宋体"/>
                <w:szCs w:val="21"/>
              </w:rPr>
            </w:pPr>
            <w:r>
              <w:rPr>
                <w:rFonts w:hint="eastAsia" w:ascii="宋体" w:hAnsi="宋体"/>
                <w:szCs w:val="21"/>
              </w:rPr>
              <w:t>能够用NCC自动化机器人客户端软件和NCC月结机器人模板创建新的机器人</w:t>
            </w:r>
          </w:p>
          <w:p>
            <w:pPr>
              <w:numPr>
                <w:ilvl w:val="0"/>
                <w:numId w:val="3"/>
              </w:numPr>
              <w:spacing w:line="360" w:lineRule="auto"/>
              <w:rPr>
                <w:rFonts w:ascii="宋体" w:hAnsi="宋体"/>
                <w:szCs w:val="21"/>
              </w:rPr>
            </w:pPr>
            <w:r>
              <w:rPr>
                <w:rFonts w:hint="eastAsia" w:ascii="宋体" w:hAnsi="宋体"/>
                <w:szCs w:val="21"/>
              </w:rPr>
              <w:t>能够配置新创建机器人的运行参数和结果输出参数</w:t>
            </w:r>
          </w:p>
          <w:p>
            <w:pPr>
              <w:numPr>
                <w:ilvl w:val="0"/>
                <w:numId w:val="3"/>
              </w:numPr>
              <w:spacing w:line="360" w:lineRule="auto"/>
              <w:rPr>
                <w:rFonts w:ascii="宋体" w:hAnsi="宋体"/>
                <w:szCs w:val="21"/>
              </w:rPr>
            </w:pPr>
            <w:r>
              <w:rPr>
                <w:rFonts w:hint="eastAsia" w:ascii="宋体" w:hAnsi="宋体"/>
                <w:szCs w:val="21"/>
              </w:rPr>
              <w:t>能够运行自己所创建的NCC自动化机器人</w:t>
            </w:r>
          </w:p>
        </w:tc>
        <w:tc>
          <w:tcPr>
            <w:tcW w:w="851" w:type="dxa"/>
            <w:vAlign w:val="center"/>
          </w:tcPr>
          <w:p>
            <w:pPr>
              <w:spacing w:line="360" w:lineRule="auto"/>
              <w:jc w:val="center"/>
              <w:rPr>
                <w:rFonts w:ascii="宋体" w:hAnsi="宋体"/>
                <w:szCs w:val="21"/>
              </w:rPr>
            </w:pPr>
            <w:r>
              <w:rPr>
                <w:rFonts w:hint="eastAsia" w:ascii="宋体" w:hAnsi="宋体"/>
                <w:szCs w:val="21"/>
              </w:rPr>
              <w:t>1</w:t>
            </w:r>
            <w:r>
              <w:rPr>
                <w:rFonts w:ascii="宋体" w:hAnsi="宋体"/>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1" w:hRule="atLeast"/>
          <w:jc w:val="center"/>
        </w:trPr>
        <w:tc>
          <w:tcPr>
            <w:tcW w:w="674" w:type="dxa"/>
            <w:vAlign w:val="center"/>
          </w:tcPr>
          <w:p>
            <w:pPr>
              <w:spacing w:line="360" w:lineRule="auto"/>
              <w:jc w:val="center"/>
              <w:rPr>
                <w:rFonts w:ascii="宋体" w:hAnsi="宋体"/>
                <w:szCs w:val="21"/>
              </w:rPr>
            </w:pPr>
            <w:r>
              <w:rPr>
                <w:rFonts w:hint="eastAsia" w:ascii="宋体" w:hAnsi="宋体"/>
                <w:szCs w:val="21"/>
              </w:rPr>
              <w:t>11</w:t>
            </w:r>
          </w:p>
        </w:tc>
        <w:tc>
          <w:tcPr>
            <w:tcW w:w="1445" w:type="dxa"/>
            <w:vAlign w:val="center"/>
          </w:tcPr>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财务</w:t>
            </w:r>
            <w:r>
              <w:rPr>
                <w:rFonts w:asciiTheme="minorEastAsia" w:hAnsiTheme="minorEastAsia" w:eastAsiaTheme="minorEastAsia"/>
                <w:szCs w:val="21"/>
              </w:rPr>
              <w:t>共享</w:t>
            </w:r>
            <w:r>
              <w:rPr>
                <w:rFonts w:hint="eastAsia" w:asciiTheme="minorEastAsia" w:hAnsiTheme="minorEastAsia" w:eastAsiaTheme="minorEastAsia"/>
                <w:szCs w:val="21"/>
              </w:rPr>
              <w:t>作业</w:t>
            </w:r>
            <w:r>
              <w:rPr>
                <w:rFonts w:asciiTheme="minorEastAsia" w:hAnsiTheme="minorEastAsia" w:eastAsiaTheme="minorEastAsia"/>
                <w:szCs w:val="21"/>
              </w:rPr>
              <w:t>绩效管理</w:t>
            </w:r>
          </w:p>
        </w:tc>
        <w:tc>
          <w:tcPr>
            <w:tcW w:w="1134" w:type="dxa"/>
            <w:vMerge w:val="continue"/>
          </w:tcPr>
          <w:p>
            <w:pPr>
              <w:spacing w:line="360" w:lineRule="auto"/>
              <w:rPr>
                <w:rFonts w:ascii="宋体" w:hAnsi="宋体"/>
                <w:color w:val="FF0000"/>
                <w:szCs w:val="21"/>
              </w:rPr>
            </w:pPr>
          </w:p>
        </w:tc>
        <w:tc>
          <w:tcPr>
            <w:tcW w:w="2979" w:type="dxa"/>
          </w:tcPr>
          <w:p>
            <w:pPr>
              <w:numPr>
                <w:ilvl w:val="0"/>
                <w:numId w:val="3"/>
              </w:numPr>
              <w:spacing w:line="360" w:lineRule="auto"/>
              <w:rPr>
                <w:rFonts w:ascii="宋体" w:hAnsi="宋体"/>
                <w:szCs w:val="21"/>
              </w:rPr>
            </w:pPr>
            <w:r>
              <w:rPr>
                <w:rFonts w:hint="eastAsia" w:ascii="宋体" w:hAnsi="宋体"/>
                <w:szCs w:val="21"/>
              </w:rPr>
              <w:t>理解NCC财务共享绩效看板的功能和内容</w:t>
            </w:r>
          </w:p>
          <w:p>
            <w:pPr>
              <w:numPr>
                <w:ilvl w:val="0"/>
                <w:numId w:val="3"/>
              </w:numPr>
              <w:spacing w:line="360" w:lineRule="auto"/>
              <w:rPr>
                <w:rFonts w:ascii="宋体" w:hAnsi="宋体"/>
                <w:szCs w:val="21"/>
              </w:rPr>
            </w:pPr>
            <w:r>
              <w:rPr>
                <w:rFonts w:hint="eastAsia" w:ascii="宋体" w:hAnsi="宋体"/>
                <w:szCs w:val="21"/>
              </w:rPr>
              <w:t>熟悉NCC财务共享作业绩效看板的配置方法</w:t>
            </w:r>
          </w:p>
          <w:p>
            <w:pPr>
              <w:numPr>
                <w:ilvl w:val="0"/>
                <w:numId w:val="3"/>
              </w:numPr>
              <w:spacing w:line="360" w:lineRule="auto"/>
              <w:rPr>
                <w:rFonts w:ascii="宋体" w:hAnsi="宋体"/>
                <w:szCs w:val="21"/>
              </w:rPr>
            </w:pPr>
            <w:r>
              <w:rPr>
                <w:rFonts w:hint="eastAsia" w:ascii="宋体" w:hAnsi="宋体"/>
                <w:szCs w:val="21"/>
              </w:rPr>
              <w:t>掌握鸿途集团财务共享作业绩效看板的需求</w:t>
            </w:r>
          </w:p>
        </w:tc>
        <w:tc>
          <w:tcPr>
            <w:tcW w:w="2977" w:type="dxa"/>
          </w:tcPr>
          <w:p>
            <w:pPr>
              <w:numPr>
                <w:ilvl w:val="0"/>
                <w:numId w:val="3"/>
              </w:numPr>
              <w:spacing w:line="360" w:lineRule="auto"/>
              <w:rPr>
                <w:rFonts w:ascii="宋体" w:hAnsi="宋体"/>
                <w:szCs w:val="21"/>
              </w:rPr>
            </w:pPr>
            <w:r>
              <w:rPr>
                <w:rFonts w:hint="eastAsia" w:ascii="宋体" w:hAnsi="宋体"/>
                <w:szCs w:val="21"/>
              </w:rPr>
              <w:t>能够根据鸿途集团的需求完成其财务共享服务中心绩效看板展示方案并形成文案</w:t>
            </w:r>
          </w:p>
          <w:p>
            <w:pPr>
              <w:numPr>
                <w:ilvl w:val="0"/>
                <w:numId w:val="3"/>
              </w:numPr>
              <w:spacing w:line="360" w:lineRule="auto"/>
              <w:rPr>
                <w:rFonts w:ascii="宋体" w:hAnsi="宋体"/>
                <w:szCs w:val="21"/>
              </w:rPr>
            </w:pPr>
            <w:r>
              <w:rPr>
                <w:rFonts w:hint="eastAsia" w:ascii="宋体" w:hAnsi="宋体"/>
                <w:szCs w:val="21"/>
              </w:rPr>
              <w:t>能够当众呈现和分享绩效看板展示方案</w:t>
            </w:r>
          </w:p>
          <w:p>
            <w:pPr>
              <w:numPr>
                <w:ilvl w:val="0"/>
                <w:numId w:val="3"/>
              </w:numPr>
              <w:spacing w:line="360" w:lineRule="auto"/>
              <w:rPr>
                <w:rFonts w:ascii="宋体" w:hAnsi="宋体"/>
                <w:szCs w:val="21"/>
              </w:rPr>
            </w:pPr>
            <w:r>
              <w:rPr>
                <w:rFonts w:hint="eastAsia" w:ascii="宋体" w:hAnsi="宋体"/>
                <w:szCs w:val="21"/>
              </w:rPr>
              <w:t>能够将绩效看板展示方案配置到NCC系统中</w:t>
            </w:r>
          </w:p>
          <w:p>
            <w:pPr>
              <w:numPr>
                <w:ilvl w:val="0"/>
                <w:numId w:val="3"/>
              </w:numPr>
              <w:spacing w:line="360" w:lineRule="auto"/>
              <w:rPr>
                <w:rFonts w:ascii="宋体" w:hAnsi="宋体"/>
                <w:szCs w:val="21"/>
              </w:rPr>
            </w:pPr>
            <w:r>
              <w:rPr>
                <w:rFonts w:hint="eastAsia" w:ascii="宋体" w:hAnsi="宋体"/>
                <w:szCs w:val="21"/>
              </w:rPr>
              <w:t>能够测试所配置的绩效看板展示方案</w:t>
            </w:r>
          </w:p>
        </w:tc>
        <w:tc>
          <w:tcPr>
            <w:tcW w:w="851" w:type="dxa"/>
            <w:vAlign w:val="center"/>
          </w:tcPr>
          <w:p>
            <w:pPr>
              <w:spacing w:line="360" w:lineRule="auto"/>
              <w:jc w:val="center"/>
              <w:rPr>
                <w:rFonts w:ascii="宋体" w:hAnsi="宋体"/>
                <w:szCs w:val="21"/>
              </w:rPr>
            </w:pPr>
            <w:r>
              <w:rPr>
                <w:rFonts w:hint="eastAsia" w:ascii="宋体" w:hAnsi="宋体"/>
                <w:szCs w:val="21"/>
              </w:rPr>
              <w:t>1</w:t>
            </w:r>
            <w:r>
              <w:rPr>
                <w:rFonts w:ascii="宋体" w:hAnsi="宋体"/>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1" w:hRule="atLeast"/>
          <w:jc w:val="center"/>
        </w:trPr>
        <w:tc>
          <w:tcPr>
            <w:tcW w:w="674" w:type="dxa"/>
            <w:vAlign w:val="center"/>
          </w:tcPr>
          <w:p>
            <w:pPr>
              <w:spacing w:line="360" w:lineRule="auto"/>
              <w:jc w:val="center"/>
              <w:rPr>
                <w:rFonts w:ascii="宋体" w:hAnsi="宋体"/>
                <w:szCs w:val="21"/>
              </w:rPr>
            </w:pPr>
            <w:r>
              <w:rPr>
                <w:rFonts w:hint="eastAsia" w:ascii="宋体" w:hAnsi="宋体"/>
                <w:szCs w:val="21"/>
              </w:rPr>
              <w:t>12</w:t>
            </w:r>
          </w:p>
        </w:tc>
        <w:tc>
          <w:tcPr>
            <w:tcW w:w="1445" w:type="dxa"/>
            <w:vAlign w:val="center"/>
          </w:tcPr>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财务</w:t>
            </w:r>
            <w:r>
              <w:rPr>
                <w:rFonts w:asciiTheme="minorEastAsia" w:hAnsiTheme="minorEastAsia" w:eastAsiaTheme="minorEastAsia"/>
                <w:szCs w:val="21"/>
              </w:rPr>
              <w:t>共享作业稽核</w:t>
            </w:r>
          </w:p>
        </w:tc>
        <w:tc>
          <w:tcPr>
            <w:tcW w:w="1134" w:type="dxa"/>
            <w:vMerge w:val="continue"/>
          </w:tcPr>
          <w:p>
            <w:pPr>
              <w:spacing w:line="360" w:lineRule="auto"/>
              <w:rPr>
                <w:rFonts w:ascii="宋体" w:hAnsi="宋体"/>
                <w:color w:val="FF0000"/>
                <w:szCs w:val="21"/>
              </w:rPr>
            </w:pPr>
          </w:p>
        </w:tc>
        <w:tc>
          <w:tcPr>
            <w:tcW w:w="2979" w:type="dxa"/>
          </w:tcPr>
          <w:p>
            <w:pPr>
              <w:numPr>
                <w:ilvl w:val="0"/>
                <w:numId w:val="3"/>
              </w:numPr>
              <w:spacing w:line="360" w:lineRule="auto"/>
              <w:rPr>
                <w:rFonts w:ascii="宋体" w:hAnsi="宋体"/>
                <w:szCs w:val="21"/>
              </w:rPr>
            </w:pPr>
            <w:r>
              <w:rPr>
                <w:rFonts w:hint="eastAsia" w:ascii="宋体" w:hAnsi="宋体"/>
                <w:szCs w:val="21"/>
              </w:rPr>
              <w:t>理解财务共享作业质量稽核的概念</w:t>
            </w:r>
          </w:p>
          <w:p>
            <w:pPr>
              <w:numPr>
                <w:ilvl w:val="0"/>
                <w:numId w:val="3"/>
              </w:numPr>
              <w:spacing w:line="360" w:lineRule="auto"/>
              <w:rPr>
                <w:rFonts w:ascii="宋体" w:hAnsi="宋体"/>
                <w:szCs w:val="21"/>
              </w:rPr>
            </w:pPr>
            <w:r>
              <w:rPr>
                <w:rFonts w:hint="eastAsia" w:ascii="宋体" w:hAnsi="宋体"/>
                <w:szCs w:val="21"/>
              </w:rPr>
              <w:t>熟悉用友NCC中财务共享服务中心作业稽核的内容与配置方法</w:t>
            </w:r>
          </w:p>
          <w:p>
            <w:pPr>
              <w:numPr>
                <w:ilvl w:val="0"/>
                <w:numId w:val="3"/>
              </w:numPr>
              <w:spacing w:line="360" w:lineRule="auto"/>
              <w:rPr>
                <w:rFonts w:ascii="宋体" w:hAnsi="宋体"/>
                <w:szCs w:val="21"/>
              </w:rPr>
            </w:pPr>
            <w:r>
              <w:rPr>
                <w:rFonts w:hint="eastAsia" w:ascii="宋体" w:hAnsi="宋体"/>
                <w:szCs w:val="21"/>
              </w:rPr>
              <w:t>掌握</w:t>
            </w:r>
            <w:r>
              <w:rPr>
                <w:rFonts w:ascii="宋体" w:hAnsi="宋体"/>
                <w:szCs w:val="21"/>
              </w:rPr>
              <w:t>鸿途集团财务共享作业稽核的需求</w:t>
            </w:r>
          </w:p>
        </w:tc>
        <w:tc>
          <w:tcPr>
            <w:tcW w:w="2977" w:type="dxa"/>
          </w:tcPr>
          <w:p>
            <w:pPr>
              <w:numPr>
                <w:ilvl w:val="0"/>
                <w:numId w:val="3"/>
              </w:numPr>
              <w:spacing w:line="360" w:lineRule="auto"/>
              <w:rPr>
                <w:rFonts w:ascii="宋体" w:hAnsi="宋体"/>
                <w:szCs w:val="21"/>
              </w:rPr>
            </w:pPr>
            <w:r>
              <w:rPr>
                <w:rFonts w:hint="eastAsia" w:ascii="宋体" w:hAnsi="宋体"/>
                <w:szCs w:val="21"/>
              </w:rPr>
              <w:t>能够根据鸿途集团的需求完成其财务共享服务中心作业稽核方案并形成文案</w:t>
            </w:r>
          </w:p>
          <w:p>
            <w:pPr>
              <w:numPr>
                <w:ilvl w:val="0"/>
                <w:numId w:val="3"/>
              </w:numPr>
              <w:spacing w:line="360" w:lineRule="auto"/>
              <w:rPr>
                <w:rFonts w:ascii="宋体" w:hAnsi="宋体"/>
                <w:szCs w:val="21"/>
              </w:rPr>
            </w:pPr>
            <w:r>
              <w:rPr>
                <w:rFonts w:hint="eastAsia" w:ascii="宋体" w:hAnsi="宋体"/>
                <w:szCs w:val="21"/>
              </w:rPr>
              <w:t>能够当众呈现和分享财务共享服务中心作业稽核方案</w:t>
            </w:r>
          </w:p>
          <w:p>
            <w:pPr>
              <w:numPr>
                <w:ilvl w:val="0"/>
                <w:numId w:val="3"/>
              </w:numPr>
              <w:spacing w:line="360" w:lineRule="auto"/>
              <w:rPr>
                <w:rFonts w:ascii="宋体" w:hAnsi="宋体"/>
                <w:szCs w:val="21"/>
              </w:rPr>
            </w:pPr>
            <w:r>
              <w:rPr>
                <w:rFonts w:hint="eastAsia" w:ascii="宋体" w:hAnsi="宋体"/>
                <w:szCs w:val="21"/>
              </w:rPr>
              <w:t>能够将财务共享服务中心作业稽核方案配置到NCC系统中</w:t>
            </w:r>
          </w:p>
          <w:p>
            <w:pPr>
              <w:numPr>
                <w:ilvl w:val="0"/>
                <w:numId w:val="3"/>
              </w:numPr>
              <w:spacing w:line="360" w:lineRule="auto"/>
              <w:rPr>
                <w:rFonts w:ascii="宋体" w:hAnsi="宋体"/>
                <w:szCs w:val="21"/>
              </w:rPr>
            </w:pPr>
            <w:r>
              <w:rPr>
                <w:rFonts w:hint="eastAsia" w:ascii="宋体" w:hAnsi="宋体"/>
                <w:szCs w:val="21"/>
              </w:rPr>
              <w:t>能够测试所配置的财务共享服务中心作业稽核方案</w:t>
            </w:r>
          </w:p>
        </w:tc>
        <w:tc>
          <w:tcPr>
            <w:tcW w:w="851" w:type="dxa"/>
            <w:vAlign w:val="center"/>
          </w:tcPr>
          <w:p>
            <w:pPr>
              <w:spacing w:line="360" w:lineRule="auto"/>
              <w:jc w:val="center"/>
              <w:rPr>
                <w:rFonts w:ascii="宋体" w:hAnsi="宋体"/>
                <w:szCs w:val="21"/>
              </w:rPr>
            </w:pPr>
            <w:r>
              <w:rPr>
                <w:rFonts w:hint="eastAsia" w:ascii="宋体" w:hAnsi="宋体"/>
                <w:szCs w:val="21"/>
              </w:rPr>
              <w:t>1</w:t>
            </w:r>
            <w:r>
              <w:rPr>
                <w:rFonts w:ascii="宋体" w:hAnsi="宋体"/>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1" w:hRule="atLeast"/>
          <w:jc w:val="center"/>
        </w:trPr>
        <w:tc>
          <w:tcPr>
            <w:tcW w:w="3253" w:type="dxa"/>
            <w:gridSpan w:val="3"/>
            <w:vAlign w:val="center"/>
          </w:tcPr>
          <w:p>
            <w:pPr>
              <w:spacing w:line="360" w:lineRule="auto"/>
              <w:jc w:val="center"/>
              <w:rPr>
                <w:rFonts w:ascii="宋体" w:hAnsi="宋体"/>
                <w:szCs w:val="21"/>
              </w:rPr>
            </w:pPr>
            <w:r>
              <w:rPr>
                <w:rFonts w:hint="eastAsia" w:ascii="宋体" w:hAnsi="宋体"/>
                <w:szCs w:val="21"/>
              </w:rPr>
              <w:t>合计</w:t>
            </w:r>
          </w:p>
        </w:tc>
        <w:tc>
          <w:tcPr>
            <w:tcW w:w="2979" w:type="dxa"/>
          </w:tcPr>
          <w:p>
            <w:pPr>
              <w:spacing w:line="360" w:lineRule="auto"/>
              <w:ind w:left="420"/>
              <w:rPr>
                <w:rFonts w:ascii="宋体" w:hAnsi="宋体"/>
                <w:szCs w:val="21"/>
              </w:rPr>
            </w:pPr>
          </w:p>
        </w:tc>
        <w:tc>
          <w:tcPr>
            <w:tcW w:w="2977" w:type="dxa"/>
          </w:tcPr>
          <w:p>
            <w:pPr>
              <w:spacing w:line="360" w:lineRule="auto"/>
              <w:ind w:left="420"/>
              <w:rPr>
                <w:rFonts w:ascii="宋体" w:hAnsi="宋体"/>
                <w:szCs w:val="21"/>
              </w:rPr>
            </w:pPr>
          </w:p>
        </w:tc>
        <w:tc>
          <w:tcPr>
            <w:tcW w:w="851" w:type="dxa"/>
            <w:vAlign w:val="center"/>
          </w:tcPr>
          <w:p>
            <w:pPr>
              <w:spacing w:line="360" w:lineRule="auto"/>
              <w:jc w:val="center"/>
              <w:rPr>
                <w:rFonts w:ascii="宋体" w:hAnsi="宋体"/>
                <w:szCs w:val="21"/>
              </w:rPr>
            </w:pPr>
            <w:r>
              <w:rPr>
                <w:rFonts w:ascii="宋体" w:hAnsi="宋体"/>
                <w:szCs w:val="21"/>
              </w:rPr>
              <w:t>18+30</w:t>
            </w:r>
          </w:p>
        </w:tc>
      </w:tr>
    </w:tbl>
    <w:p>
      <w:pPr>
        <w:spacing w:line="360" w:lineRule="auto"/>
        <w:ind w:firstLine="422" w:firstLineChars="200"/>
        <w:rPr>
          <w:rFonts w:ascii="宋体" w:hAnsi="宋体"/>
          <w:szCs w:val="21"/>
        </w:rPr>
      </w:pPr>
      <w:r>
        <w:rPr>
          <w:rFonts w:ascii="宋体" w:hAnsi="宋体"/>
          <w:b/>
          <w:bCs/>
          <w:szCs w:val="21"/>
        </w:rPr>
        <w:t xml:space="preserve"> </w:t>
      </w:r>
    </w:p>
    <w:p>
      <w:pPr>
        <w:pStyle w:val="5"/>
        <w:spacing w:before="156" w:beforeLines="50" w:after="156" w:afterLines="50"/>
        <w:ind w:firstLine="420" w:firstLineChars="200"/>
        <w:rPr>
          <w:rFonts w:ascii="黑体" w:hAnsi="黑体" w:eastAsia="黑体"/>
          <w:b w:val="0"/>
          <w:sz w:val="21"/>
          <w:szCs w:val="21"/>
        </w:rPr>
      </w:pPr>
      <w:r>
        <w:rPr>
          <w:rFonts w:hint="eastAsia" w:ascii="黑体" w:hAnsi="黑体" w:eastAsia="黑体"/>
          <w:b w:val="0"/>
          <w:sz w:val="21"/>
          <w:szCs w:val="21"/>
        </w:rPr>
        <w:t>四、教学方法和教学手段</w:t>
      </w:r>
    </w:p>
    <w:p>
      <w:pPr>
        <w:spacing w:line="360" w:lineRule="auto"/>
        <w:ind w:firstLine="411" w:firstLineChars="196"/>
        <w:rPr>
          <w:rFonts w:ascii="宋体" w:hAnsi="宋体"/>
          <w:szCs w:val="21"/>
        </w:rPr>
      </w:pPr>
      <w:r>
        <w:rPr>
          <w:rFonts w:hint="eastAsia" w:ascii="宋体" w:hAnsi="宋体"/>
          <w:szCs w:val="21"/>
        </w:rPr>
        <w:t>（一）教学方法</w:t>
      </w:r>
    </w:p>
    <w:p>
      <w:pPr>
        <w:spacing w:line="360" w:lineRule="auto"/>
        <w:ind w:firstLine="411" w:firstLineChars="196"/>
        <w:rPr>
          <w:rFonts w:ascii="宋体" w:hAnsi="宋体"/>
          <w:szCs w:val="21"/>
        </w:rPr>
      </w:pPr>
      <w:r>
        <w:rPr>
          <w:rFonts w:hint="eastAsia" w:ascii="宋体" w:hAnsi="宋体"/>
          <w:szCs w:val="21"/>
        </w:rPr>
        <w:t>本课程教学方法主要包括任务驱动法、案例教学法、角色扮演法、启发式教学法、项目</w:t>
      </w:r>
      <w:r>
        <w:rPr>
          <w:rFonts w:ascii="宋体" w:hAnsi="宋体"/>
          <w:szCs w:val="21"/>
        </w:rPr>
        <w:t>教学法</w:t>
      </w:r>
      <w:r>
        <w:rPr>
          <w:rFonts w:hint="eastAsia" w:ascii="宋体" w:hAnsi="宋体"/>
          <w:szCs w:val="21"/>
        </w:rPr>
        <w:t>等。</w:t>
      </w:r>
    </w:p>
    <w:p>
      <w:pPr>
        <w:spacing w:line="360" w:lineRule="auto"/>
        <w:ind w:firstLine="411" w:firstLineChars="196"/>
        <w:rPr>
          <w:rFonts w:ascii="宋体" w:hAnsi="宋体"/>
          <w:szCs w:val="21"/>
        </w:rPr>
      </w:pPr>
      <w:r>
        <w:rPr>
          <w:rFonts w:ascii="宋体" w:hAnsi="宋体"/>
          <w:szCs w:val="21"/>
        </w:rPr>
        <w:t>1</w:t>
      </w:r>
      <w:r>
        <w:rPr>
          <w:rFonts w:hint="eastAsia" w:ascii="宋体" w:hAnsi="宋体"/>
          <w:szCs w:val="21"/>
        </w:rPr>
        <w:t>．任务驱动法</w:t>
      </w:r>
    </w:p>
    <w:p>
      <w:pPr>
        <w:spacing w:line="360" w:lineRule="auto"/>
        <w:ind w:firstLine="411" w:firstLineChars="196"/>
        <w:rPr>
          <w:rFonts w:ascii="宋体" w:hAnsi="宋体"/>
          <w:szCs w:val="21"/>
        </w:rPr>
      </w:pPr>
      <w:r>
        <w:rPr>
          <w:rFonts w:hint="eastAsia" w:ascii="宋体" w:hAnsi="宋体"/>
          <w:szCs w:val="21"/>
        </w:rPr>
        <w:t>课程根据财务共享</w:t>
      </w:r>
      <w:r>
        <w:rPr>
          <w:rFonts w:ascii="宋体" w:hAnsi="宋体"/>
          <w:szCs w:val="21"/>
        </w:rPr>
        <w:t>模式下的财务组织与岗位职责的变化，</w:t>
      </w:r>
      <w:r>
        <w:rPr>
          <w:rFonts w:hint="eastAsia" w:ascii="宋体" w:hAnsi="宋体"/>
          <w:szCs w:val="21"/>
        </w:rPr>
        <w:t>全程</w:t>
      </w:r>
      <w:r>
        <w:rPr>
          <w:rFonts w:ascii="宋体" w:hAnsi="宋体"/>
          <w:szCs w:val="21"/>
        </w:rPr>
        <w:t>用任务驱动的方式来组织教学。</w:t>
      </w:r>
      <w:r>
        <w:rPr>
          <w:rFonts w:hint="eastAsia" w:ascii="宋体" w:hAnsi="宋体"/>
          <w:szCs w:val="21"/>
        </w:rPr>
        <w:t>既有个人</w:t>
      </w:r>
      <w:r>
        <w:rPr>
          <w:rFonts w:ascii="宋体" w:hAnsi="宋体"/>
          <w:szCs w:val="21"/>
        </w:rPr>
        <w:t>全岗、业财融合的</w:t>
      </w:r>
      <w:r>
        <w:rPr>
          <w:rFonts w:hint="eastAsia" w:ascii="宋体" w:hAnsi="宋体"/>
          <w:szCs w:val="21"/>
        </w:rPr>
        <w:t>跨</w:t>
      </w:r>
      <w:r>
        <w:rPr>
          <w:rFonts w:ascii="宋体" w:hAnsi="宋体"/>
          <w:szCs w:val="21"/>
        </w:rPr>
        <w:t>业务财务和共享财务</w:t>
      </w:r>
      <w:r>
        <w:rPr>
          <w:rFonts w:hint="eastAsia" w:ascii="宋体" w:hAnsi="宋体"/>
          <w:szCs w:val="21"/>
        </w:rPr>
        <w:t>全流程</w:t>
      </w:r>
      <w:r>
        <w:rPr>
          <w:rFonts w:ascii="宋体" w:hAnsi="宋体"/>
          <w:szCs w:val="21"/>
        </w:rPr>
        <w:t>训练任务，也有分组、分岗的财务共享</w:t>
      </w:r>
      <w:r>
        <w:rPr>
          <w:rFonts w:hint="eastAsia" w:ascii="宋体" w:hAnsi="宋体"/>
          <w:szCs w:val="21"/>
        </w:rPr>
        <w:t>服务</w:t>
      </w:r>
      <w:r>
        <w:rPr>
          <w:rFonts w:ascii="宋体" w:hAnsi="宋体"/>
          <w:szCs w:val="21"/>
        </w:rPr>
        <w:t>中心</w:t>
      </w:r>
      <w:r>
        <w:rPr>
          <w:rFonts w:hint="eastAsia" w:ascii="宋体" w:hAnsi="宋体"/>
          <w:szCs w:val="21"/>
        </w:rPr>
        <w:t>关键</w:t>
      </w:r>
      <w:r>
        <w:rPr>
          <w:rFonts w:ascii="宋体" w:hAnsi="宋体"/>
          <w:szCs w:val="21"/>
        </w:rPr>
        <w:t>岗位抢单训练任务</w:t>
      </w:r>
      <w:r>
        <w:rPr>
          <w:rFonts w:hint="eastAsia" w:ascii="宋体" w:hAnsi="宋体"/>
          <w:szCs w:val="21"/>
        </w:rPr>
        <w:t>，</w:t>
      </w:r>
      <w:r>
        <w:rPr>
          <w:rFonts w:ascii="宋体" w:hAnsi="宋体"/>
          <w:szCs w:val="21"/>
        </w:rPr>
        <w:t>从而既</w:t>
      </w:r>
      <w:r>
        <w:rPr>
          <w:rFonts w:hint="eastAsia" w:ascii="宋体" w:hAnsi="宋体"/>
          <w:szCs w:val="21"/>
        </w:rPr>
        <w:t>有助于个人职业判断能力的提升和探究精神的</w:t>
      </w:r>
      <w:r>
        <w:rPr>
          <w:rFonts w:ascii="宋体" w:hAnsi="宋体"/>
          <w:szCs w:val="21"/>
        </w:rPr>
        <w:t>培养，也有助于</w:t>
      </w:r>
      <w:r>
        <w:rPr>
          <w:rFonts w:hint="eastAsia" w:ascii="宋体" w:hAnsi="宋体"/>
          <w:szCs w:val="21"/>
        </w:rPr>
        <w:t>集体</w:t>
      </w:r>
      <w:r>
        <w:rPr>
          <w:rFonts w:ascii="宋体" w:hAnsi="宋体"/>
          <w:szCs w:val="21"/>
        </w:rPr>
        <w:t>荣誉感和</w:t>
      </w:r>
      <w:r>
        <w:rPr>
          <w:rFonts w:hint="eastAsia" w:ascii="宋体" w:hAnsi="宋体"/>
          <w:szCs w:val="21"/>
        </w:rPr>
        <w:t>团队合作精神的养成。</w:t>
      </w:r>
      <w:r>
        <w:rPr>
          <w:rFonts w:ascii="宋体" w:hAnsi="宋体"/>
          <w:szCs w:val="21"/>
        </w:rPr>
        <w:t xml:space="preserve"> </w:t>
      </w:r>
    </w:p>
    <w:p>
      <w:pPr>
        <w:spacing w:line="360" w:lineRule="auto"/>
        <w:ind w:firstLine="411" w:firstLineChars="196"/>
        <w:rPr>
          <w:rFonts w:ascii="宋体" w:hAnsi="宋体"/>
          <w:szCs w:val="21"/>
        </w:rPr>
      </w:pPr>
      <w:r>
        <w:rPr>
          <w:rFonts w:ascii="宋体" w:hAnsi="宋体"/>
          <w:szCs w:val="21"/>
        </w:rPr>
        <w:t>2</w:t>
      </w:r>
      <w:r>
        <w:rPr>
          <w:rFonts w:hint="eastAsia" w:ascii="宋体" w:hAnsi="宋体"/>
          <w:szCs w:val="21"/>
        </w:rPr>
        <w:t>.案例教学法</w:t>
      </w:r>
    </w:p>
    <w:p>
      <w:pPr>
        <w:spacing w:line="360" w:lineRule="auto"/>
        <w:ind w:firstLine="411" w:firstLineChars="196"/>
        <w:rPr>
          <w:rFonts w:ascii="宋体" w:hAnsi="宋体"/>
          <w:szCs w:val="21"/>
        </w:rPr>
      </w:pPr>
      <w:r>
        <w:rPr>
          <w:rFonts w:hint="eastAsia" w:ascii="宋体" w:hAnsi="宋体"/>
          <w:szCs w:val="21"/>
        </w:rPr>
        <w:t>本课程</w:t>
      </w:r>
      <w:r>
        <w:rPr>
          <w:rFonts w:ascii="宋体" w:hAnsi="宋体"/>
          <w:szCs w:val="21"/>
        </w:rPr>
        <w:t>引入了</w:t>
      </w:r>
      <w:r>
        <w:rPr>
          <w:rFonts w:hint="eastAsia" w:ascii="宋体" w:hAnsi="宋体"/>
          <w:szCs w:val="21"/>
        </w:rPr>
        <w:t>3个</w:t>
      </w:r>
      <w:r>
        <w:rPr>
          <w:rFonts w:ascii="宋体" w:hAnsi="宋体"/>
          <w:szCs w:val="21"/>
        </w:rPr>
        <w:t>财务共享</w:t>
      </w:r>
      <w:r>
        <w:rPr>
          <w:rFonts w:hint="eastAsia" w:ascii="宋体" w:hAnsi="宋体"/>
          <w:szCs w:val="21"/>
        </w:rPr>
        <w:t>服务</w:t>
      </w:r>
      <w:r>
        <w:rPr>
          <w:rFonts w:ascii="宋体" w:hAnsi="宋体"/>
          <w:szCs w:val="21"/>
        </w:rPr>
        <w:t>中心的实施案例，并以其中一个集团企业案例为蓝本，将</w:t>
      </w:r>
      <w:r>
        <w:rPr>
          <w:rFonts w:hint="eastAsia" w:ascii="宋体" w:hAnsi="宋体"/>
          <w:szCs w:val="21"/>
        </w:rPr>
        <w:t>其</w:t>
      </w:r>
      <w:r>
        <w:rPr>
          <w:rFonts w:ascii="宋体" w:hAnsi="宋体"/>
          <w:szCs w:val="21"/>
        </w:rPr>
        <w:t>财务组织、业财</w:t>
      </w:r>
      <w:r>
        <w:rPr>
          <w:rFonts w:hint="eastAsia" w:ascii="宋体" w:hAnsi="宋体"/>
          <w:szCs w:val="21"/>
        </w:rPr>
        <w:t>一体化</w:t>
      </w:r>
      <w:r>
        <w:rPr>
          <w:rFonts w:ascii="宋体" w:hAnsi="宋体"/>
          <w:szCs w:val="21"/>
        </w:rPr>
        <w:t>流程、财务共享软硬件设备和</w:t>
      </w:r>
      <w:r>
        <w:rPr>
          <w:rFonts w:hint="eastAsia" w:ascii="宋体" w:hAnsi="宋体"/>
          <w:szCs w:val="21"/>
        </w:rPr>
        <w:t>脱敏</w:t>
      </w:r>
      <w:r>
        <w:rPr>
          <w:rFonts w:ascii="宋体" w:hAnsi="宋体"/>
          <w:szCs w:val="21"/>
        </w:rPr>
        <w:t>后的</w:t>
      </w:r>
      <w:r>
        <w:rPr>
          <w:rFonts w:hint="eastAsia" w:ascii="宋体" w:hAnsi="宋体"/>
          <w:szCs w:val="21"/>
        </w:rPr>
        <w:t>业务</w:t>
      </w:r>
      <w:r>
        <w:rPr>
          <w:rFonts w:ascii="宋体" w:hAnsi="宋体"/>
          <w:szCs w:val="21"/>
        </w:rPr>
        <w:t>数据</w:t>
      </w:r>
      <w:r>
        <w:rPr>
          <w:rFonts w:hint="eastAsia" w:ascii="宋体" w:hAnsi="宋体"/>
          <w:szCs w:val="21"/>
        </w:rPr>
        <w:t>、</w:t>
      </w:r>
      <w:r>
        <w:rPr>
          <w:rFonts w:ascii="宋体" w:hAnsi="宋体"/>
          <w:szCs w:val="21"/>
        </w:rPr>
        <w:t>财务共享</w:t>
      </w:r>
      <w:r>
        <w:rPr>
          <w:rFonts w:hint="eastAsia" w:ascii="宋体" w:hAnsi="宋体"/>
          <w:szCs w:val="21"/>
        </w:rPr>
        <w:t>服务</w:t>
      </w:r>
      <w:r>
        <w:rPr>
          <w:rFonts w:ascii="宋体" w:hAnsi="宋体"/>
          <w:szCs w:val="21"/>
        </w:rPr>
        <w:t>中心的绩效管理手段等</w:t>
      </w:r>
      <w:r>
        <w:rPr>
          <w:rFonts w:hint="eastAsia" w:ascii="宋体" w:hAnsi="宋体"/>
          <w:szCs w:val="21"/>
        </w:rPr>
        <w:t>融入了</w:t>
      </w:r>
      <w:r>
        <w:rPr>
          <w:rFonts w:ascii="宋体" w:hAnsi="宋体"/>
          <w:szCs w:val="21"/>
        </w:rPr>
        <w:t>教学过程之中。通过</w:t>
      </w:r>
      <w:r>
        <w:rPr>
          <w:rFonts w:hint="eastAsia" w:ascii="宋体" w:hAnsi="宋体"/>
          <w:szCs w:val="21"/>
        </w:rPr>
        <w:t>案例</w:t>
      </w:r>
      <w:r>
        <w:rPr>
          <w:rFonts w:ascii="宋体" w:hAnsi="宋体"/>
          <w:szCs w:val="21"/>
        </w:rPr>
        <w:t>的学习，让学生能够具备</w:t>
      </w:r>
      <w:r>
        <w:rPr>
          <w:rFonts w:hint="eastAsia" w:ascii="宋体" w:hAnsi="宋体"/>
          <w:szCs w:val="21"/>
        </w:rPr>
        <w:t>一定</w:t>
      </w:r>
      <w:r>
        <w:rPr>
          <w:rFonts w:ascii="宋体" w:hAnsi="宋体"/>
          <w:szCs w:val="21"/>
        </w:rPr>
        <w:t>的财务共享</w:t>
      </w:r>
      <w:r>
        <w:rPr>
          <w:rFonts w:hint="eastAsia" w:ascii="宋体" w:hAnsi="宋体"/>
          <w:szCs w:val="21"/>
        </w:rPr>
        <w:t>服务</w:t>
      </w:r>
      <w:r>
        <w:rPr>
          <w:rFonts w:ascii="宋体" w:hAnsi="宋体"/>
          <w:szCs w:val="21"/>
        </w:rPr>
        <w:t>中心</w:t>
      </w:r>
      <w:r>
        <w:rPr>
          <w:rFonts w:hint="eastAsia" w:ascii="宋体" w:hAnsi="宋体"/>
          <w:szCs w:val="21"/>
        </w:rPr>
        <w:t>主要</w:t>
      </w:r>
      <w:r>
        <w:rPr>
          <w:rFonts w:ascii="宋体" w:hAnsi="宋体"/>
          <w:szCs w:val="21"/>
        </w:rPr>
        <w:t>核算岗位</w:t>
      </w:r>
      <w:r>
        <w:rPr>
          <w:rFonts w:hint="eastAsia" w:ascii="宋体" w:hAnsi="宋体"/>
          <w:szCs w:val="21"/>
        </w:rPr>
        <w:t>实操</w:t>
      </w:r>
      <w:r>
        <w:rPr>
          <w:rFonts w:ascii="宋体" w:hAnsi="宋体"/>
          <w:szCs w:val="21"/>
        </w:rPr>
        <w:t>能力</w:t>
      </w:r>
      <w:r>
        <w:rPr>
          <w:rFonts w:hint="eastAsia" w:ascii="宋体" w:hAnsi="宋体"/>
          <w:szCs w:val="21"/>
        </w:rPr>
        <w:t>。</w:t>
      </w:r>
    </w:p>
    <w:p>
      <w:pPr>
        <w:spacing w:line="360" w:lineRule="auto"/>
        <w:ind w:firstLine="411" w:firstLineChars="196"/>
        <w:rPr>
          <w:rFonts w:ascii="宋体" w:hAnsi="宋体"/>
          <w:szCs w:val="21"/>
        </w:rPr>
      </w:pPr>
      <w:r>
        <w:rPr>
          <w:rFonts w:hint="eastAsia" w:ascii="宋体" w:hAnsi="宋体"/>
          <w:szCs w:val="21"/>
        </w:rPr>
        <w:t>3.角色扮演法</w:t>
      </w:r>
    </w:p>
    <w:p>
      <w:pPr>
        <w:spacing w:line="360" w:lineRule="auto"/>
        <w:ind w:firstLine="411" w:firstLineChars="196"/>
        <w:rPr>
          <w:rFonts w:ascii="宋体" w:hAnsi="宋体"/>
          <w:szCs w:val="21"/>
        </w:rPr>
      </w:pPr>
      <w:r>
        <w:rPr>
          <w:rFonts w:hint="eastAsia" w:ascii="宋体" w:hAnsi="宋体"/>
          <w:szCs w:val="21"/>
        </w:rPr>
        <w:t>分角色实训有利于学生在工作中进行换位思考，有利于学生从不同角度得到技能的全面训练。虽然从总体上看，课程教学中学生的主要角色是财务共享服务</w:t>
      </w:r>
      <w:r>
        <w:rPr>
          <w:rFonts w:ascii="宋体" w:hAnsi="宋体"/>
          <w:szCs w:val="21"/>
        </w:rPr>
        <w:t>中心</w:t>
      </w:r>
      <w:r>
        <w:rPr>
          <w:rFonts w:hint="eastAsia" w:ascii="宋体" w:hAnsi="宋体"/>
          <w:szCs w:val="21"/>
        </w:rPr>
        <w:t>的</w:t>
      </w:r>
      <w:r>
        <w:rPr>
          <w:rFonts w:ascii="宋体" w:hAnsi="宋体"/>
          <w:szCs w:val="21"/>
        </w:rPr>
        <w:t>岗位</w:t>
      </w:r>
      <w:r>
        <w:rPr>
          <w:rFonts w:hint="eastAsia" w:ascii="宋体" w:hAnsi="宋体"/>
          <w:szCs w:val="21"/>
        </w:rPr>
        <w:t>，但是为了让</w:t>
      </w:r>
      <w:r>
        <w:rPr>
          <w:rFonts w:ascii="宋体" w:hAnsi="宋体"/>
          <w:szCs w:val="21"/>
        </w:rPr>
        <w:t>学生</w:t>
      </w:r>
      <w:r>
        <w:rPr>
          <w:rFonts w:hint="eastAsia" w:ascii="宋体" w:hAnsi="宋体"/>
          <w:szCs w:val="21"/>
        </w:rPr>
        <w:t>理解</w:t>
      </w:r>
      <w:r>
        <w:rPr>
          <w:rFonts w:ascii="宋体" w:hAnsi="宋体"/>
          <w:szCs w:val="21"/>
        </w:rPr>
        <w:t>业务财务和共享财务之间的流程协同与信息交互</w:t>
      </w:r>
      <w:r>
        <w:rPr>
          <w:rFonts w:hint="eastAsia" w:ascii="宋体" w:hAnsi="宋体"/>
          <w:szCs w:val="21"/>
        </w:rPr>
        <w:t>，学生在</w:t>
      </w:r>
      <w:r>
        <w:rPr>
          <w:rFonts w:ascii="宋体" w:hAnsi="宋体"/>
          <w:szCs w:val="21"/>
        </w:rPr>
        <w:t>特定的教学时段还要扮演业务财务甚至业务子公司的业务类岗位</w:t>
      </w:r>
      <w:r>
        <w:rPr>
          <w:rFonts w:hint="eastAsia" w:ascii="宋体" w:hAnsi="宋体"/>
          <w:szCs w:val="21"/>
        </w:rPr>
        <w:t>。分角色实训有利于学生在工作中进行换位思考，也有利于学生从不同角度得到技能的全面训练。</w:t>
      </w:r>
    </w:p>
    <w:p>
      <w:pPr>
        <w:spacing w:line="360" w:lineRule="auto"/>
        <w:ind w:firstLine="411" w:firstLineChars="196"/>
        <w:rPr>
          <w:rFonts w:ascii="宋体" w:hAnsi="宋体"/>
          <w:szCs w:val="21"/>
        </w:rPr>
      </w:pPr>
      <w:r>
        <w:rPr>
          <w:rFonts w:ascii="宋体" w:hAnsi="宋体"/>
          <w:szCs w:val="21"/>
        </w:rPr>
        <w:t>4</w:t>
      </w:r>
      <w:r>
        <w:rPr>
          <w:rFonts w:hint="eastAsia" w:ascii="宋体" w:hAnsi="宋体"/>
          <w:szCs w:val="21"/>
        </w:rPr>
        <w:t>．启发式教学法</w:t>
      </w:r>
    </w:p>
    <w:p>
      <w:pPr>
        <w:spacing w:line="360" w:lineRule="auto"/>
        <w:ind w:firstLine="411" w:firstLineChars="196"/>
        <w:rPr>
          <w:rFonts w:ascii="宋体" w:hAnsi="宋体"/>
          <w:szCs w:val="21"/>
        </w:rPr>
      </w:pPr>
      <w:r>
        <w:rPr>
          <w:rFonts w:hint="eastAsia" w:ascii="宋体" w:hAnsi="宋体"/>
          <w:szCs w:val="21"/>
        </w:rPr>
        <w:t>设计</w:t>
      </w:r>
      <w:r>
        <w:rPr>
          <w:rFonts w:ascii="宋体" w:hAnsi="宋体"/>
          <w:szCs w:val="21"/>
        </w:rPr>
        <w:t>启发</w:t>
      </w:r>
      <w:r>
        <w:rPr>
          <w:rFonts w:hint="eastAsia" w:ascii="宋体" w:hAnsi="宋体"/>
          <w:szCs w:val="21"/>
        </w:rPr>
        <w:t>、</w:t>
      </w:r>
      <w:r>
        <w:rPr>
          <w:rFonts w:ascii="宋体" w:hAnsi="宋体"/>
          <w:szCs w:val="21"/>
        </w:rPr>
        <w:t>诱导</w:t>
      </w:r>
      <w:r>
        <w:rPr>
          <w:rFonts w:hint="eastAsia" w:ascii="宋体" w:hAnsi="宋体"/>
          <w:szCs w:val="21"/>
        </w:rPr>
        <w:t>型的问题，将设问、答疑贯穿于教学的每一个环节，在</w:t>
      </w:r>
      <w:r>
        <w:rPr>
          <w:rFonts w:ascii="宋体" w:hAnsi="宋体"/>
          <w:szCs w:val="21"/>
        </w:rPr>
        <w:t>课程的里程碑阶段还引入行动学习</w:t>
      </w:r>
      <w:r>
        <w:rPr>
          <w:rFonts w:hint="eastAsia" w:ascii="宋体" w:hAnsi="宋体"/>
          <w:szCs w:val="21"/>
        </w:rPr>
        <w:t>（头脑风暴）</w:t>
      </w:r>
      <w:r>
        <w:rPr>
          <w:rFonts w:ascii="宋体" w:hAnsi="宋体"/>
          <w:szCs w:val="21"/>
        </w:rPr>
        <w:t>方法，</w:t>
      </w:r>
      <w:r>
        <w:rPr>
          <w:rFonts w:hint="eastAsia" w:ascii="宋体" w:hAnsi="宋体"/>
          <w:szCs w:val="21"/>
        </w:rPr>
        <w:t>引发学生思考和讨论，启迪学生企业价值</w:t>
      </w:r>
      <w:r>
        <w:rPr>
          <w:rFonts w:ascii="宋体" w:hAnsi="宋体"/>
          <w:szCs w:val="21"/>
        </w:rPr>
        <w:t>最大化的财会创新思维</w:t>
      </w:r>
      <w:r>
        <w:rPr>
          <w:rFonts w:hint="eastAsia" w:ascii="宋体" w:hAnsi="宋体"/>
          <w:szCs w:val="21"/>
        </w:rPr>
        <w:t>，进而促进</w:t>
      </w:r>
      <w:r>
        <w:rPr>
          <w:rFonts w:ascii="宋体" w:hAnsi="宋体"/>
          <w:szCs w:val="21"/>
        </w:rPr>
        <w:t>学生积极主动地学习，</w:t>
      </w:r>
      <w:r>
        <w:rPr>
          <w:rFonts w:hint="eastAsia" w:ascii="宋体" w:hAnsi="宋体"/>
          <w:szCs w:val="21"/>
        </w:rPr>
        <w:t>更好地激发学生的学习兴趣，加深对课程的理解。</w:t>
      </w:r>
    </w:p>
    <w:p>
      <w:pPr>
        <w:spacing w:line="360" w:lineRule="auto"/>
        <w:ind w:firstLine="411" w:firstLineChars="196"/>
        <w:rPr>
          <w:rFonts w:ascii="宋体" w:hAnsi="宋体"/>
          <w:szCs w:val="21"/>
        </w:rPr>
      </w:pPr>
      <w:r>
        <w:rPr>
          <w:rFonts w:hint="eastAsia" w:ascii="宋体" w:hAnsi="宋体"/>
          <w:szCs w:val="21"/>
        </w:rPr>
        <w:t>5. 项目</w:t>
      </w:r>
      <w:r>
        <w:rPr>
          <w:rFonts w:ascii="宋体" w:hAnsi="宋体"/>
          <w:szCs w:val="21"/>
        </w:rPr>
        <w:t>教学法</w:t>
      </w:r>
    </w:p>
    <w:p>
      <w:pPr>
        <w:spacing w:line="360" w:lineRule="auto"/>
        <w:ind w:firstLine="411" w:firstLineChars="196"/>
        <w:rPr>
          <w:rFonts w:ascii="宋体" w:hAnsi="宋体"/>
          <w:szCs w:val="21"/>
        </w:rPr>
      </w:pPr>
      <w:r>
        <w:rPr>
          <w:rFonts w:hint="eastAsia" w:ascii="宋体" w:hAnsi="宋体"/>
          <w:szCs w:val="21"/>
        </w:rPr>
        <w:t>项目教学，是师生通过共同实施一个完整的项目工作而进行的教学活动。职业教育中的项目一般是来自职业实践的工作任务。项目教学法适合于复杂问题的分析和解决，</w:t>
      </w:r>
      <w:r>
        <w:rPr>
          <w:rFonts w:ascii="宋体" w:hAnsi="宋体"/>
          <w:szCs w:val="21"/>
        </w:rPr>
        <w:t>本课程中“</w:t>
      </w:r>
      <w:r>
        <w:rPr>
          <w:rFonts w:hint="eastAsia" w:asciiTheme="minorEastAsia" w:hAnsiTheme="minorEastAsia" w:eastAsiaTheme="minorEastAsia"/>
          <w:szCs w:val="21"/>
        </w:rPr>
        <w:t>F</w:t>
      </w:r>
      <w:r>
        <w:rPr>
          <w:rFonts w:asciiTheme="minorEastAsia" w:hAnsiTheme="minorEastAsia" w:eastAsiaTheme="minorEastAsia"/>
          <w:szCs w:val="21"/>
        </w:rPr>
        <w:t>SSC</w:t>
      </w:r>
      <w:r>
        <w:rPr>
          <w:rFonts w:hint="eastAsia" w:asciiTheme="minorEastAsia" w:hAnsiTheme="minorEastAsia" w:eastAsiaTheme="minorEastAsia"/>
          <w:szCs w:val="21"/>
        </w:rPr>
        <w:t>规划</w:t>
      </w:r>
      <w:r>
        <w:rPr>
          <w:rFonts w:asciiTheme="minorEastAsia" w:hAnsiTheme="minorEastAsia" w:eastAsiaTheme="minorEastAsia"/>
          <w:szCs w:val="21"/>
        </w:rPr>
        <w:t>设计</w:t>
      </w:r>
      <w:r>
        <w:rPr>
          <w:rFonts w:hint="eastAsia" w:asciiTheme="minorEastAsia" w:hAnsiTheme="minorEastAsia" w:eastAsiaTheme="minorEastAsia"/>
          <w:szCs w:val="21"/>
        </w:rPr>
        <w:t>沙盘</w:t>
      </w:r>
      <w:r>
        <w:rPr>
          <w:rFonts w:asciiTheme="minorEastAsia" w:hAnsiTheme="minorEastAsia" w:eastAsiaTheme="minorEastAsia"/>
          <w:szCs w:val="21"/>
        </w:rPr>
        <w:t>模拟</w:t>
      </w:r>
      <w:r>
        <w:rPr>
          <w:rFonts w:ascii="宋体" w:hAnsi="宋体"/>
          <w:szCs w:val="21"/>
        </w:rPr>
        <w:t>”</w:t>
      </w:r>
      <w:r>
        <w:rPr>
          <w:rFonts w:hint="eastAsia" w:ascii="宋体" w:hAnsi="宋体"/>
          <w:szCs w:val="21"/>
        </w:rPr>
        <w:t>这一</w:t>
      </w:r>
      <w:r>
        <w:rPr>
          <w:rFonts w:ascii="宋体" w:hAnsi="宋体"/>
          <w:szCs w:val="21"/>
        </w:rPr>
        <w:t>教学内容，就</w:t>
      </w:r>
      <w:r>
        <w:rPr>
          <w:rFonts w:hint="eastAsia" w:ascii="宋体" w:hAnsi="宋体"/>
          <w:szCs w:val="21"/>
        </w:rPr>
        <w:t>采</w:t>
      </w:r>
      <w:r>
        <w:rPr>
          <w:rFonts w:ascii="宋体" w:hAnsi="宋体"/>
          <w:szCs w:val="21"/>
        </w:rPr>
        <w:t>用了项目</w:t>
      </w:r>
      <w:r>
        <w:rPr>
          <w:rFonts w:hint="eastAsia" w:ascii="宋体" w:hAnsi="宋体"/>
          <w:szCs w:val="21"/>
        </w:rPr>
        <w:t>教学法。</w:t>
      </w:r>
    </w:p>
    <w:p>
      <w:pPr>
        <w:spacing w:line="360" w:lineRule="auto"/>
        <w:ind w:firstLine="411" w:firstLineChars="196"/>
        <w:rPr>
          <w:rFonts w:ascii="宋体" w:hAnsi="宋体"/>
          <w:szCs w:val="21"/>
        </w:rPr>
      </w:pPr>
      <w:r>
        <w:rPr>
          <w:rFonts w:hint="eastAsia" w:ascii="宋体" w:hAnsi="宋体"/>
          <w:szCs w:val="21"/>
        </w:rPr>
        <w:t>（二）教学手段</w:t>
      </w:r>
    </w:p>
    <w:p>
      <w:pPr>
        <w:spacing w:line="360" w:lineRule="auto"/>
        <w:ind w:firstLine="411" w:firstLineChars="196"/>
        <w:rPr>
          <w:rFonts w:ascii="宋体" w:hAnsi="宋体"/>
          <w:szCs w:val="21"/>
        </w:rPr>
      </w:pPr>
      <w:r>
        <w:rPr>
          <w:rFonts w:hint="eastAsia" w:ascii="宋体" w:hAnsi="宋体"/>
          <w:szCs w:val="21"/>
        </w:rPr>
        <w:t>本课程尽可能充分使用现代化教学手段，比如多媒体技术、智适应教学平台和可连线企业现场的“双师课堂”。</w:t>
      </w:r>
    </w:p>
    <w:p>
      <w:pPr>
        <w:spacing w:line="360" w:lineRule="auto"/>
        <w:ind w:firstLine="411" w:firstLineChars="196"/>
        <w:rPr>
          <w:rFonts w:ascii="宋体" w:hAnsi="宋体"/>
          <w:szCs w:val="21"/>
        </w:rPr>
      </w:pPr>
      <w:r>
        <w:rPr>
          <w:rFonts w:hint="eastAsia" w:ascii="宋体" w:hAnsi="宋体"/>
          <w:szCs w:val="21"/>
        </w:rPr>
        <w:t>1.多媒体技术</w:t>
      </w:r>
    </w:p>
    <w:p>
      <w:pPr>
        <w:spacing w:line="360" w:lineRule="auto"/>
        <w:ind w:firstLine="411" w:firstLineChars="196"/>
        <w:rPr>
          <w:rFonts w:ascii="宋体" w:hAnsi="宋体"/>
          <w:szCs w:val="21"/>
        </w:rPr>
      </w:pPr>
      <w:r>
        <w:rPr>
          <w:rFonts w:hint="eastAsia" w:ascii="宋体" w:hAnsi="宋体"/>
          <w:kern w:val="0"/>
          <w:szCs w:val="21"/>
        </w:rPr>
        <w:t>充分使用</w:t>
      </w:r>
      <w:r>
        <w:rPr>
          <w:rFonts w:hint="eastAsia" w:ascii="宋体" w:hAnsi="宋体"/>
          <w:szCs w:val="21"/>
        </w:rPr>
        <w:t>多媒体技术，比如电子课件、投影、视频、音频等，为学生提供智能财务核算的操作过程演示，</w:t>
      </w:r>
      <w:r>
        <w:rPr>
          <w:rFonts w:hint="eastAsia" w:ascii="宋体" w:hAnsi="宋体"/>
          <w:kern w:val="0"/>
          <w:szCs w:val="21"/>
        </w:rPr>
        <w:t>使学生对课程建立全面的认识，并能按照操作演示的指引完成模拟操作。</w:t>
      </w:r>
    </w:p>
    <w:p>
      <w:pPr>
        <w:spacing w:line="360" w:lineRule="auto"/>
        <w:ind w:firstLine="411" w:firstLineChars="196"/>
        <w:rPr>
          <w:rFonts w:ascii="宋体" w:hAnsi="宋体"/>
          <w:szCs w:val="21"/>
        </w:rPr>
      </w:pPr>
      <w:r>
        <w:rPr>
          <w:rFonts w:hint="eastAsia" w:ascii="宋体" w:hAnsi="宋体"/>
          <w:szCs w:val="21"/>
        </w:rPr>
        <w:t>2.智适应教学平台</w:t>
      </w:r>
    </w:p>
    <w:p>
      <w:pPr>
        <w:spacing w:line="360" w:lineRule="auto"/>
        <w:ind w:firstLine="411" w:firstLineChars="196"/>
        <w:rPr>
          <w:rFonts w:ascii="宋体" w:hAnsi="宋体"/>
          <w:szCs w:val="21"/>
        </w:rPr>
      </w:pPr>
      <w:r>
        <w:rPr>
          <w:rFonts w:hint="eastAsia" w:ascii="宋体" w:hAnsi="宋体"/>
          <w:szCs w:val="21"/>
        </w:rPr>
        <w:t>可选择使用智适应教学平台，平台不仅有可供随时随处访问的教学资源数字化，还具备有智能助教功能、行为监控与评价功能、自动甄别功能等，可进行教学全过程评价，并对教学结果进行横向和纵向的数据分析。</w:t>
      </w:r>
    </w:p>
    <w:p>
      <w:pPr>
        <w:spacing w:line="360" w:lineRule="auto"/>
        <w:ind w:firstLine="411" w:firstLineChars="196"/>
        <w:rPr>
          <w:rFonts w:ascii="宋体" w:hAnsi="宋体"/>
          <w:szCs w:val="21"/>
        </w:rPr>
      </w:pPr>
      <w:r>
        <w:rPr>
          <w:rFonts w:hint="eastAsia" w:ascii="宋体" w:hAnsi="宋体"/>
          <w:szCs w:val="21"/>
        </w:rPr>
        <w:t>3．交互式双师课堂</w:t>
      </w:r>
    </w:p>
    <w:p>
      <w:pPr>
        <w:spacing w:line="360" w:lineRule="auto"/>
        <w:ind w:firstLine="411" w:firstLineChars="196"/>
        <w:rPr>
          <w:rFonts w:ascii="宋体" w:hAnsi="宋体"/>
          <w:szCs w:val="21"/>
        </w:rPr>
      </w:pPr>
      <w:r>
        <w:rPr>
          <w:rFonts w:hint="eastAsia" w:ascii="宋体" w:hAnsi="宋体"/>
          <w:szCs w:val="21"/>
        </w:rPr>
        <w:t>可使用互联网直播、录播、多方</w:t>
      </w:r>
      <w:r>
        <w:rPr>
          <w:rFonts w:ascii="宋体" w:hAnsi="宋体"/>
          <w:szCs w:val="21"/>
        </w:rPr>
        <w:t>实时协作</w:t>
      </w:r>
      <w:r>
        <w:rPr>
          <w:rFonts w:hint="eastAsia" w:ascii="宋体" w:hAnsi="宋体"/>
          <w:szCs w:val="21"/>
        </w:rPr>
        <w:t>的“双师课堂”，连线企业专家、业界名师，开展远程教学、协同教学、线上与线下互动教学，实现优质资源共享，缩短校企之间距离。</w:t>
      </w:r>
    </w:p>
    <w:p>
      <w:pPr>
        <w:pStyle w:val="5"/>
        <w:spacing w:before="156" w:beforeLines="50" w:after="156" w:afterLines="50"/>
        <w:ind w:firstLine="420" w:firstLineChars="200"/>
        <w:rPr>
          <w:rFonts w:ascii="黑体" w:hAnsi="黑体" w:eastAsia="黑体"/>
          <w:b w:val="0"/>
          <w:sz w:val="21"/>
          <w:szCs w:val="21"/>
        </w:rPr>
      </w:pPr>
      <w:r>
        <w:rPr>
          <w:rFonts w:hint="eastAsia" w:ascii="黑体" w:hAnsi="黑体" w:eastAsia="黑体"/>
          <w:b w:val="0"/>
          <w:sz w:val="21"/>
          <w:szCs w:val="21"/>
        </w:rPr>
        <w:t>五、教学评价</w:t>
      </w:r>
    </w:p>
    <w:p>
      <w:pPr>
        <w:spacing w:line="360" w:lineRule="auto"/>
        <w:ind w:firstLine="411" w:firstLineChars="196"/>
        <w:rPr>
          <w:rFonts w:ascii="宋体" w:hAnsi="宋体"/>
          <w:szCs w:val="21"/>
        </w:rPr>
      </w:pPr>
      <w:r>
        <w:rPr>
          <w:rFonts w:hint="eastAsia" w:ascii="宋体" w:hAnsi="宋体"/>
          <w:szCs w:val="21"/>
        </w:rPr>
        <w:t>本课程的考核方案分四个维度：测评考核（测评题）默认25%，学习行为考核（签到、学习时间，学习次数）默认25%，作业考核（老师评价、互评）默认25%，实训成果考核（实训报告）默认25%。除了“实训成果考核”为教师主观评判外，其余维度均由教学平台自动评价。教师</w:t>
      </w:r>
      <w:r>
        <w:rPr>
          <w:rFonts w:ascii="宋体" w:hAnsi="宋体"/>
          <w:szCs w:val="21"/>
        </w:rPr>
        <w:t>可根据本校具体情况</w:t>
      </w:r>
      <w:r>
        <w:rPr>
          <w:rFonts w:hint="eastAsia" w:ascii="宋体" w:hAnsi="宋体"/>
          <w:szCs w:val="21"/>
        </w:rPr>
        <w:t>，</w:t>
      </w:r>
      <w:r>
        <w:rPr>
          <w:rFonts w:ascii="宋体" w:hAnsi="宋体"/>
          <w:szCs w:val="21"/>
        </w:rPr>
        <w:t>在教学平台上自由调整</w:t>
      </w:r>
      <w:r>
        <w:rPr>
          <w:rFonts w:hint="eastAsia" w:ascii="宋体" w:hAnsi="宋体"/>
          <w:szCs w:val="21"/>
        </w:rPr>
        <w:t>各</w:t>
      </w:r>
      <w:r>
        <w:rPr>
          <w:rFonts w:ascii="宋体" w:hAnsi="宋体"/>
          <w:szCs w:val="21"/>
        </w:rPr>
        <w:t>维度的考核权重。</w:t>
      </w:r>
      <w:r>
        <w:rPr>
          <w:rFonts w:hint="eastAsia" w:ascii="宋体" w:hAnsi="宋体"/>
          <w:szCs w:val="21"/>
        </w:rPr>
        <w:t>本考核</w:t>
      </w:r>
      <w:r>
        <w:rPr>
          <w:rFonts w:ascii="宋体" w:hAnsi="宋体"/>
          <w:szCs w:val="21"/>
        </w:rPr>
        <w:t>方案</w:t>
      </w:r>
      <w:r>
        <w:rPr>
          <w:rFonts w:hint="eastAsia" w:ascii="宋体" w:hAnsi="宋体"/>
          <w:szCs w:val="21"/>
        </w:rPr>
        <w:t>主要考核评价学生对财务共享</w:t>
      </w:r>
      <w:r>
        <w:rPr>
          <w:rFonts w:ascii="宋体" w:hAnsi="宋体"/>
          <w:szCs w:val="21"/>
        </w:rPr>
        <w:t>基本概念</w:t>
      </w:r>
      <w:r>
        <w:rPr>
          <w:rFonts w:hint="eastAsia" w:ascii="宋体" w:hAnsi="宋体"/>
          <w:szCs w:val="21"/>
        </w:rPr>
        <w:t>的理解、对各种业务财务和</w:t>
      </w:r>
      <w:r>
        <w:rPr>
          <w:rFonts w:ascii="宋体" w:hAnsi="宋体"/>
          <w:szCs w:val="21"/>
        </w:rPr>
        <w:t>共享财务岗位职能和</w:t>
      </w:r>
      <w:r>
        <w:rPr>
          <w:rFonts w:hint="eastAsia" w:ascii="宋体" w:hAnsi="宋体"/>
          <w:szCs w:val="21"/>
        </w:rPr>
        <w:t>工作</w:t>
      </w:r>
      <w:r>
        <w:rPr>
          <w:rFonts w:ascii="宋体" w:hAnsi="宋体"/>
          <w:szCs w:val="21"/>
        </w:rPr>
        <w:t>流程</w:t>
      </w:r>
      <w:r>
        <w:rPr>
          <w:rFonts w:hint="eastAsia" w:ascii="宋体" w:hAnsi="宋体"/>
          <w:szCs w:val="21"/>
        </w:rPr>
        <w:t>的掌握。</w:t>
      </w:r>
    </w:p>
    <w:tbl>
      <w:tblPr>
        <w:tblStyle w:val="7"/>
        <w:tblW w:w="86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2"/>
        <w:gridCol w:w="4110"/>
        <w:gridCol w:w="2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2" w:type="dxa"/>
          </w:tcPr>
          <w:p>
            <w:pPr>
              <w:spacing w:line="360" w:lineRule="auto"/>
              <w:jc w:val="center"/>
              <w:rPr>
                <w:rFonts w:ascii="宋体" w:hAnsi="宋体"/>
                <w:kern w:val="0"/>
                <w:sz w:val="20"/>
                <w:szCs w:val="21"/>
              </w:rPr>
            </w:pPr>
          </w:p>
        </w:tc>
        <w:tc>
          <w:tcPr>
            <w:tcW w:w="4110" w:type="dxa"/>
          </w:tcPr>
          <w:p>
            <w:pPr>
              <w:spacing w:line="360" w:lineRule="auto"/>
              <w:jc w:val="center"/>
              <w:rPr>
                <w:rFonts w:ascii="宋体" w:hAnsi="宋体"/>
                <w:kern w:val="0"/>
                <w:sz w:val="20"/>
                <w:szCs w:val="21"/>
              </w:rPr>
            </w:pPr>
            <w:r>
              <w:rPr>
                <w:rFonts w:hint="eastAsia" w:ascii="宋体" w:hAnsi="宋体"/>
                <w:kern w:val="0"/>
                <w:sz w:val="20"/>
                <w:szCs w:val="21"/>
              </w:rPr>
              <w:t>平时成绩</w:t>
            </w:r>
          </w:p>
        </w:tc>
        <w:tc>
          <w:tcPr>
            <w:tcW w:w="2835" w:type="dxa"/>
          </w:tcPr>
          <w:p>
            <w:pPr>
              <w:spacing w:line="360" w:lineRule="auto"/>
              <w:jc w:val="center"/>
              <w:rPr>
                <w:rFonts w:ascii="宋体" w:hAnsi="宋体"/>
                <w:kern w:val="0"/>
                <w:sz w:val="20"/>
                <w:szCs w:val="21"/>
              </w:rPr>
            </w:pPr>
            <w:r>
              <w:rPr>
                <w:rFonts w:hint="eastAsia" w:ascii="宋体" w:hAnsi="宋体"/>
                <w:kern w:val="0"/>
                <w:sz w:val="20"/>
                <w:szCs w:val="21"/>
              </w:rPr>
              <w:t>期末考试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2" w:type="dxa"/>
            <w:vAlign w:val="center"/>
          </w:tcPr>
          <w:p>
            <w:pPr>
              <w:spacing w:line="360" w:lineRule="auto"/>
              <w:jc w:val="center"/>
              <w:rPr>
                <w:rFonts w:ascii="宋体" w:hAnsi="宋体"/>
                <w:kern w:val="0"/>
                <w:sz w:val="20"/>
                <w:szCs w:val="21"/>
              </w:rPr>
            </w:pPr>
            <w:r>
              <w:rPr>
                <w:rFonts w:hint="eastAsia" w:ascii="宋体" w:hAnsi="宋体"/>
                <w:kern w:val="0"/>
                <w:sz w:val="20"/>
                <w:szCs w:val="21"/>
              </w:rPr>
              <w:t>知识</w:t>
            </w:r>
          </w:p>
        </w:tc>
        <w:tc>
          <w:tcPr>
            <w:tcW w:w="4110" w:type="dxa"/>
            <w:vAlign w:val="center"/>
          </w:tcPr>
          <w:p>
            <w:pPr>
              <w:spacing w:line="360" w:lineRule="auto"/>
              <w:jc w:val="left"/>
              <w:rPr>
                <w:rFonts w:ascii="宋体" w:hAnsi="宋体"/>
                <w:kern w:val="0"/>
                <w:sz w:val="20"/>
                <w:szCs w:val="21"/>
              </w:rPr>
            </w:pPr>
            <w:r>
              <w:rPr>
                <w:rFonts w:hint="eastAsia" w:ascii="宋体" w:hAnsi="宋体"/>
                <w:kern w:val="0"/>
                <w:sz w:val="20"/>
                <w:szCs w:val="21"/>
              </w:rPr>
              <w:t>由老师根据各项目的知识目标，根据平时作业、课堂抽查的评价，占10%</w:t>
            </w:r>
          </w:p>
        </w:tc>
        <w:tc>
          <w:tcPr>
            <w:tcW w:w="2835" w:type="dxa"/>
            <w:vAlign w:val="center"/>
          </w:tcPr>
          <w:p>
            <w:pPr>
              <w:spacing w:line="360" w:lineRule="auto"/>
              <w:jc w:val="left"/>
              <w:rPr>
                <w:rFonts w:ascii="宋体" w:hAnsi="宋体"/>
                <w:kern w:val="0"/>
                <w:sz w:val="20"/>
                <w:szCs w:val="21"/>
              </w:rPr>
            </w:pPr>
            <w:r>
              <w:rPr>
                <w:rFonts w:hint="eastAsia" w:ascii="宋体" w:hAnsi="宋体"/>
                <w:kern w:val="0"/>
                <w:sz w:val="20"/>
                <w:szCs w:val="21"/>
              </w:rPr>
              <w:t>在试题库中进行组卷、闭卷笔试，占15%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2" w:type="dxa"/>
            <w:vAlign w:val="center"/>
          </w:tcPr>
          <w:p>
            <w:pPr>
              <w:spacing w:line="360" w:lineRule="auto"/>
              <w:jc w:val="center"/>
              <w:rPr>
                <w:rFonts w:ascii="宋体" w:hAnsi="宋体"/>
                <w:kern w:val="0"/>
                <w:sz w:val="20"/>
                <w:szCs w:val="21"/>
              </w:rPr>
            </w:pPr>
            <w:r>
              <w:rPr>
                <w:rFonts w:hint="eastAsia" w:ascii="宋体" w:hAnsi="宋体"/>
                <w:kern w:val="0"/>
                <w:sz w:val="20"/>
                <w:szCs w:val="21"/>
              </w:rPr>
              <w:t>技能</w:t>
            </w:r>
          </w:p>
        </w:tc>
        <w:tc>
          <w:tcPr>
            <w:tcW w:w="4110" w:type="dxa"/>
            <w:vAlign w:val="center"/>
          </w:tcPr>
          <w:p>
            <w:pPr>
              <w:spacing w:line="360" w:lineRule="auto"/>
              <w:jc w:val="left"/>
              <w:rPr>
                <w:rFonts w:ascii="宋体" w:hAnsi="宋体"/>
                <w:kern w:val="0"/>
                <w:sz w:val="20"/>
                <w:szCs w:val="21"/>
              </w:rPr>
            </w:pPr>
            <w:r>
              <w:rPr>
                <w:rFonts w:hint="eastAsia" w:ascii="宋体" w:hAnsi="宋体"/>
                <w:kern w:val="0"/>
                <w:sz w:val="20"/>
                <w:szCs w:val="21"/>
              </w:rPr>
              <w:t>主要对实务操作、案例分析完成情况进行评价，由老师主观评价或</w:t>
            </w:r>
            <w:r>
              <w:rPr>
                <w:rFonts w:ascii="宋体" w:hAnsi="宋体"/>
                <w:kern w:val="0"/>
                <w:sz w:val="20"/>
                <w:szCs w:val="21"/>
              </w:rPr>
              <w:t>学生</w:t>
            </w:r>
            <w:r>
              <w:rPr>
                <w:rFonts w:hint="eastAsia" w:ascii="宋体" w:hAnsi="宋体"/>
                <w:kern w:val="0"/>
                <w:sz w:val="20"/>
                <w:szCs w:val="21"/>
              </w:rPr>
              <w:t>主观</w:t>
            </w:r>
            <w:r>
              <w:rPr>
                <w:rFonts w:ascii="宋体" w:hAnsi="宋体"/>
                <w:kern w:val="0"/>
                <w:sz w:val="20"/>
                <w:szCs w:val="21"/>
              </w:rPr>
              <w:t>互评</w:t>
            </w:r>
            <w:r>
              <w:rPr>
                <w:rFonts w:hint="eastAsia" w:ascii="宋体" w:hAnsi="宋体"/>
                <w:kern w:val="0"/>
                <w:sz w:val="20"/>
                <w:szCs w:val="21"/>
              </w:rPr>
              <w:t>，占25%</w:t>
            </w:r>
          </w:p>
        </w:tc>
        <w:tc>
          <w:tcPr>
            <w:tcW w:w="2835" w:type="dxa"/>
            <w:vAlign w:val="center"/>
          </w:tcPr>
          <w:p>
            <w:pPr>
              <w:spacing w:line="360" w:lineRule="auto"/>
              <w:jc w:val="left"/>
              <w:rPr>
                <w:rFonts w:ascii="宋体" w:hAnsi="宋体"/>
                <w:kern w:val="0"/>
                <w:sz w:val="20"/>
                <w:szCs w:val="21"/>
              </w:rPr>
            </w:pPr>
            <w:r>
              <w:rPr>
                <w:rFonts w:hint="eastAsia" w:ascii="宋体" w:hAnsi="宋体"/>
                <w:kern w:val="0"/>
                <w:sz w:val="20"/>
                <w:szCs w:val="21"/>
              </w:rPr>
              <w:t>使用智能学习系统中的自动甄别功能，根据</w:t>
            </w:r>
            <w:r>
              <w:rPr>
                <w:rFonts w:ascii="宋体" w:hAnsi="宋体"/>
                <w:kern w:val="0"/>
                <w:sz w:val="20"/>
                <w:szCs w:val="21"/>
              </w:rPr>
              <w:t>学生实训完成情况评分</w:t>
            </w:r>
            <w:r>
              <w:rPr>
                <w:rFonts w:hint="eastAsia" w:ascii="宋体" w:hAnsi="宋体"/>
                <w:kern w:val="0"/>
                <w:sz w:val="20"/>
                <w:szCs w:val="21"/>
              </w:rPr>
              <w:t>，占25%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2" w:type="dxa"/>
            <w:vAlign w:val="center"/>
          </w:tcPr>
          <w:p>
            <w:pPr>
              <w:spacing w:line="360" w:lineRule="auto"/>
              <w:jc w:val="center"/>
              <w:rPr>
                <w:rFonts w:ascii="宋体" w:hAnsi="宋体"/>
                <w:kern w:val="0"/>
                <w:sz w:val="20"/>
                <w:szCs w:val="21"/>
              </w:rPr>
            </w:pPr>
            <w:r>
              <w:rPr>
                <w:rFonts w:hint="eastAsia" w:ascii="宋体" w:hAnsi="宋体"/>
                <w:kern w:val="0"/>
                <w:sz w:val="20"/>
                <w:szCs w:val="21"/>
              </w:rPr>
              <w:t>素质</w:t>
            </w:r>
          </w:p>
        </w:tc>
        <w:tc>
          <w:tcPr>
            <w:tcW w:w="4110" w:type="dxa"/>
            <w:vAlign w:val="center"/>
          </w:tcPr>
          <w:p>
            <w:pPr>
              <w:spacing w:line="360" w:lineRule="auto"/>
              <w:jc w:val="left"/>
              <w:rPr>
                <w:rFonts w:ascii="宋体" w:hAnsi="宋体"/>
                <w:kern w:val="0"/>
                <w:sz w:val="20"/>
                <w:szCs w:val="21"/>
              </w:rPr>
            </w:pPr>
            <w:r>
              <w:rPr>
                <w:rFonts w:hint="eastAsia" w:ascii="宋体" w:hAnsi="宋体"/>
                <w:kern w:val="0"/>
                <w:sz w:val="20"/>
                <w:szCs w:val="21"/>
              </w:rPr>
              <w:t>主要对素质素养进行评价，占</w:t>
            </w:r>
            <w:r>
              <w:rPr>
                <w:rFonts w:ascii="宋体" w:hAnsi="宋体"/>
                <w:kern w:val="0"/>
                <w:sz w:val="20"/>
                <w:szCs w:val="21"/>
              </w:rPr>
              <w:t>25</w:t>
            </w:r>
            <w:r>
              <w:rPr>
                <w:rFonts w:hint="eastAsia" w:ascii="宋体" w:hAnsi="宋体"/>
                <w:kern w:val="0"/>
                <w:sz w:val="20"/>
                <w:szCs w:val="21"/>
              </w:rPr>
              <w:t>%，详见下表</w:t>
            </w:r>
          </w:p>
        </w:tc>
        <w:tc>
          <w:tcPr>
            <w:tcW w:w="2835" w:type="dxa"/>
            <w:vAlign w:val="center"/>
          </w:tcPr>
          <w:p>
            <w:pPr>
              <w:spacing w:line="360" w:lineRule="auto"/>
              <w:jc w:val="center"/>
              <w:rPr>
                <w:rFonts w:ascii="宋体" w:hAnsi="宋体"/>
                <w:kern w:val="0"/>
                <w:sz w:val="20"/>
                <w:szCs w:val="21"/>
              </w:rPr>
            </w:pPr>
            <w:r>
              <w:rPr>
                <w:rFonts w:hint="eastAsia" w:ascii="宋体" w:hAnsi="宋体"/>
                <w:kern w:val="0"/>
                <w:sz w:val="20"/>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2" w:type="dxa"/>
            <w:vAlign w:val="center"/>
          </w:tcPr>
          <w:p>
            <w:pPr>
              <w:spacing w:line="360" w:lineRule="auto"/>
              <w:jc w:val="center"/>
              <w:rPr>
                <w:rFonts w:ascii="宋体" w:hAnsi="宋体"/>
                <w:kern w:val="0"/>
                <w:sz w:val="20"/>
                <w:szCs w:val="21"/>
              </w:rPr>
            </w:pPr>
            <w:r>
              <w:rPr>
                <w:rFonts w:hint="eastAsia" w:ascii="宋体" w:hAnsi="宋体"/>
                <w:kern w:val="0"/>
                <w:sz w:val="20"/>
                <w:szCs w:val="21"/>
              </w:rPr>
              <w:t>合计</w:t>
            </w:r>
          </w:p>
        </w:tc>
        <w:tc>
          <w:tcPr>
            <w:tcW w:w="4110" w:type="dxa"/>
            <w:vAlign w:val="center"/>
          </w:tcPr>
          <w:p>
            <w:pPr>
              <w:spacing w:line="360" w:lineRule="auto"/>
              <w:jc w:val="center"/>
              <w:rPr>
                <w:rFonts w:ascii="宋体" w:hAnsi="宋体"/>
                <w:kern w:val="0"/>
                <w:sz w:val="20"/>
                <w:szCs w:val="21"/>
              </w:rPr>
            </w:pPr>
            <w:r>
              <w:rPr>
                <w:rFonts w:ascii="宋体" w:hAnsi="宋体"/>
                <w:kern w:val="0"/>
                <w:sz w:val="20"/>
                <w:szCs w:val="21"/>
              </w:rPr>
              <w:t>60</w:t>
            </w:r>
            <w:r>
              <w:rPr>
                <w:rFonts w:hint="eastAsia" w:ascii="宋体" w:hAnsi="宋体"/>
                <w:kern w:val="0"/>
                <w:sz w:val="20"/>
                <w:szCs w:val="21"/>
              </w:rPr>
              <w:t>%</w:t>
            </w:r>
          </w:p>
        </w:tc>
        <w:tc>
          <w:tcPr>
            <w:tcW w:w="2835" w:type="dxa"/>
            <w:vAlign w:val="center"/>
          </w:tcPr>
          <w:p>
            <w:pPr>
              <w:spacing w:line="360" w:lineRule="auto"/>
              <w:jc w:val="center"/>
              <w:rPr>
                <w:rFonts w:ascii="宋体" w:hAnsi="宋体"/>
                <w:kern w:val="0"/>
                <w:sz w:val="20"/>
                <w:szCs w:val="21"/>
              </w:rPr>
            </w:pPr>
            <w:r>
              <w:rPr>
                <w:rFonts w:hint="eastAsia" w:ascii="宋体" w:hAnsi="宋体"/>
                <w:kern w:val="0"/>
                <w:sz w:val="20"/>
                <w:szCs w:val="21"/>
              </w:rPr>
              <w:t>40%</w:t>
            </w:r>
          </w:p>
        </w:tc>
      </w:tr>
    </w:tbl>
    <w:p>
      <w:pPr>
        <w:spacing w:line="360" w:lineRule="auto"/>
        <w:ind w:firstLine="411" w:firstLineChars="196"/>
        <w:rPr>
          <w:rFonts w:ascii="宋体" w:hAnsi="宋体"/>
          <w:szCs w:val="21"/>
        </w:rPr>
      </w:pPr>
      <w:r>
        <w:rPr>
          <w:rFonts w:hint="eastAsia" w:ascii="宋体" w:hAnsi="宋体"/>
          <w:szCs w:val="21"/>
        </w:rPr>
        <w:t>素质或素养的测试，可以依据以下量规表形式，手工记录评判。</w:t>
      </w:r>
    </w:p>
    <w:tbl>
      <w:tblPr>
        <w:tblStyle w:val="7"/>
        <w:tblpPr w:leftFromText="180" w:rightFromText="180" w:vertAnchor="text" w:horzAnchor="page" w:tblpXSpec="center" w:tblpY="62"/>
        <w:tblW w:w="86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6"/>
        <w:gridCol w:w="5387"/>
        <w:gridCol w:w="1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42" w:type="dxa"/>
            <w:gridSpan w:val="3"/>
            <w:vAlign w:val="center"/>
          </w:tcPr>
          <w:p>
            <w:pPr>
              <w:jc w:val="center"/>
              <w:rPr>
                <w:rFonts w:asciiTheme="majorEastAsia" w:hAnsiTheme="majorEastAsia" w:eastAsiaTheme="majorEastAsia"/>
                <w:kern w:val="0"/>
                <w:sz w:val="20"/>
                <w:szCs w:val="21"/>
              </w:rPr>
            </w:pPr>
            <w:r>
              <w:rPr>
                <w:rFonts w:hint="eastAsia" w:asciiTheme="majorEastAsia" w:hAnsiTheme="majorEastAsia" w:eastAsiaTheme="majorEastAsia"/>
                <w:kern w:val="0"/>
                <w:sz w:val="20"/>
                <w:szCs w:val="21"/>
              </w:rPr>
              <w:t>素质测评考核项目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vAlign w:val="center"/>
          </w:tcPr>
          <w:p>
            <w:pPr>
              <w:jc w:val="center"/>
              <w:rPr>
                <w:rFonts w:asciiTheme="majorEastAsia" w:hAnsiTheme="majorEastAsia" w:eastAsiaTheme="majorEastAsia"/>
                <w:kern w:val="0"/>
                <w:sz w:val="20"/>
                <w:szCs w:val="21"/>
              </w:rPr>
            </w:pPr>
            <w:r>
              <w:rPr>
                <w:rFonts w:hint="eastAsia" w:asciiTheme="majorEastAsia" w:hAnsiTheme="majorEastAsia" w:eastAsiaTheme="majorEastAsia"/>
                <w:kern w:val="0"/>
                <w:sz w:val="20"/>
                <w:szCs w:val="21"/>
              </w:rPr>
              <w:t>项目</w:t>
            </w:r>
          </w:p>
        </w:tc>
        <w:tc>
          <w:tcPr>
            <w:tcW w:w="5387" w:type="dxa"/>
            <w:vAlign w:val="center"/>
          </w:tcPr>
          <w:p>
            <w:pPr>
              <w:jc w:val="center"/>
              <w:rPr>
                <w:rFonts w:asciiTheme="majorEastAsia" w:hAnsiTheme="majorEastAsia" w:eastAsiaTheme="majorEastAsia"/>
                <w:kern w:val="0"/>
                <w:sz w:val="20"/>
                <w:szCs w:val="21"/>
              </w:rPr>
            </w:pPr>
            <w:r>
              <w:rPr>
                <w:rFonts w:hint="eastAsia" w:asciiTheme="majorEastAsia" w:hAnsiTheme="majorEastAsia" w:eastAsiaTheme="majorEastAsia"/>
                <w:kern w:val="0"/>
                <w:sz w:val="20"/>
                <w:szCs w:val="21"/>
              </w:rPr>
              <w:t>分数</w:t>
            </w:r>
          </w:p>
        </w:tc>
        <w:tc>
          <w:tcPr>
            <w:tcW w:w="1559" w:type="dxa"/>
            <w:vAlign w:val="center"/>
          </w:tcPr>
          <w:p>
            <w:pPr>
              <w:jc w:val="center"/>
              <w:rPr>
                <w:rFonts w:asciiTheme="majorEastAsia" w:hAnsiTheme="majorEastAsia" w:eastAsiaTheme="majorEastAsia"/>
                <w:kern w:val="0"/>
                <w:sz w:val="20"/>
                <w:szCs w:val="21"/>
              </w:rPr>
            </w:pPr>
            <w:r>
              <w:rPr>
                <w:rFonts w:hint="eastAsia" w:asciiTheme="majorEastAsia" w:hAnsiTheme="majorEastAsia" w:eastAsiaTheme="majorEastAsia"/>
                <w:kern w:val="0"/>
                <w:sz w:val="20"/>
                <w:szCs w:val="21"/>
              </w:rPr>
              <w:t>分数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vMerge w:val="restart"/>
            <w:vAlign w:val="center"/>
          </w:tcPr>
          <w:p>
            <w:pPr>
              <w:jc w:val="center"/>
              <w:rPr>
                <w:rFonts w:asciiTheme="majorEastAsia" w:hAnsiTheme="majorEastAsia" w:eastAsiaTheme="majorEastAsia"/>
                <w:kern w:val="0"/>
                <w:sz w:val="20"/>
                <w:szCs w:val="21"/>
              </w:rPr>
            </w:pPr>
            <w:r>
              <w:rPr>
                <w:rFonts w:hint="eastAsia" w:asciiTheme="majorEastAsia" w:hAnsiTheme="majorEastAsia" w:eastAsiaTheme="majorEastAsia"/>
                <w:kern w:val="0"/>
                <w:sz w:val="20"/>
                <w:szCs w:val="21"/>
              </w:rPr>
              <w:t>学习态度和课堂表现</w:t>
            </w:r>
          </w:p>
        </w:tc>
        <w:tc>
          <w:tcPr>
            <w:tcW w:w="5387" w:type="dxa"/>
            <w:vAlign w:val="center"/>
          </w:tcPr>
          <w:p>
            <w:pPr>
              <w:jc w:val="left"/>
              <w:rPr>
                <w:rFonts w:asciiTheme="majorEastAsia" w:hAnsiTheme="majorEastAsia" w:eastAsiaTheme="majorEastAsia"/>
                <w:kern w:val="0"/>
                <w:sz w:val="20"/>
                <w:szCs w:val="21"/>
              </w:rPr>
            </w:pPr>
            <w:r>
              <w:rPr>
                <w:bCs/>
                <w:color w:val="000000"/>
                <w:kern w:val="0"/>
                <w:sz w:val="20"/>
              </w:rPr>
              <w:t>课堂</w:t>
            </w:r>
            <w:r>
              <w:rPr>
                <w:rFonts w:hint="eastAsia"/>
                <w:bCs/>
                <w:color w:val="000000"/>
                <w:kern w:val="0"/>
                <w:sz w:val="20"/>
              </w:rPr>
              <w:t>考勤</w:t>
            </w:r>
            <w:r>
              <w:rPr>
                <w:bCs/>
                <w:color w:val="000000"/>
                <w:kern w:val="0"/>
                <w:sz w:val="20"/>
              </w:rPr>
              <w:t>，</w:t>
            </w:r>
            <w:r>
              <w:rPr>
                <w:rFonts w:hint="eastAsia"/>
                <w:bCs/>
                <w:color w:val="000000"/>
                <w:kern w:val="0"/>
                <w:sz w:val="20"/>
              </w:rPr>
              <w:t>按时上课，不得迟到早退</w:t>
            </w:r>
            <w:r>
              <w:rPr>
                <w:bCs/>
                <w:color w:val="000000"/>
                <w:kern w:val="0"/>
                <w:sz w:val="20"/>
              </w:rPr>
              <w:t>，</w:t>
            </w:r>
            <w:r>
              <w:rPr>
                <w:rFonts w:hint="eastAsia"/>
                <w:bCs/>
                <w:color w:val="000000"/>
                <w:kern w:val="0"/>
                <w:sz w:val="20"/>
              </w:rPr>
              <w:t>占</w:t>
            </w:r>
            <w:r>
              <w:rPr>
                <w:bCs/>
                <w:color w:val="000000"/>
                <w:kern w:val="0"/>
                <w:sz w:val="20"/>
              </w:rPr>
              <w:t>10%</w:t>
            </w:r>
          </w:p>
        </w:tc>
        <w:tc>
          <w:tcPr>
            <w:tcW w:w="1559" w:type="dxa"/>
            <w:vMerge w:val="restart"/>
            <w:vAlign w:val="center"/>
          </w:tcPr>
          <w:p>
            <w:pPr>
              <w:jc w:val="center"/>
              <w:rPr>
                <w:rFonts w:asciiTheme="majorEastAsia" w:hAnsiTheme="majorEastAsia" w:eastAsiaTheme="majorEastAsia"/>
                <w:kern w:val="0"/>
                <w:sz w:val="20"/>
                <w:szCs w:val="21"/>
              </w:rPr>
            </w:pPr>
            <w:r>
              <w:rPr>
                <w:rFonts w:hint="eastAsia" w:asciiTheme="majorEastAsia" w:hAnsiTheme="majorEastAsia" w:eastAsiaTheme="majorEastAsia"/>
                <w:kern w:val="0"/>
                <w:sz w:val="20"/>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vMerge w:val="continue"/>
            <w:vAlign w:val="center"/>
          </w:tcPr>
          <w:p>
            <w:pPr>
              <w:jc w:val="center"/>
              <w:rPr>
                <w:rFonts w:asciiTheme="majorEastAsia" w:hAnsiTheme="majorEastAsia" w:eastAsiaTheme="majorEastAsia"/>
                <w:kern w:val="0"/>
                <w:sz w:val="20"/>
                <w:szCs w:val="21"/>
              </w:rPr>
            </w:pPr>
          </w:p>
        </w:tc>
        <w:tc>
          <w:tcPr>
            <w:tcW w:w="5387" w:type="dxa"/>
            <w:vAlign w:val="center"/>
          </w:tcPr>
          <w:p>
            <w:pPr>
              <w:jc w:val="left"/>
              <w:rPr>
                <w:rFonts w:asciiTheme="majorEastAsia" w:hAnsiTheme="majorEastAsia" w:eastAsiaTheme="majorEastAsia"/>
                <w:kern w:val="0"/>
                <w:sz w:val="20"/>
                <w:szCs w:val="21"/>
              </w:rPr>
            </w:pPr>
            <w:r>
              <w:rPr>
                <w:rFonts w:hint="eastAsia"/>
                <w:bCs/>
                <w:color w:val="000000"/>
                <w:kern w:val="0"/>
                <w:sz w:val="20"/>
              </w:rPr>
              <w:t>根据其</w:t>
            </w:r>
            <w:r>
              <w:rPr>
                <w:bCs/>
                <w:color w:val="000000"/>
                <w:kern w:val="0"/>
                <w:sz w:val="20"/>
              </w:rPr>
              <w:t>在线学习的次数和时长，给出合理的分数，占 10%</w:t>
            </w:r>
          </w:p>
        </w:tc>
        <w:tc>
          <w:tcPr>
            <w:tcW w:w="1559" w:type="dxa"/>
            <w:vMerge w:val="continue"/>
            <w:vAlign w:val="center"/>
          </w:tcPr>
          <w:p>
            <w:pPr>
              <w:jc w:val="center"/>
              <w:rPr>
                <w:rFonts w:asciiTheme="majorEastAsia" w:hAnsiTheme="majorEastAsia" w:eastAsiaTheme="majorEastAsia"/>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vAlign w:val="center"/>
          </w:tcPr>
          <w:p>
            <w:pPr>
              <w:jc w:val="center"/>
              <w:rPr>
                <w:rFonts w:asciiTheme="majorEastAsia" w:hAnsiTheme="majorEastAsia" w:eastAsiaTheme="majorEastAsia"/>
                <w:kern w:val="0"/>
                <w:sz w:val="20"/>
                <w:szCs w:val="21"/>
              </w:rPr>
            </w:pPr>
            <w:r>
              <w:rPr>
                <w:rFonts w:hint="eastAsia" w:asciiTheme="majorEastAsia" w:hAnsiTheme="majorEastAsia" w:eastAsiaTheme="majorEastAsia"/>
                <w:kern w:val="0"/>
                <w:sz w:val="20"/>
                <w:szCs w:val="21"/>
              </w:rPr>
              <w:t>发现问题、解决问题能力</w:t>
            </w:r>
          </w:p>
        </w:tc>
        <w:tc>
          <w:tcPr>
            <w:tcW w:w="5387" w:type="dxa"/>
            <w:vAlign w:val="center"/>
          </w:tcPr>
          <w:p>
            <w:pPr>
              <w:jc w:val="left"/>
              <w:rPr>
                <w:rFonts w:asciiTheme="majorEastAsia" w:hAnsiTheme="majorEastAsia" w:eastAsiaTheme="majorEastAsia"/>
                <w:kern w:val="0"/>
                <w:sz w:val="20"/>
                <w:szCs w:val="21"/>
              </w:rPr>
            </w:pPr>
            <w:r>
              <w:rPr>
                <w:rFonts w:hint="eastAsia" w:asciiTheme="majorEastAsia" w:hAnsiTheme="majorEastAsia" w:eastAsiaTheme="majorEastAsia"/>
                <w:kern w:val="0"/>
                <w:sz w:val="20"/>
                <w:szCs w:val="21"/>
              </w:rPr>
              <w:t>项目报告或课程报告，根据学生</w:t>
            </w:r>
            <w:r>
              <w:rPr>
                <w:rFonts w:hint="eastAsia"/>
                <w:bCs/>
                <w:color w:val="000000"/>
                <w:kern w:val="0"/>
                <w:sz w:val="20"/>
              </w:rPr>
              <w:t>自己的观点</w:t>
            </w:r>
            <w:r>
              <w:rPr>
                <w:bCs/>
                <w:color w:val="000000"/>
                <w:kern w:val="0"/>
                <w:sz w:val="20"/>
              </w:rPr>
              <w:t>，</w:t>
            </w:r>
            <w:r>
              <w:rPr>
                <w:rFonts w:hint="eastAsia" w:asciiTheme="majorEastAsia" w:hAnsiTheme="majorEastAsia" w:eastAsiaTheme="majorEastAsia"/>
                <w:kern w:val="0"/>
                <w:sz w:val="20"/>
                <w:szCs w:val="21"/>
              </w:rPr>
              <w:t>给出合理的分数，占20%</w:t>
            </w:r>
          </w:p>
        </w:tc>
        <w:tc>
          <w:tcPr>
            <w:tcW w:w="1559" w:type="dxa"/>
            <w:vAlign w:val="center"/>
          </w:tcPr>
          <w:p>
            <w:pPr>
              <w:jc w:val="center"/>
              <w:rPr>
                <w:rFonts w:asciiTheme="majorEastAsia" w:hAnsiTheme="majorEastAsia" w:eastAsiaTheme="majorEastAsia"/>
                <w:kern w:val="0"/>
                <w:sz w:val="20"/>
                <w:szCs w:val="21"/>
              </w:rPr>
            </w:pPr>
            <w:r>
              <w:rPr>
                <w:rFonts w:hint="eastAsia" w:asciiTheme="majorEastAsia" w:hAnsiTheme="majorEastAsia" w:eastAsiaTheme="majorEastAsia"/>
                <w:kern w:val="0"/>
                <w:sz w:val="20"/>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vAlign w:val="center"/>
          </w:tcPr>
          <w:p>
            <w:pPr>
              <w:jc w:val="center"/>
              <w:rPr>
                <w:rFonts w:asciiTheme="majorEastAsia" w:hAnsiTheme="majorEastAsia" w:eastAsiaTheme="majorEastAsia"/>
                <w:kern w:val="0"/>
                <w:sz w:val="20"/>
                <w:szCs w:val="21"/>
              </w:rPr>
            </w:pPr>
            <w:r>
              <w:rPr>
                <w:rFonts w:hint="eastAsia" w:asciiTheme="majorEastAsia" w:hAnsiTheme="majorEastAsia" w:eastAsiaTheme="majorEastAsia"/>
                <w:kern w:val="0"/>
                <w:sz w:val="20"/>
                <w:szCs w:val="21"/>
              </w:rPr>
              <w:t>团队合作能力</w:t>
            </w:r>
          </w:p>
        </w:tc>
        <w:tc>
          <w:tcPr>
            <w:tcW w:w="5387" w:type="dxa"/>
            <w:vAlign w:val="center"/>
          </w:tcPr>
          <w:p>
            <w:pPr>
              <w:jc w:val="left"/>
              <w:rPr>
                <w:rFonts w:asciiTheme="majorEastAsia" w:hAnsiTheme="majorEastAsia" w:eastAsiaTheme="majorEastAsia"/>
                <w:kern w:val="0"/>
                <w:sz w:val="20"/>
                <w:szCs w:val="21"/>
              </w:rPr>
            </w:pPr>
            <w:r>
              <w:rPr>
                <w:rFonts w:hint="eastAsia" w:asciiTheme="majorEastAsia" w:hAnsiTheme="majorEastAsia" w:eastAsiaTheme="majorEastAsia"/>
                <w:kern w:val="0"/>
                <w:sz w:val="20"/>
                <w:szCs w:val="21"/>
              </w:rPr>
              <w:t>根据团队作业报告，给出合理的分数，占20%</w:t>
            </w:r>
          </w:p>
        </w:tc>
        <w:tc>
          <w:tcPr>
            <w:tcW w:w="1559" w:type="dxa"/>
            <w:vAlign w:val="center"/>
          </w:tcPr>
          <w:p>
            <w:pPr>
              <w:jc w:val="center"/>
              <w:rPr>
                <w:rFonts w:asciiTheme="majorEastAsia" w:hAnsiTheme="majorEastAsia" w:eastAsiaTheme="majorEastAsia"/>
                <w:kern w:val="0"/>
                <w:sz w:val="20"/>
                <w:szCs w:val="21"/>
              </w:rPr>
            </w:pPr>
            <w:r>
              <w:rPr>
                <w:rFonts w:hint="eastAsia" w:asciiTheme="majorEastAsia" w:hAnsiTheme="majorEastAsia" w:eastAsiaTheme="majorEastAsia"/>
                <w:kern w:val="0"/>
                <w:sz w:val="20"/>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vAlign w:val="center"/>
          </w:tcPr>
          <w:p>
            <w:pPr>
              <w:jc w:val="center"/>
              <w:rPr>
                <w:rFonts w:asciiTheme="majorEastAsia" w:hAnsiTheme="majorEastAsia" w:eastAsiaTheme="majorEastAsia"/>
                <w:kern w:val="0"/>
                <w:sz w:val="20"/>
                <w:szCs w:val="21"/>
              </w:rPr>
            </w:pPr>
            <w:r>
              <w:rPr>
                <w:rFonts w:hint="eastAsia" w:asciiTheme="majorEastAsia" w:hAnsiTheme="majorEastAsia" w:eastAsiaTheme="majorEastAsia"/>
                <w:kern w:val="0"/>
                <w:sz w:val="20"/>
                <w:szCs w:val="21"/>
              </w:rPr>
              <w:t>创新能力</w:t>
            </w:r>
          </w:p>
        </w:tc>
        <w:tc>
          <w:tcPr>
            <w:tcW w:w="5387" w:type="dxa"/>
            <w:vAlign w:val="center"/>
          </w:tcPr>
          <w:p>
            <w:pPr>
              <w:pStyle w:val="12"/>
              <w:spacing w:line="400" w:lineRule="exact"/>
              <w:ind w:firstLine="0" w:firstLineChars="0"/>
              <w:rPr>
                <w:rFonts w:ascii="Times New Roman" w:hAnsi="Times New Roman" w:eastAsia="宋体" w:cs="Times New Roman"/>
                <w:b w:val="0"/>
                <w:bCs/>
                <w:color w:val="000000"/>
                <w:kern w:val="0"/>
                <w:sz w:val="20"/>
              </w:rPr>
            </w:pPr>
            <w:r>
              <w:rPr>
                <w:rFonts w:hint="eastAsia" w:ascii="Times New Roman" w:hAnsi="Times New Roman" w:eastAsia="宋体" w:cs="Times New Roman"/>
                <w:b w:val="0"/>
                <w:bCs/>
                <w:color w:val="000000"/>
                <w:kern w:val="0"/>
                <w:sz w:val="20"/>
              </w:rPr>
              <w:t>根据项目实训报告的创新性，给出合理的分数，占20%</w:t>
            </w:r>
          </w:p>
        </w:tc>
        <w:tc>
          <w:tcPr>
            <w:tcW w:w="1559" w:type="dxa"/>
            <w:vAlign w:val="center"/>
          </w:tcPr>
          <w:p>
            <w:pPr>
              <w:jc w:val="center"/>
              <w:rPr>
                <w:rFonts w:asciiTheme="majorEastAsia" w:hAnsiTheme="majorEastAsia" w:eastAsiaTheme="majorEastAsia"/>
                <w:kern w:val="0"/>
                <w:sz w:val="20"/>
                <w:szCs w:val="21"/>
              </w:rPr>
            </w:pPr>
            <w:r>
              <w:rPr>
                <w:rFonts w:hint="eastAsia" w:asciiTheme="majorEastAsia" w:hAnsiTheme="majorEastAsia" w:eastAsiaTheme="majorEastAsia"/>
                <w:kern w:val="0"/>
                <w:sz w:val="20"/>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vAlign w:val="center"/>
          </w:tcPr>
          <w:p>
            <w:pPr>
              <w:jc w:val="center"/>
              <w:rPr>
                <w:rFonts w:asciiTheme="majorEastAsia" w:hAnsiTheme="majorEastAsia" w:eastAsiaTheme="majorEastAsia"/>
                <w:kern w:val="0"/>
                <w:sz w:val="20"/>
                <w:szCs w:val="21"/>
              </w:rPr>
            </w:pPr>
            <w:r>
              <w:rPr>
                <w:rFonts w:hint="eastAsia" w:asciiTheme="majorEastAsia" w:hAnsiTheme="majorEastAsia" w:eastAsiaTheme="majorEastAsia"/>
                <w:kern w:val="0"/>
                <w:sz w:val="20"/>
                <w:szCs w:val="21"/>
              </w:rPr>
              <w:t>演讲沟通能力</w:t>
            </w:r>
          </w:p>
        </w:tc>
        <w:tc>
          <w:tcPr>
            <w:tcW w:w="5387" w:type="dxa"/>
            <w:vAlign w:val="center"/>
          </w:tcPr>
          <w:p>
            <w:pPr>
              <w:pStyle w:val="12"/>
              <w:spacing w:line="400" w:lineRule="exact"/>
              <w:ind w:firstLine="0" w:firstLineChars="0"/>
              <w:rPr>
                <w:rFonts w:ascii="Times New Roman" w:hAnsi="Times New Roman" w:eastAsia="宋体" w:cs="Times New Roman"/>
                <w:b w:val="0"/>
                <w:bCs/>
                <w:color w:val="000000"/>
                <w:kern w:val="0"/>
                <w:sz w:val="20"/>
              </w:rPr>
            </w:pPr>
            <w:r>
              <w:rPr>
                <w:rFonts w:hint="eastAsia" w:ascii="Times New Roman" w:hAnsi="Times New Roman" w:eastAsia="宋体" w:cs="Times New Roman"/>
                <w:b w:val="0"/>
                <w:bCs/>
                <w:color w:val="000000"/>
                <w:kern w:val="0"/>
                <w:sz w:val="20"/>
              </w:rPr>
              <w:t>根据课程汇报、项目汇报的演讲效果、观众反应等给出合理的分数，占20%</w:t>
            </w:r>
          </w:p>
        </w:tc>
        <w:tc>
          <w:tcPr>
            <w:tcW w:w="1559" w:type="dxa"/>
            <w:vAlign w:val="center"/>
          </w:tcPr>
          <w:p>
            <w:pPr>
              <w:jc w:val="center"/>
              <w:rPr>
                <w:rFonts w:asciiTheme="majorEastAsia" w:hAnsiTheme="majorEastAsia" w:eastAsiaTheme="majorEastAsia"/>
                <w:kern w:val="0"/>
                <w:sz w:val="20"/>
                <w:szCs w:val="21"/>
              </w:rPr>
            </w:pPr>
            <w:r>
              <w:rPr>
                <w:rFonts w:hint="eastAsia" w:asciiTheme="majorEastAsia" w:hAnsiTheme="majorEastAsia" w:eastAsiaTheme="majorEastAsia"/>
                <w:kern w:val="0"/>
                <w:sz w:val="20"/>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3" w:type="dxa"/>
            <w:gridSpan w:val="2"/>
            <w:vAlign w:val="center"/>
          </w:tcPr>
          <w:p>
            <w:pPr>
              <w:jc w:val="center"/>
              <w:rPr>
                <w:rFonts w:asciiTheme="majorEastAsia" w:hAnsiTheme="majorEastAsia" w:eastAsiaTheme="majorEastAsia"/>
                <w:kern w:val="0"/>
                <w:sz w:val="20"/>
                <w:szCs w:val="21"/>
              </w:rPr>
            </w:pPr>
            <w:r>
              <w:rPr>
                <w:rFonts w:hint="eastAsia" w:asciiTheme="majorEastAsia" w:hAnsiTheme="majorEastAsia" w:eastAsiaTheme="majorEastAsia"/>
                <w:kern w:val="0"/>
                <w:sz w:val="20"/>
                <w:szCs w:val="21"/>
              </w:rPr>
              <w:t>共计</w:t>
            </w:r>
          </w:p>
        </w:tc>
        <w:tc>
          <w:tcPr>
            <w:tcW w:w="1559" w:type="dxa"/>
            <w:vAlign w:val="center"/>
          </w:tcPr>
          <w:p>
            <w:pPr>
              <w:jc w:val="center"/>
              <w:rPr>
                <w:rFonts w:asciiTheme="majorEastAsia" w:hAnsiTheme="majorEastAsia" w:eastAsiaTheme="majorEastAsia"/>
                <w:kern w:val="0"/>
                <w:sz w:val="20"/>
                <w:szCs w:val="21"/>
              </w:rPr>
            </w:pPr>
            <w:r>
              <w:rPr>
                <w:rFonts w:hint="eastAsia" w:asciiTheme="majorEastAsia" w:hAnsiTheme="majorEastAsia" w:eastAsiaTheme="majorEastAsia"/>
                <w:kern w:val="0"/>
                <w:sz w:val="20"/>
                <w:szCs w:val="21"/>
              </w:rPr>
              <w:t>100</w:t>
            </w:r>
          </w:p>
        </w:tc>
      </w:tr>
    </w:tbl>
    <w:p>
      <w:pPr>
        <w:spacing w:line="360" w:lineRule="auto"/>
        <w:ind w:firstLine="411" w:firstLineChars="196"/>
        <w:rPr>
          <w:rFonts w:ascii="宋体" w:hAnsi="宋体"/>
          <w:szCs w:val="21"/>
        </w:rPr>
      </w:pPr>
    </w:p>
    <w:p>
      <w:pPr>
        <w:spacing w:line="360" w:lineRule="auto"/>
        <w:ind w:firstLine="411" w:firstLineChars="196"/>
        <w:rPr>
          <w:rFonts w:ascii="宋体" w:hAnsi="宋体"/>
          <w:color w:val="FF0000"/>
          <w:szCs w:val="21"/>
        </w:rPr>
      </w:pPr>
    </w:p>
    <w:p>
      <w:pPr>
        <w:spacing w:line="560" w:lineRule="exact"/>
      </w:pPr>
    </w:p>
    <w:p>
      <w:pPr>
        <w:spacing w:line="560" w:lineRule="exact"/>
      </w:pPr>
    </w:p>
    <w:p>
      <w:pPr>
        <w:spacing w:line="560" w:lineRule="exact"/>
      </w:pPr>
    </w:p>
    <w:sectPr>
      <w:footerReference r:id="rId3" w:type="default"/>
      <w:footerReference r:id="rId4" w:type="even"/>
      <w:pgSz w:w="11906" w:h="16838"/>
      <w:pgMar w:top="1531" w:right="1701" w:bottom="1531" w:left="1701" w:header="851" w:footer="1418" w:gutter="57"/>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方正小标宋简体">
    <w:altName w:val="微软雅黑"/>
    <w:panose1 w:val="00000000000000000000"/>
    <w:charset w:val="86"/>
    <w:family w:val="script"/>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modern"/>
    <w:pitch w:val="default"/>
    <w:sig w:usb0="00000000" w:usb1="00000000" w:usb2="0000000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A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rPr>
        <w:rStyle w:val="9"/>
        <w:rFonts w:ascii="宋体" w:hAnsi="宋体"/>
        <w:sz w:val="28"/>
      </w:rPr>
    </w:pPr>
    <w:r>
      <w:rPr>
        <w:rStyle w:val="9"/>
        <w:rFonts w:hint="eastAsia" w:ascii="宋体" w:hAnsi="宋体"/>
        <w:sz w:val="28"/>
      </w:rPr>
      <w:t xml:space="preserve">—  </w:t>
    </w:r>
    <w:r>
      <w:rPr>
        <w:rStyle w:val="9"/>
        <w:rFonts w:ascii="宋体" w:hAnsi="宋体"/>
        <w:sz w:val="28"/>
      </w:rPr>
      <w:fldChar w:fldCharType="begin"/>
    </w:r>
    <w:r>
      <w:rPr>
        <w:rStyle w:val="9"/>
        <w:rFonts w:ascii="宋体" w:hAnsi="宋体"/>
        <w:sz w:val="28"/>
      </w:rPr>
      <w:instrText xml:space="preserve">PAGE  </w:instrText>
    </w:r>
    <w:r>
      <w:rPr>
        <w:rStyle w:val="9"/>
        <w:rFonts w:ascii="宋体" w:hAnsi="宋体"/>
        <w:sz w:val="28"/>
      </w:rPr>
      <w:fldChar w:fldCharType="separate"/>
    </w:r>
    <w:r>
      <w:rPr>
        <w:rStyle w:val="9"/>
        <w:rFonts w:ascii="宋体" w:hAnsi="宋体"/>
        <w:sz w:val="28"/>
      </w:rPr>
      <w:t>6</w:t>
    </w:r>
    <w:r>
      <w:rPr>
        <w:rStyle w:val="9"/>
        <w:rFonts w:ascii="宋体" w:hAnsi="宋体"/>
        <w:sz w:val="28"/>
      </w:rPr>
      <w:fldChar w:fldCharType="end"/>
    </w:r>
    <w:r>
      <w:rPr>
        <w:rStyle w:val="9"/>
        <w:rFonts w:hint="eastAsia" w:ascii="宋体" w:hAnsi="宋体"/>
        <w:sz w:val="28"/>
      </w:rPr>
      <w:t xml:space="preserve">  —</w:t>
    </w:r>
  </w:p>
  <w:p>
    <w:pPr>
      <w:pStyle w:val="2"/>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rPr>
        <w:rStyle w:val="9"/>
      </w:rPr>
    </w:pPr>
    <w:r>
      <w:rPr>
        <w:rStyle w:val="9"/>
      </w:rPr>
      <w:fldChar w:fldCharType="begin"/>
    </w:r>
    <w:r>
      <w:rPr>
        <w:rStyle w:val="9"/>
      </w:rPr>
      <w:instrText xml:space="preserve">PAGE  </w:instrText>
    </w:r>
    <w:r>
      <w:rPr>
        <w:rStyle w:val="9"/>
      </w:rPr>
      <w:fldChar w:fldCharType="separate"/>
    </w:r>
    <w:r>
      <w:rPr>
        <w:rStyle w:val="9"/>
      </w:rPr>
      <w:t>1</w:t>
    </w:r>
    <w:r>
      <w:rPr>
        <w:rStyle w:val="9"/>
      </w:rPr>
      <w:fldChar w:fldCharType="end"/>
    </w:r>
  </w:p>
  <w:p>
    <w:pPr>
      <w:pStyle w:val="2"/>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950E5B"/>
    <w:multiLevelType w:val="multilevel"/>
    <w:tmpl w:val="33950E5B"/>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
    <w:nsid w:val="474B5B80"/>
    <w:multiLevelType w:val="multilevel"/>
    <w:tmpl w:val="474B5B80"/>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2">
    <w:nsid w:val="63F45F87"/>
    <w:multiLevelType w:val="multilevel"/>
    <w:tmpl w:val="63F45F87"/>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159"/>
    <w:rsid w:val="00011B29"/>
    <w:rsid w:val="00036A3C"/>
    <w:rsid w:val="00044F2D"/>
    <w:rsid w:val="00046D5F"/>
    <w:rsid w:val="000475BA"/>
    <w:rsid w:val="00066ECC"/>
    <w:rsid w:val="00094C01"/>
    <w:rsid w:val="000C226B"/>
    <w:rsid w:val="000D15BE"/>
    <w:rsid w:val="000D1A11"/>
    <w:rsid w:val="000D5993"/>
    <w:rsid w:val="000D665A"/>
    <w:rsid w:val="00112C10"/>
    <w:rsid w:val="00130A70"/>
    <w:rsid w:val="00154F00"/>
    <w:rsid w:val="00181069"/>
    <w:rsid w:val="001D4381"/>
    <w:rsid w:val="001D6881"/>
    <w:rsid w:val="001E44F2"/>
    <w:rsid w:val="001E4ADD"/>
    <w:rsid w:val="001E7885"/>
    <w:rsid w:val="001F5455"/>
    <w:rsid w:val="001F66F0"/>
    <w:rsid w:val="0025445E"/>
    <w:rsid w:val="00256783"/>
    <w:rsid w:val="00277726"/>
    <w:rsid w:val="00284E1C"/>
    <w:rsid w:val="00286A3E"/>
    <w:rsid w:val="002B52BE"/>
    <w:rsid w:val="002D287C"/>
    <w:rsid w:val="002E11DA"/>
    <w:rsid w:val="00302302"/>
    <w:rsid w:val="00315D15"/>
    <w:rsid w:val="0033438C"/>
    <w:rsid w:val="00345D44"/>
    <w:rsid w:val="003642E6"/>
    <w:rsid w:val="00366FFC"/>
    <w:rsid w:val="00367CFE"/>
    <w:rsid w:val="00373BE7"/>
    <w:rsid w:val="003A1073"/>
    <w:rsid w:val="003A51EC"/>
    <w:rsid w:val="003A66B9"/>
    <w:rsid w:val="003D1ECD"/>
    <w:rsid w:val="003D6DDA"/>
    <w:rsid w:val="0041317B"/>
    <w:rsid w:val="0041618C"/>
    <w:rsid w:val="00423F49"/>
    <w:rsid w:val="0043244D"/>
    <w:rsid w:val="004806AD"/>
    <w:rsid w:val="00484A9E"/>
    <w:rsid w:val="004A4532"/>
    <w:rsid w:val="004B14C9"/>
    <w:rsid w:val="004B7372"/>
    <w:rsid w:val="00521544"/>
    <w:rsid w:val="00544485"/>
    <w:rsid w:val="005450C3"/>
    <w:rsid w:val="005878C7"/>
    <w:rsid w:val="005935AF"/>
    <w:rsid w:val="005C4076"/>
    <w:rsid w:val="005C5EB5"/>
    <w:rsid w:val="005D0928"/>
    <w:rsid w:val="005E53FD"/>
    <w:rsid w:val="00615AF7"/>
    <w:rsid w:val="006407BF"/>
    <w:rsid w:val="00652AB4"/>
    <w:rsid w:val="00661741"/>
    <w:rsid w:val="006716B1"/>
    <w:rsid w:val="006717A0"/>
    <w:rsid w:val="006852C3"/>
    <w:rsid w:val="006865F4"/>
    <w:rsid w:val="006936A0"/>
    <w:rsid w:val="006A3228"/>
    <w:rsid w:val="00702C25"/>
    <w:rsid w:val="0070452F"/>
    <w:rsid w:val="00704548"/>
    <w:rsid w:val="00706C26"/>
    <w:rsid w:val="00735B57"/>
    <w:rsid w:val="00745286"/>
    <w:rsid w:val="007472FF"/>
    <w:rsid w:val="007720A0"/>
    <w:rsid w:val="00774DB0"/>
    <w:rsid w:val="007916EE"/>
    <w:rsid w:val="007D449C"/>
    <w:rsid w:val="007D50BA"/>
    <w:rsid w:val="007F0DB4"/>
    <w:rsid w:val="007F4C6B"/>
    <w:rsid w:val="00874995"/>
    <w:rsid w:val="00875E08"/>
    <w:rsid w:val="0088482F"/>
    <w:rsid w:val="008864DC"/>
    <w:rsid w:val="00887F27"/>
    <w:rsid w:val="00896677"/>
    <w:rsid w:val="008A4545"/>
    <w:rsid w:val="008D636E"/>
    <w:rsid w:val="0090062F"/>
    <w:rsid w:val="0092032C"/>
    <w:rsid w:val="00936B82"/>
    <w:rsid w:val="00941246"/>
    <w:rsid w:val="00953DAF"/>
    <w:rsid w:val="009A2BDF"/>
    <w:rsid w:val="00A073C8"/>
    <w:rsid w:val="00A2031B"/>
    <w:rsid w:val="00A25ED1"/>
    <w:rsid w:val="00A278AA"/>
    <w:rsid w:val="00A33D75"/>
    <w:rsid w:val="00A5423B"/>
    <w:rsid w:val="00A55B32"/>
    <w:rsid w:val="00AC05AE"/>
    <w:rsid w:val="00AC3AFB"/>
    <w:rsid w:val="00AF0486"/>
    <w:rsid w:val="00B04D07"/>
    <w:rsid w:val="00B100C3"/>
    <w:rsid w:val="00B60515"/>
    <w:rsid w:val="00B7302F"/>
    <w:rsid w:val="00B8674E"/>
    <w:rsid w:val="00B94416"/>
    <w:rsid w:val="00B96A11"/>
    <w:rsid w:val="00BC1333"/>
    <w:rsid w:val="00BC2A6D"/>
    <w:rsid w:val="00BD25DB"/>
    <w:rsid w:val="00BE33FD"/>
    <w:rsid w:val="00BE7A64"/>
    <w:rsid w:val="00BF2BA8"/>
    <w:rsid w:val="00C30FC8"/>
    <w:rsid w:val="00C32817"/>
    <w:rsid w:val="00C52E25"/>
    <w:rsid w:val="00C63BD1"/>
    <w:rsid w:val="00C6710A"/>
    <w:rsid w:val="00C75159"/>
    <w:rsid w:val="00C82C00"/>
    <w:rsid w:val="00C85AB2"/>
    <w:rsid w:val="00CC74DF"/>
    <w:rsid w:val="00CD3591"/>
    <w:rsid w:val="00CF71B3"/>
    <w:rsid w:val="00D0082E"/>
    <w:rsid w:val="00D40A73"/>
    <w:rsid w:val="00D55CA5"/>
    <w:rsid w:val="00D6223B"/>
    <w:rsid w:val="00D86216"/>
    <w:rsid w:val="00D87C30"/>
    <w:rsid w:val="00D97AEB"/>
    <w:rsid w:val="00DB07C2"/>
    <w:rsid w:val="00DF2FBB"/>
    <w:rsid w:val="00E2317A"/>
    <w:rsid w:val="00E4190B"/>
    <w:rsid w:val="00E50D4C"/>
    <w:rsid w:val="00E51629"/>
    <w:rsid w:val="00E779ED"/>
    <w:rsid w:val="00ED12FF"/>
    <w:rsid w:val="00EF69E5"/>
    <w:rsid w:val="00F86A54"/>
    <w:rsid w:val="00F96910"/>
    <w:rsid w:val="00FC2ED6"/>
    <w:rsid w:val="00FE259A"/>
    <w:rsid w:val="00FF2D74"/>
    <w:rsid w:val="00FF55E4"/>
    <w:rsid w:val="2AC05575"/>
    <w:rsid w:val="3B6917E7"/>
    <w:rsid w:val="4E8B4E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rPr>
  </w:style>
  <w:style w:type="paragraph" w:styleId="3">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uiPriority w:val="0"/>
    <w:pPr>
      <w:widowControl/>
      <w:spacing w:before="100" w:beforeAutospacing="1" w:after="100" w:afterAutospacing="1"/>
      <w:jc w:val="left"/>
    </w:pPr>
    <w:rPr>
      <w:rFonts w:ascii="宋体" w:hAnsi="宋体" w:cs="宋体"/>
      <w:kern w:val="0"/>
      <w:sz w:val="24"/>
      <w:szCs w:val="24"/>
    </w:rPr>
  </w:style>
  <w:style w:type="paragraph" w:styleId="5">
    <w:name w:val="Title"/>
    <w:basedOn w:val="1"/>
    <w:next w:val="1"/>
    <w:qFormat/>
    <w:uiPriority w:val="10"/>
    <w:pPr>
      <w:spacing w:before="240" w:after="60"/>
      <w:jc w:val="left"/>
      <w:outlineLvl w:val="0"/>
    </w:pPr>
    <w:rPr>
      <w:rFonts w:asciiTheme="majorHAnsi" w:hAnsiTheme="majorHAnsi" w:eastAsiaTheme="majorEastAsia" w:cstheme="majorBidi"/>
      <w:b/>
      <w:bCs/>
      <w:sz w:val="32"/>
      <w:szCs w:val="32"/>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page number"/>
    <w:basedOn w:val="8"/>
    <w:qFormat/>
    <w:uiPriority w:val="0"/>
  </w:style>
  <w:style w:type="character" w:customStyle="1" w:styleId="10">
    <w:name w:val="页脚 字符"/>
    <w:link w:val="2"/>
    <w:qFormat/>
    <w:uiPriority w:val="0"/>
    <w:rPr>
      <w:kern w:val="2"/>
      <w:sz w:val="18"/>
    </w:rPr>
  </w:style>
  <w:style w:type="paragraph" w:styleId="11">
    <w:name w:val="List Paragraph"/>
    <w:basedOn w:val="1"/>
    <w:qFormat/>
    <w:uiPriority w:val="34"/>
    <w:pPr>
      <w:ind w:firstLine="420" w:firstLineChars="200"/>
    </w:pPr>
  </w:style>
  <w:style w:type="paragraph" w:customStyle="1" w:styleId="12">
    <w:name w:val="aaa"/>
    <w:basedOn w:val="1"/>
    <w:qFormat/>
    <w:uiPriority w:val="0"/>
    <w:pPr>
      <w:widowControl/>
      <w:adjustRightInd w:val="0"/>
      <w:snapToGrid w:val="0"/>
      <w:spacing w:line="240" w:lineRule="atLeast"/>
      <w:ind w:firstLine="472" w:firstLineChars="196"/>
      <w:jc w:val="left"/>
    </w:pPr>
    <w:rPr>
      <w:rFonts w:ascii="黑体" w:hAnsi="宋体" w:eastAsia="黑体" w:cstheme="minorBidi"/>
      <w:b/>
      <w:szCs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10</Pages>
  <Words>957</Words>
  <Characters>5459</Characters>
  <Lines>45</Lines>
  <Paragraphs>12</Paragraphs>
  <TotalTime>18</TotalTime>
  <ScaleCrop>false</ScaleCrop>
  <LinksUpToDate>false</LinksUpToDate>
  <CharactersWithSpaces>6404</CharactersWithSpaces>
  <Application>WPS Office_11.1.0.9740_F1E327BC-269C-435d-A152-05C5408002CA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2020-06-28T02:03:00Z</dcterms:created>
  <dc:creator>Dell</dc:creator>
  <cp:lastModifiedBy>WU ING</cp:lastModifiedBy>
  <cp:lastPrinted>2013-05-28T01:18:00Z</cp:lastPrinted>
  <dcterms:modified xsi:type="dcterms:W3CDTF">2020-07-14T01:21:37Z</dcterms:modified>
  <dc:title>沪教委〔2001〕号                   签发人：</dc:title>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