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防疫相关政策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所有来(返)川人员，除提供48小时内核酸检测阴性证明、查验健康码和通信行程卡外，还须在各查验点通过“四川天府健康通”扫描“入川即检特殊场所码”( 简称“入川码”)。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非省外来(返)川人员注意，如误扫“入川码”，请凭临时弹窗和身份证就近完成免费核酸检测，核酸检测结果为阴性的，24小时后自动解除临时弹窗。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扫“入川码”后，手机将出现24小时临时弹窗，收到临时弹窗信息后，须于24小时内在川完成1次核酸检测(可凭临时弹窗和身份证在目的地就近免费测1次核酸)，核酸检测结果为阴性的，24小时后自动解除临时弹窗。否则“四川天府健康通”健康码将变成黄码影响出行，检测结果阴性后将恢复为绿码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自4月15日起，我省根据风险大小，将国内有本土疫情发生的地市(包括地级市、省会城市、直辖市划分为A类地区(疫情输入我省风险高的地市)、B类地区(除A类地区外，有本土疫情发生的省外其他地市)，实行分类管控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所有来(返)川人员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所有来(返)川人员需提供48小时内核酸检测阴性证明，配合查验健康码、通信行程卡，并在入川后24小时内再进行1次核酸检测。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A类地区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对7天内有A类地区旅居史的来(返)川人员，实施集中隔离直至抵川后满7天，第1、3、7天进行咽拭子核酸检测，最后1次双采双检阴性后解除隔离。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B类地区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对7天内有B类地区旅居史的来(返)川人员，按以下方式实施分类管理：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(1)对有本土疫情发生的县(市、区、旗)旅居史的来(返)川人员，实施居家隔离直至抵川后满7天，第1、3、7天进行咽拭子核酸检测，最后1次双采双检阴性后解除隔离，不具备居家隔离条件的，实施集中隔离。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auto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(2)对有其他县(市、区、旗)旅居史的来(返)川人员，入川后实施3天2次(间隔24小时)咽拭子核酸检测，检测结果未出之前，非必要不外出、不聚集。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52525"/>
          <w:spacing w:val="0"/>
          <w:sz w:val="24"/>
          <w:szCs w:val="24"/>
          <w:shd w:val="clear" w:fill="FFFFFF"/>
        </w:rPr>
        <w:t>入境人员来蓉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  <w:shd w:val="clear" w:fill="FFFFFF"/>
        </w:rPr>
        <w:t>对所有从我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  <w:shd w:val="clear" w:fill="FFFFFF"/>
        </w:rPr>
        <w:t>省口岸入境人员实行14天集中隔离，期间第1、4、7、10、14天完成鼻咽拭子核酸检测。解除隔离后，目的地为省内的，由各市(州)闭环接回当地，实行7天居家或集中隔离，期间第2、7天完成鼻咽拭子核酸检测;目的地为省外的，闭环送至机场、车站并向目的地通报信息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  <w:shd w:val="clear" w:fill="FFFFFF"/>
        </w:rPr>
        <w:t>入境后在省外完成14天集中隔离的来(返)川人员，应居家或集中隔离直至入境时间满21天，期间至少完成2次鼻咽拭子核酸检测。入境人员解除居家或集中隔离时应采取双采双检，并满足人、物、环境三样本同时核酸检测阴性。进口冷链食品实行集中监管仓制度和库长制，强化进口冷链和非冷链货物新冠病毒核酸检测和预防性消毒，实行全链条信息化追溯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  <w:shd w:val="clear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center"/>
        <w:textAlignment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四川省疫情防控重点地区提示表</w:t>
      </w:r>
    </w:p>
    <w:p>
      <w:pPr>
        <w:widowControl/>
        <w:jc w:val="center"/>
        <w:textAlignment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（2022年5月4日）</w:t>
      </w:r>
    </w:p>
    <w:tbl>
      <w:tblPr>
        <w:tblStyle w:val="3"/>
        <w:tblW w:w="13279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2239"/>
        <w:gridCol w:w="1170"/>
        <w:gridCol w:w="800"/>
        <w:gridCol w:w="1810"/>
        <w:gridCol w:w="2480"/>
        <w:gridCol w:w="30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省份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排查时间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市州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分类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7天集中隔离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7天居家隔离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3天2次核酸检测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上海市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00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FFFF" w:themeColor="background1"/>
                <w:kern w:val="0"/>
                <w:szCs w:val="21"/>
                <w:lang w:bidi="ar"/>
                <w14:textFill>
                  <w14:solidFill>
                    <w14:schemeClr w14:val="bg1"/>
                  </w14:solidFill>
                </w14:textFill>
              </w:rPr>
              <w:t>——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00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kern w:val="0"/>
                <w:szCs w:val="21"/>
                <w:lang w:bidi="ar"/>
                <w14:textFill>
                  <w14:solidFill>
                    <w14:schemeClr w14:val="bg1"/>
                  </w14:solidFill>
                </w14:textFill>
              </w:rPr>
              <w:t>A类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00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FFFF" w:themeColor="background1"/>
                <w:kern w:val="0"/>
                <w:szCs w:val="21"/>
                <w:lang w:bidi="ar"/>
                <w14:textFill>
                  <w14:solidFill>
                    <w14:schemeClr w14:val="bg1"/>
                  </w14:solidFill>
                </w14:textFill>
              </w:rPr>
              <w:t>上海市全域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00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FFFF" w:themeColor="background1"/>
                <w:kern w:val="0"/>
                <w:szCs w:val="21"/>
                <w:lang w:bidi="ar"/>
                <w14:textFill>
                  <w14:solidFill>
                    <w14:schemeClr w14:val="bg1"/>
                  </w14:solidFill>
                </w14:textFill>
              </w:rPr>
              <w:t>——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00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FFFF" w:themeColor="background1"/>
                <w:kern w:val="0"/>
                <w:szCs w:val="21"/>
                <w:lang w:bidi="ar"/>
                <w14:textFill>
                  <w14:solidFill>
                    <w14:schemeClr w14:val="bg1"/>
                  </w14:solidFill>
                </w14:textFill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吉林省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长春市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长春市全域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延边州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延边州全域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白城市</w:t>
            </w:r>
          </w:p>
        </w:tc>
        <w:tc>
          <w:tcPr>
            <w:tcW w:w="8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经开区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白城市其他地区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江苏省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苏州市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苏州市全域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徐州市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徐州市全域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扬州市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仪征市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扬州市其他地区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无锡市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江阴市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无锡市其他地区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泰州市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靖江市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泰州市其他地区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浙江省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嘉兴市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嘉兴市全域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杭州市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杭州市全域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丽水市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云和县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丽水市其他地区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天台县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台州市其他地区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宁波市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鄞州区、奉化区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宁波市其他地区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山东省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济南市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济南市全域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临沂市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兰山区、兰陵县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临沂市其他地区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烟台市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招远市、蓬莱区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烟台市其他地区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滨州市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滨城区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滨州市其他地区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江西省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南昌市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南昌市全域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上饶市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万年县、信州区、广信区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上饶市其他地区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辽宁省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丹东市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丹东市全域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营口市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Style w:val="6"/>
                <w:rFonts w:hint="default"/>
                <w:sz w:val="21"/>
                <w:szCs w:val="21"/>
                <w:lang w:bidi="ar"/>
              </w:rPr>
              <w:t>鲅鱼圈区、</w:t>
            </w:r>
            <w:r>
              <w:rPr>
                <w:rStyle w:val="7"/>
                <w:rFonts w:hint="default"/>
                <w:sz w:val="21"/>
                <w:szCs w:val="21"/>
                <w:lang w:bidi="ar"/>
              </w:rPr>
              <w:t>大石桥市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营口市其他地区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黑龙江省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哈尔滨市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南岗区、双城区、香坊区、道里区、道外区、平房区、松北区、宾县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哈尔滨市其他地区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牡丹江市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绥芬河市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牡丹江市其他地区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河北省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邯郸市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魏县、曲周县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邯郸市其他地区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唐山市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迁安市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唐山市其他地区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邢台市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Style w:val="6"/>
                <w:rFonts w:hint="default"/>
                <w:sz w:val="21"/>
                <w:szCs w:val="21"/>
                <w:lang w:bidi="ar"/>
              </w:rPr>
              <w:t>南和区、</w:t>
            </w:r>
            <w:r>
              <w:rPr>
                <w:rStyle w:val="7"/>
                <w:rFonts w:hint="default"/>
                <w:sz w:val="21"/>
                <w:szCs w:val="21"/>
                <w:lang w:bidi="ar"/>
              </w:rPr>
              <w:t>任泽区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邢台市其他地区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自4月29日以来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沧州市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盐山县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沧州市其他地区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自4月30日以来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张家口市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宣化区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张家口市其他地区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河南省</w:t>
            </w:r>
          </w:p>
        </w:tc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信阳市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固始县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信阳市其他地区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郑州市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郑州市全域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——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自4月29日以来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许昌市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魏都区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许昌市其他地区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自4月30日以来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商丘市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睢阳区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商丘市其他地区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安徽省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亳州市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利辛县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亳州市其他地区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北京市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Style w:val="8"/>
                <w:rFonts w:hint="default"/>
                <w:sz w:val="21"/>
                <w:szCs w:val="21"/>
                <w:lang w:bidi="ar"/>
              </w:rPr>
              <w:t>朝阳区、顺义区、房山区、丰台区、通州区、大兴区、海淀区、</w:t>
            </w:r>
            <w:r>
              <w:rPr>
                <w:rStyle w:val="7"/>
                <w:rFonts w:hint="default"/>
                <w:sz w:val="21"/>
                <w:szCs w:val="21"/>
                <w:lang w:bidi="ar"/>
              </w:rPr>
              <w:t>东城区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北京市其他地区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湖南省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邵阳市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双清区、大祥区、北塔区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邵阳市其他地区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内蒙古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呼伦贝尔市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满洲里市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呼伦贝尔市其他地区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广东省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广州市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白云区（含白云机场）、越秀区、花都区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广州市其他地区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新疆维吾尔自治区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自4月28日以来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乌鲁木齐市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B类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米东区、天山区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t>乌鲁木齐市其他地区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Cs w:val="21"/>
                <w:lang w:bidi="ar"/>
              </w:rPr>
              <w:t>今日新增</w:t>
            </w:r>
          </w:p>
        </w:tc>
        <w:tc>
          <w:tcPr>
            <w:tcW w:w="11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Cs w:val="21"/>
                <w:lang w:bidi="ar"/>
              </w:rPr>
              <w:t>河南省许昌市魏都区，商丘市睢阳区，郑州市中原区、管城区、惠济区、高新区、经开区；江苏省无锡市江阴市；北京市东城区；新疆维吾尔自治区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Cs w:val="21"/>
                <w:lang w:val="en-US" w:eastAsia="zh-CN" w:bidi="ar"/>
              </w:rPr>
              <w:t>乌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Cs w:val="21"/>
                <w:lang w:bidi="ar"/>
              </w:rPr>
              <w:t>鲁木齐市米东区、天山区；辽宁省营口市大石桥市；河北省邢台市任泽区；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4472C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4472C4"/>
                <w:kern w:val="0"/>
                <w:szCs w:val="21"/>
                <w:lang w:bidi="ar"/>
              </w:rPr>
              <w:t>今日解除</w:t>
            </w:r>
          </w:p>
        </w:tc>
        <w:tc>
          <w:tcPr>
            <w:tcW w:w="11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2F75B5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2F75B5"/>
                <w:kern w:val="0"/>
                <w:szCs w:val="21"/>
                <w:lang w:bidi="ar"/>
              </w:rPr>
              <w:t>吉林</w:t>
            </w:r>
            <w:r>
              <w:rPr>
                <w:rFonts w:hint="eastAsia" w:ascii="宋体" w:hAnsi="宋体" w:eastAsia="宋体" w:cs="宋体"/>
                <w:b/>
                <w:bCs/>
                <w:color w:val="2F75B5"/>
                <w:kern w:val="0"/>
                <w:szCs w:val="21"/>
                <w:lang w:val="en-US" w:eastAsia="zh-CN" w:bidi="ar"/>
              </w:rPr>
              <w:t>省</w:t>
            </w:r>
            <w:r>
              <w:rPr>
                <w:rFonts w:hint="eastAsia" w:ascii="宋体" w:hAnsi="宋体" w:eastAsia="宋体" w:cs="宋体"/>
                <w:b/>
                <w:bCs/>
                <w:color w:val="2F75B5"/>
                <w:kern w:val="0"/>
                <w:szCs w:val="21"/>
                <w:lang w:bidi="ar"/>
              </w:rPr>
              <w:t>吉林市；江苏省常州市；山东省聊城市、淄博市；河北省秦皇岛市。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ED7D3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ED7D31"/>
                <w:kern w:val="0"/>
                <w:szCs w:val="21"/>
                <w:lang w:bidi="ar"/>
              </w:rPr>
              <w:t>今日调整</w:t>
            </w:r>
          </w:p>
        </w:tc>
        <w:tc>
          <w:tcPr>
            <w:tcW w:w="11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ED7D31"/>
                <w:szCs w:val="21"/>
              </w:rPr>
            </w:pPr>
            <w:r>
              <w:rPr>
                <w:rStyle w:val="9"/>
                <w:rFonts w:hint="default"/>
                <w:sz w:val="21"/>
                <w:szCs w:val="21"/>
                <w:lang w:bidi="ar"/>
              </w:rPr>
              <w:t>长春市由A类调整为B类，全域居家隔离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集中隔离</w:t>
            </w:r>
          </w:p>
        </w:tc>
        <w:tc>
          <w:tcPr>
            <w:tcW w:w="11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直至抵川后满 ７ 天，第 １、３、７ 天进行咽拭子核酸检测，最后１次双采双检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居家隔离</w:t>
            </w:r>
          </w:p>
        </w:tc>
        <w:tc>
          <w:tcPr>
            <w:tcW w:w="11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直至抵川后满 ７ 天，第 １、３、７ 天进行咽拭子核酸检测，最后１次双采双检（不具备居家隔离条件的，实施集中隔离）。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三天两检</w:t>
            </w:r>
          </w:p>
        </w:tc>
        <w:tc>
          <w:tcPr>
            <w:tcW w:w="11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Style w:val="6"/>
                <w:rFonts w:hint="default"/>
                <w:sz w:val="21"/>
                <w:szCs w:val="21"/>
                <w:lang w:bidi="ar"/>
              </w:rPr>
              <w:t>入川后进行3天2次（间隔24小时）核酸检测，检测结果未出之前，非必要不外出，不聚集。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4"/>
          <w:szCs w:val="24"/>
          <w:shd w:val="clear" w:fill="FFFFFF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64349D"/>
    <w:rsid w:val="1664349D"/>
    <w:rsid w:val="6270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51"/>
    <w:basedOn w:val="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8">
    <w:name w:val="font9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61"/>
    <w:basedOn w:val="4"/>
    <w:qFormat/>
    <w:uiPriority w:val="0"/>
    <w:rPr>
      <w:rFonts w:hint="eastAsia" w:ascii="宋体" w:hAnsi="宋体" w:eastAsia="宋体" w:cs="宋体"/>
      <w:b/>
      <w:bCs/>
      <w:color w:val="ED7D31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2022-05-06T06:38:00Z</dcterms:created>
  <dc:creator>罗庆彪</dc:creator>
  <cp:lastModifiedBy>罗庆彪</cp:lastModifiedBy>
  <dcterms:modified xsi:type="dcterms:W3CDTF">2022-05-06T06:38:36Z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507F3C80AD204A6993E4E057F7323625</vt:lpwstr>
  </property>
</Properties>
</file>