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jc w:val="center"/>
        <w:outlineLvl w:val="0"/>
        <w:rPr>
          <w:rFonts w:hint="eastAsia" w:ascii="方正小标宋_GBK" w:hAnsi="方正小标宋_GBK" w:eastAsia="方正小标宋_GBK" w:cs="方正小标宋_GBK"/>
          <w:b/>
          <w:bCs/>
          <w:color w:val="000000"/>
          <w:spacing w:val="-10"/>
          <w:sz w:val="32"/>
          <w:szCs w:val="32"/>
          <w:lang w:eastAsia="zh-CN"/>
        </w:rPr>
      </w:pPr>
      <w:bookmarkStart w:id="0" w:name="_Toc516669130"/>
      <w:r>
        <w:rPr>
          <w:rFonts w:hint="eastAsia" w:ascii="方正小标宋_GBK" w:hAnsi="方正小标宋_GBK" w:eastAsia="方正小标宋_GBK" w:cs="方正小标宋_GBK"/>
          <w:b/>
          <w:bCs/>
          <w:color w:val="000000"/>
          <w:spacing w:val="-10"/>
          <w:sz w:val="32"/>
          <w:szCs w:val="32"/>
        </w:rPr>
        <w:t>成都文理学院毕业论文（设计）管理规定</w:t>
      </w:r>
      <w:bookmarkEnd w:id="0"/>
      <w:r>
        <w:rPr>
          <w:rFonts w:hint="eastAsia" w:ascii="方正小标宋_GBK" w:hAnsi="方正小标宋_GBK" w:eastAsia="方正小标宋_GBK" w:cs="方正小标宋_GBK"/>
          <w:b/>
          <w:bCs/>
          <w:color w:val="000000"/>
          <w:spacing w:val="-10"/>
          <w:sz w:val="32"/>
          <w:szCs w:val="32"/>
          <w:lang w:eastAsia="zh-CN"/>
        </w:rPr>
        <w:t>（</w:t>
      </w:r>
      <w:r>
        <w:rPr>
          <w:rFonts w:hint="eastAsia" w:ascii="方正小标宋_GBK" w:hAnsi="方正小标宋_GBK" w:eastAsia="方正小标宋_GBK" w:cs="方正小标宋_GBK"/>
          <w:b/>
          <w:bCs/>
          <w:color w:val="000000"/>
          <w:spacing w:val="-10"/>
          <w:sz w:val="32"/>
          <w:szCs w:val="32"/>
          <w:lang w:val="en-US" w:eastAsia="zh-CN"/>
        </w:rPr>
        <w:t>修订</w:t>
      </w:r>
      <w:r>
        <w:rPr>
          <w:rFonts w:hint="eastAsia" w:ascii="方正小标宋_GBK" w:hAnsi="方正小标宋_GBK" w:eastAsia="方正小标宋_GBK" w:cs="方正小标宋_GBK"/>
          <w:b/>
          <w:bCs/>
          <w:color w:val="000000"/>
          <w:spacing w:val="-10"/>
          <w:sz w:val="32"/>
          <w:szCs w:val="32"/>
          <w:lang w:eastAsia="zh-CN"/>
        </w:rPr>
        <w:t>）</w:t>
      </w:r>
    </w:p>
    <w:p>
      <w:pPr>
        <w:keepNext w:val="0"/>
        <w:keepLines w:val="0"/>
        <w:pageBreakBefore w:val="0"/>
        <w:widowControl/>
        <w:kinsoku/>
        <w:wordWrap/>
        <w:overflowPunct/>
        <w:topLinePunct w:val="0"/>
        <w:autoSpaceDE/>
        <w:autoSpaceDN/>
        <w:bidi w:val="0"/>
        <w:adjustRightInd/>
        <w:snapToGrid/>
        <w:spacing w:before="120" w:line="600" w:lineRule="exact"/>
        <w:ind w:firstLine="640" w:firstLineChars="200"/>
        <w:textAlignment w:val="auto"/>
        <w:rPr>
          <w:rFonts w:hint="eastAsia" w:ascii="仿宋" w:hAnsi="仿宋" w:eastAsia="仿宋" w:cs="仿宋"/>
          <w:color w:val="000000"/>
          <w:kern w:val="0"/>
          <w:sz w:val="32"/>
          <w:szCs w:val="32"/>
          <w:highlight w:val="none"/>
        </w:rPr>
      </w:pPr>
      <w:r>
        <w:rPr>
          <w:rFonts w:hint="eastAsia" w:ascii="仿宋" w:hAnsi="仿宋" w:eastAsia="仿宋" w:cs="仿宋"/>
          <w:color w:val="000000"/>
          <w:kern w:val="0"/>
          <w:sz w:val="32"/>
          <w:szCs w:val="32"/>
        </w:rPr>
        <w:t>根据新时代全国高等学校本科教育工作会议关于坚持“以本为本”，推进“四个回归”，加快建设高水平本科教育、全面提高人才培养能力，造就堪当民族复兴大任的时代新人的精神。进一步落实四川省教育厅关于印发《新时代全国高等学校本科教育工作会议</w:t>
      </w:r>
      <w:r>
        <w:rPr>
          <w:rFonts w:hint="eastAsia" w:ascii="仿宋" w:hAnsi="仿宋" w:eastAsia="仿宋" w:cs="仿宋"/>
          <w:color w:val="000000"/>
          <w:kern w:val="0"/>
          <w:sz w:val="32"/>
          <w:szCs w:val="32"/>
          <w:highlight w:val="none"/>
        </w:rPr>
        <w:t>精神贯彻落实工作方案》（川教函〔2018〕572号）的通知要求，对《成都文理学院毕业论文（设计）管理规定》进行修订。</w:t>
      </w:r>
    </w:p>
    <w:p>
      <w:pPr>
        <w:keepNext w:val="0"/>
        <w:keepLines w:val="0"/>
        <w:pageBreakBefore w:val="0"/>
        <w:widowControl/>
        <w:kinsoku/>
        <w:wordWrap/>
        <w:overflowPunct/>
        <w:topLinePunct w:val="0"/>
        <w:autoSpaceDE/>
        <w:autoSpaceDN/>
        <w:bidi w:val="0"/>
        <w:adjustRightInd/>
        <w:snapToGrid/>
        <w:spacing w:before="120" w:line="600" w:lineRule="exact"/>
        <w:ind w:firstLine="643" w:firstLineChars="200"/>
        <w:textAlignment w:val="auto"/>
        <w:rPr>
          <w:rFonts w:hint="eastAsia" w:ascii="仿宋" w:hAnsi="仿宋" w:eastAsia="仿宋" w:cs="仿宋"/>
          <w:b/>
          <w:bCs/>
          <w:color w:val="000000"/>
          <w:kern w:val="0"/>
          <w:sz w:val="32"/>
          <w:szCs w:val="32"/>
        </w:rPr>
      </w:pPr>
      <w:r>
        <w:rPr>
          <w:rFonts w:hint="eastAsia" w:ascii="仿宋" w:hAnsi="仿宋" w:eastAsia="仿宋" w:cs="仿宋"/>
          <w:b/>
          <w:bCs/>
          <w:color w:val="000000"/>
          <w:kern w:val="0"/>
          <w:sz w:val="32"/>
          <w:szCs w:val="32"/>
        </w:rPr>
        <w:t>一、指导思想</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以毕业论文（设计）为载体，培养学生严谨的科学态度，养成求真务实的作风，推进“实践育人”工作。</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1.以前期训练为基础，培养和提高学生调查研究、文献检索与阅读、资料收集与整理、信息处理与分析的能力；</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2.培养学生综合运用所学知识，独立发现、分析和解决问题以及创新的能力；</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3.通过科学训练，提高规范撰写毕业论文（设计）的能力。</w:t>
      </w:r>
    </w:p>
    <w:p>
      <w:pPr>
        <w:keepNext w:val="0"/>
        <w:keepLines w:val="0"/>
        <w:pageBreakBefore w:val="0"/>
        <w:widowControl/>
        <w:kinsoku/>
        <w:wordWrap/>
        <w:overflowPunct/>
        <w:topLinePunct w:val="0"/>
        <w:autoSpaceDE/>
        <w:autoSpaceDN/>
        <w:bidi w:val="0"/>
        <w:adjustRightInd/>
        <w:snapToGrid/>
        <w:spacing w:before="120" w:line="600" w:lineRule="exact"/>
        <w:ind w:firstLine="643" w:firstLineChars="200"/>
        <w:textAlignment w:val="auto"/>
        <w:rPr>
          <w:rFonts w:hint="eastAsia" w:ascii="仿宋" w:hAnsi="仿宋" w:eastAsia="仿宋" w:cs="仿宋"/>
          <w:b/>
          <w:bCs/>
          <w:color w:val="000000"/>
          <w:kern w:val="0"/>
          <w:sz w:val="32"/>
          <w:szCs w:val="32"/>
        </w:rPr>
      </w:pPr>
      <w:r>
        <w:rPr>
          <w:rFonts w:hint="eastAsia" w:ascii="仿宋" w:hAnsi="仿宋" w:eastAsia="仿宋" w:cs="仿宋"/>
          <w:b/>
          <w:bCs/>
          <w:color w:val="000000"/>
          <w:kern w:val="0"/>
          <w:sz w:val="32"/>
          <w:szCs w:val="32"/>
        </w:rPr>
        <w:t>二、组织领导</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在分管教学校长的统一领导下，毕业论文（设计）</w:t>
      </w:r>
      <w:r>
        <w:rPr>
          <w:rFonts w:hint="eastAsia" w:ascii="仿宋" w:hAnsi="仿宋" w:eastAsia="仿宋" w:cs="仿宋"/>
          <w:bCs/>
          <w:color w:val="000000"/>
          <w:kern w:val="0"/>
          <w:sz w:val="32"/>
          <w:szCs w:val="32"/>
        </w:rPr>
        <w:t>工作实行</w:t>
      </w:r>
      <w:r>
        <w:rPr>
          <w:rFonts w:hint="eastAsia" w:ascii="仿宋" w:hAnsi="仿宋" w:eastAsia="仿宋" w:cs="仿宋"/>
          <w:color w:val="000000"/>
          <w:kern w:val="0"/>
          <w:sz w:val="32"/>
          <w:szCs w:val="32"/>
        </w:rPr>
        <w:t>分级管理。</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1.教务处主要职责</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(1)贯彻落实教育部及省教育厅对毕业论文（设计）管理工作的指导文件，根据学校学科特点，制定我校的管理文件；</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(2)负责安排、组织、检查全校毕业论文（设计）工作进度，协调相关问题；</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(3)组织毕业论文质量检查</w:t>
      </w:r>
      <w:r>
        <w:rPr>
          <w:rFonts w:hint="eastAsia" w:ascii="仿宋" w:hAnsi="仿宋" w:eastAsia="仿宋" w:cs="仿宋"/>
          <w:bCs/>
          <w:color w:val="000000"/>
          <w:kern w:val="0"/>
          <w:sz w:val="32"/>
          <w:szCs w:val="32"/>
        </w:rPr>
        <w:t>、抽查</w:t>
      </w:r>
      <w:r>
        <w:rPr>
          <w:rFonts w:hint="eastAsia" w:ascii="仿宋" w:hAnsi="仿宋" w:eastAsia="仿宋" w:cs="仿宋"/>
          <w:color w:val="000000"/>
          <w:kern w:val="0"/>
          <w:sz w:val="32"/>
          <w:szCs w:val="32"/>
        </w:rPr>
        <w:t>；</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(4)组织评选全校优秀毕业论文（设计）</w:t>
      </w:r>
      <w:r>
        <w:rPr>
          <w:rFonts w:hint="eastAsia" w:ascii="仿宋" w:hAnsi="仿宋" w:eastAsia="仿宋" w:cs="仿宋"/>
          <w:bCs/>
          <w:color w:val="000000"/>
          <w:kern w:val="0"/>
          <w:sz w:val="32"/>
          <w:szCs w:val="32"/>
        </w:rPr>
        <w:t>成果</w:t>
      </w:r>
      <w:r>
        <w:rPr>
          <w:rFonts w:hint="eastAsia" w:ascii="仿宋" w:hAnsi="仿宋" w:eastAsia="仿宋" w:cs="仿宋"/>
          <w:color w:val="000000"/>
          <w:kern w:val="0"/>
          <w:sz w:val="32"/>
          <w:szCs w:val="32"/>
        </w:rPr>
        <w:t>及编印工作；</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(5)指导二级学院开展毕业论文（设计）工作，及时收集各种反馈意见，督促二级学院改进毕业论文（设计）的选题、指导和组织管理工作。</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2.二级学院工作职责</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(1)依据</w:t>
      </w:r>
      <w:r>
        <w:rPr>
          <w:rFonts w:hint="eastAsia" w:ascii="仿宋" w:hAnsi="仿宋" w:eastAsia="仿宋" w:cs="仿宋"/>
          <w:color w:val="000000"/>
          <w:kern w:val="0"/>
          <w:sz w:val="32"/>
          <w:szCs w:val="32"/>
          <w:highlight w:val="none"/>
        </w:rPr>
        <w:t>《成都文理学院毕业论文（设计）</w:t>
      </w:r>
      <w:r>
        <w:rPr>
          <w:rFonts w:hint="eastAsia" w:ascii="仿宋" w:hAnsi="仿宋" w:eastAsia="仿宋" w:cs="仿宋"/>
          <w:color w:val="000000"/>
          <w:kern w:val="0"/>
          <w:sz w:val="32"/>
          <w:szCs w:val="32"/>
          <w:highlight w:val="none"/>
          <w:lang w:val="en-US" w:eastAsia="zh-CN"/>
        </w:rPr>
        <w:t>管理规定（修订）</w:t>
      </w:r>
      <w:r>
        <w:rPr>
          <w:rFonts w:hint="eastAsia" w:ascii="仿宋" w:hAnsi="仿宋" w:eastAsia="仿宋" w:cs="仿宋"/>
          <w:color w:val="000000"/>
          <w:kern w:val="0"/>
          <w:sz w:val="32"/>
          <w:szCs w:val="32"/>
          <w:highlight w:val="none"/>
        </w:rPr>
        <w:t>》及《成都文理学院</w:t>
      </w:r>
      <w:r>
        <w:rPr>
          <w:rFonts w:hint="eastAsia" w:ascii="仿宋" w:hAnsi="仿宋" w:eastAsia="仿宋" w:cs="仿宋"/>
          <w:color w:val="000000"/>
          <w:kern w:val="0"/>
          <w:sz w:val="32"/>
          <w:szCs w:val="32"/>
          <w:highlight w:val="none"/>
          <w:lang w:val="en-US" w:eastAsia="zh-CN"/>
        </w:rPr>
        <w:t>本科</w:t>
      </w:r>
      <w:r>
        <w:rPr>
          <w:rFonts w:hint="eastAsia" w:ascii="仿宋" w:hAnsi="仿宋" w:eastAsia="仿宋" w:cs="仿宋"/>
          <w:color w:val="000000"/>
          <w:kern w:val="0"/>
          <w:sz w:val="32"/>
          <w:szCs w:val="32"/>
          <w:highlight w:val="none"/>
        </w:rPr>
        <w:t>毕业论文（设计）质量标准》</w:t>
      </w:r>
      <w:r>
        <w:rPr>
          <w:rFonts w:hint="eastAsia" w:ascii="仿宋" w:hAnsi="仿宋" w:eastAsia="仿宋" w:cs="仿宋"/>
          <w:color w:val="000000"/>
          <w:kern w:val="0"/>
          <w:sz w:val="32"/>
          <w:szCs w:val="32"/>
        </w:rPr>
        <w:t>等文件，结合专业特点，制定</w:t>
      </w:r>
      <w:r>
        <w:rPr>
          <w:rFonts w:hint="eastAsia" w:ascii="仿宋" w:hAnsi="仿宋" w:eastAsia="仿宋" w:cs="仿宋"/>
          <w:color w:val="000000"/>
          <w:kern w:val="0"/>
          <w:sz w:val="32"/>
          <w:szCs w:val="32"/>
          <w:lang w:val="en-US" w:eastAsia="zh-CN"/>
        </w:rPr>
        <w:t>学院</w:t>
      </w:r>
      <w:r>
        <w:rPr>
          <w:rFonts w:hint="eastAsia" w:ascii="仿宋" w:hAnsi="仿宋" w:eastAsia="仿宋" w:cs="仿宋"/>
          <w:color w:val="000000"/>
          <w:kern w:val="0"/>
          <w:sz w:val="32"/>
          <w:szCs w:val="32"/>
        </w:rPr>
        <w:t>毕业论文（设计）管理文件。</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(2)贯彻执行学校有关毕业论文（设计）工作的规定，组织拟订工作实施方案，审定题目、组织和协调学生选题与选择教师工作、下达任务书。</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(3)负责开题工作、过程管理工作，协调解决毕业论文（设计）</w:t>
      </w:r>
      <w:r>
        <w:rPr>
          <w:rFonts w:hint="eastAsia" w:ascii="仿宋" w:hAnsi="仿宋" w:eastAsia="仿宋" w:cs="仿宋"/>
          <w:bCs/>
          <w:color w:val="000000"/>
          <w:kern w:val="0"/>
          <w:sz w:val="32"/>
          <w:szCs w:val="32"/>
        </w:rPr>
        <w:t>工作实施中</w:t>
      </w:r>
      <w:r>
        <w:rPr>
          <w:rFonts w:hint="eastAsia" w:ascii="仿宋" w:hAnsi="仿宋" w:eastAsia="仿宋" w:cs="仿宋"/>
          <w:color w:val="000000"/>
          <w:kern w:val="0"/>
          <w:sz w:val="32"/>
          <w:szCs w:val="32"/>
        </w:rPr>
        <w:t>存在的问题；</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(4)负责毕业论文（设计）答辩、成绩评定与登录工作，负责本学院优秀毕业论文（设计）的评选、推荐工作，以及本学院的总结、归档工作。</w:t>
      </w:r>
    </w:p>
    <w:p>
      <w:pPr>
        <w:keepNext w:val="0"/>
        <w:keepLines w:val="0"/>
        <w:pageBreakBefore w:val="0"/>
        <w:widowControl/>
        <w:kinsoku/>
        <w:wordWrap/>
        <w:overflowPunct/>
        <w:topLinePunct w:val="0"/>
        <w:autoSpaceDE/>
        <w:autoSpaceDN/>
        <w:bidi w:val="0"/>
        <w:adjustRightInd/>
        <w:snapToGrid/>
        <w:spacing w:before="120" w:line="600" w:lineRule="exact"/>
        <w:ind w:firstLine="643" w:firstLineChars="200"/>
        <w:textAlignment w:val="auto"/>
        <w:rPr>
          <w:rFonts w:hint="eastAsia" w:ascii="仿宋" w:hAnsi="仿宋" w:eastAsia="仿宋" w:cs="仿宋"/>
          <w:b/>
          <w:bCs/>
          <w:color w:val="000000"/>
          <w:kern w:val="0"/>
          <w:sz w:val="32"/>
          <w:szCs w:val="32"/>
        </w:rPr>
      </w:pPr>
      <w:r>
        <w:rPr>
          <w:rFonts w:hint="eastAsia" w:ascii="仿宋" w:hAnsi="仿宋" w:eastAsia="仿宋" w:cs="仿宋"/>
          <w:b/>
          <w:bCs/>
          <w:color w:val="000000"/>
          <w:kern w:val="0"/>
          <w:sz w:val="32"/>
          <w:szCs w:val="32"/>
        </w:rPr>
        <w:t>三、选题要求</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1.强化毕业论文（设计）选题的政治审查。政治审查由二级学院毕业论文（设计）工作小组负责。</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2.符合专业培养目标，体现本专业综合训练和教学的要求，培养学生创新精神，特别是在自然科学方面鼓励学生进行原创性研究。</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3.选题要贴近专业实际，切实做到与科学研究、技术应用、经济发展和社会进步等紧密结合。50%以上选题要在实验、实习、工程实践和社会调查等社会实践中完成。注重与教师科研项目、大学生创新创业训练计划项目、学科竞赛项目结合。</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4.选题要注意综合应用知识的能力，包括方案设计、实验与数据处理、绘图、资料查阅、计算机操作和应用工具使用等动手能力，外语、写作和表达交际的能力。</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5.选题注意结合专业技能的综合训练，体现学生对所学知识的综合实践，如毕业汇报演出、作品展示、社会调查报告等，有一定深度与广度，学生在规定的时间内能得到充分的训练。</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6.选题要有独立性和完整性，要把一人一题作为选题工作的重要原则，若几名学生参加一个课题时，必须明确每个学生应独立完成的任务，保证其主要部分为独立进行的工作，使每个学生都受到较全面的训练。</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7.选题类型要多样化，应贯彻因材施教的原则，鼓励学科间的交叉，拓宽学生知识面，培养应用能力。同时鼓励学生自选课题，使学生的创造性得以充分发挥。对学生自选的课题，各学院应组织专人对题目进行审核并指派教师予以指导。</w:t>
      </w:r>
    </w:p>
    <w:p>
      <w:pPr>
        <w:keepNext w:val="0"/>
        <w:keepLines w:val="0"/>
        <w:pageBreakBefore w:val="0"/>
        <w:widowControl/>
        <w:kinsoku/>
        <w:wordWrap/>
        <w:overflowPunct/>
        <w:topLinePunct w:val="0"/>
        <w:autoSpaceDE/>
        <w:autoSpaceDN/>
        <w:bidi w:val="0"/>
        <w:adjustRightInd/>
        <w:snapToGrid/>
        <w:spacing w:before="120" w:line="600" w:lineRule="exact"/>
        <w:ind w:firstLine="643" w:firstLineChars="200"/>
        <w:textAlignment w:val="auto"/>
        <w:rPr>
          <w:rFonts w:hint="eastAsia" w:ascii="仿宋" w:hAnsi="仿宋" w:eastAsia="仿宋" w:cs="仿宋"/>
          <w:b/>
          <w:bCs/>
          <w:color w:val="000000"/>
          <w:kern w:val="0"/>
          <w:sz w:val="32"/>
          <w:szCs w:val="32"/>
        </w:rPr>
      </w:pPr>
      <w:r>
        <w:rPr>
          <w:rFonts w:hint="eastAsia" w:ascii="仿宋" w:hAnsi="仿宋" w:eastAsia="仿宋" w:cs="仿宋"/>
          <w:b/>
          <w:bCs/>
          <w:color w:val="000000"/>
          <w:kern w:val="0"/>
          <w:sz w:val="32"/>
          <w:szCs w:val="32"/>
        </w:rPr>
        <w:t>四、题目的确定程序</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1.各二级学院应根据毕业生专业情况，制定过程管理和监控措施，确定指导教师；</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2.指导教师组织学生选题，并确定毕业论文（设计）题目；</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3.学生填写毕业论文（设计）开题报告，指导教师签字同意后，提交分管教学的院长审查；</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4.二级学院院长签发毕业论文（设计）开题报告。</w:t>
      </w:r>
    </w:p>
    <w:p>
      <w:pPr>
        <w:keepNext w:val="0"/>
        <w:keepLines w:val="0"/>
        <w:pageBreakBefore w:val="0"/>
        <w:widowControl/>
        <w:kinsoku/>
        <w:wordWrap/>
        <w:overflowPunct/>
        <w:topLinePunct w:val="0"/>
        <w:autoSpaceDE/>
        <w:autoSpaceDN/>
        <w:bidi w:val="0"/>
        <w:adjustRightInd/>
        <w:snapToGrid/>
        <w:spacing w:before="120" w:line="600" w:lineRule="exact"/>
        <w:ind w:firstLine="643" w:firstLineChars="200"/>
        <w:textAlignment w:val="auto"/>
        <w:rPr>
          <w:rFonts w:hint="eastAsia" w:ascii="仿宋" w:hAnsi="仿宋" w:eastAsia="仿宋" w:cs="仿宋"/>
          <w:b/>
          <w:bCs/>
          <w:color w:val="000000"/>
          <w:kern w:val="0"/>
          <w:sz w:val="32"/>
          <w:szCs w:val="32"/>
        </w:rPr>
      </w:pPr>
      <w:r>
        <w:rPr>
          <w:rFonts w:hint="eastAsia" w:ascii="仿宋" w:hAnsi="仿宋" w:eastAsia="仿宋" w:cs="仿宋"/>
          <w:b/>
          <w:bCs/>
          <w:color w:val="000000"/>
          <w:kern w:val="0"/>
          <w:sz w:val="32"/>
          <w:szCs w:val="32"/>
        </w:rPr>
        <w:t>五、指导教师</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毕业论文（设计）实行指导教师责任制，指导与审查不力引起的不良后果由指导教师负责。</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1.担任指导教师的条件</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kern w:val="0"/>
          <w:sz w:val="32"/>
          <w:szCs w:val="32"/>
          <w:highlight w:val="none"/>
        </w:rPr>
      </w:pPr>
      <w:r>
        <w:rPr>
          <w:rFonts w:hint="eastAsia" w:ascii="仿宋" w:hAnsi="仿宋" w:eastAsia="仿宋" w:cs="仿宋"/>
          <w:color w:val="000000"/>
          <w:kern w:val="0"/>
          <w:sz w:val="32"/>
          <w:szCs w:val="32"/>
          <w:highlight w:val="none"/>
        </w:rPr>
        <w:t>学校各二级学院应选出具较高的政治思想和业务素质，有中级</w:t>
      </w:r>
      <w:r>
        <w:rPr>
          <w:rFonts w:hint="eastAsia" w:ascii="仿宋" w:hAnsi="仿宋" w:eastAsia="仿宋" w:cs="仿宋"/>
          <w:color w:val="000000"/>
          <w:kern w:val="0"/>
          <w:sz w:val="32"/>
          <w:szCs w:val="32"/>
          <w:highlight w:val="none"/>
          <w:lang w:val="en-US" w:eastAsia="zh-CN"/>
        </w:rPr>
        <w:t>及</w:t>
      </w:r>
      <w:r>
        <w:rPr>
          <w:rFonts w:hint="eastAsia" w:ascii="仿宋" w:hAnsi="仿宋" w:eastAsia="仿宋" w:cs="仿宋"/>
          <w:color w:val="000000"/>
          <w:kern w:val="0"/>
          <w:sz w:val="32"/>
          <w:szCs w:val="32"/>
          <w:highlight w:val="none"/>
        </w:rPr>
        <w:t>以上职称的专业教师或科研人员担任毕业论文（设计）指导教师，本专业指导教师不足时，可考虑聘请院内外相近专业教师、专业技术人员及在管理岗位的具备指导能力的中级及高级职称人员。</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2.指导教师的职责</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(1)指导学生拟定或选题、查阅有关文献，审阅学生撰写的设计方案或论文提纲、开题报告。</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(2)指导学生撰写工作，审阅毕业论文（设计）</w:t>
      </w:r>
      <w:r>
        <w:rPr>
          <w:rFonts w:hint="eastAsia" w:ascii="仿宋" w:hAnsi="仿宋" w:eastAsia="仿宋" w:cs="仿宋"/>
          <w:bCs/>
          <w:color w:val="000000"/>
          <w:kern w:val="0"/>
          <w:sz w:val="32"/>
          <w:szCs w:val="32"/>
        </w:rPr>
        <w:t>报告</w:t>
      </w:r>
      <w:r>
        <w:rPr>
          <w:rFonts w:hint="eastAsia" w:ascii="仿宋" w:hAnsi="仿宋" w:eastAsia="仿宋" w:cs="仿宋"/>
          <w:color w:val="000000"/>
          <w:kern w:val="0"/>
          <w:sz w:val="32"/>
          <w:szCs w:val="32"/>
        </w:rPr>
        <w:t>，提出修改意见并指导修稿。</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(3)毕业论文(设计)结束阶段，审查真伪，对复制比把关，认真撰写评阅意见，预审学生答辩资格。学校</w:t>
      </w:r>
      <w:r>
        <w:rPr>
          <w:rFonts w:hint="eastAsia" w:ascii="仿宋" w:hAnsi="仿宋" w:eastAsia="仿宋" w:cs="仿宋"/>
          <w:bCs/>
          <w:color w:val="000000"/>
          <w:kern w:val="0"/>
          <w:sz w:val="32"/>
          <w:szCs w:val="32"/>
        </w:rPr>
        <w:t>严格落实复制比审查制度，复制比超过</w:t>
      </w:r>
      <w:r>
        <w:rPr>
          <w:rFonts w:hint="eastAsia" w:ascii="仿宋" w:hAnsi="仿宋" w:eastAsia="仿宋" w:cs="仿宋"/>
          <w:bCs/>
          <w:color w:val="000000"/>
          <w:kern w:val="0"/>
          <w:sz w:val="32"/>
          <w:szCs w:val="32"/>
          <w:lang w:val="en-US" w:eastAsia="zh-CN"/>
        </w:rPr>
        <w:t>20</w:t>
      </w:r>
      <w:r>
        <w:rPr>
          <w:rFonts w:hint="eastAsia" w:ascii="仿宋" w:hAnsi="仿宋" w:eastAsia="仿宋" w:cs="仿宋"/>
          <w:bCs/>
          <w:color w:val="000000"/>
          <w:kern w:val="0"/>
          <w:sz w:val="32"/>
          <w:szCs w:val="32"/>
        </w:rPr>
        <w:t>%的不予进入评阅程序。严肃处理学生抄袭、伪造、篡改、代写、买卖毕业论文（设计）等学术不端行为。</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(4)根据安排参加答辩会，对参与答辩的毕业论文(设计)成果给出合理的评价意见。</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3.指导学生人数</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为确保毕业生毕业论文（设计）的质量，每位指导教师所指导的学生人数原则上不超过8人。</w:t>
      </w:r>
    </w:p>
    <w:p>
      <w:pPr>
        <w:keepNext w:val="0"/>
        <w:keepLines w:val="0"/>
        <w:pageBreakBefore w:val="0"/>
        <w:widowControl/>
        <w:kinsoku/>
        <w:wordWrap/>
        <w:overflowPunct/>
        <w:topLinePunct w:val="0"/>
        <w:autoSpaceDE/>
        <w:autoSpaceDN/>
        <w:bidi w:val="0"/>
        <w:adjustRightInd/>
        <w:snapToGrid/>
        <w:spacing w:before="120" w:line="600" w:lineRule="exact"/>
        <w:ind w:firstLine="643" w:firstLineChars="200"/>
        <w:textAlignment w:val="auto"/>
        <w:rPr>
          <w:rFonts w:hint="eastAsia" w:ascii="仿宋" w:hAnsi="仿宋" w:eastAsia="仿宋" w:cs="仿宋"/>
          <w:b/>
          <w:bCs/>
          <w:color w:val="000000"/>
          <w:kern w:val="0"/>
          <w:sz w:val="32"/>
          <w:szCs w:val="32"/>
        </w:rPr>
      </w:pPr>
      <w:r>
        <w:rPr>
          <w:rFonts w:hint="eastAsia" w:ascii="仿宋" w:hAnsi="仿宋" w:eastAsia="仿宋" w:cs="仿宋"/>
          <w:b/>
          <w:bCs/>
          <w:color w:val="000000"/>
          <w:kern w:val="0"/>
          <w:sz w:val="32"/>
          <w:szCs w:val="32"/>
        </w:rPr>
        <w:t>六、撰写要求</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1.选题应于第六学期的期末前下达给学生。</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2.第八学期初完成毕业论文(设计)的文献查阅及提纲撰写。</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3.毕业论文（设计）撰写与答辩、综合训练的时间不得少于人才培养方案规定的周数。</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4.成果正文字数，理、工、文科不少于10000字。外语专业、艺术、设计类专业的毕业论文（设计）的字数，可根据其学科特点确定，但外语专业的论文字数不得少于6000个实词；设计说明或阐述不得少于6000字。要体现文字、图、表三要素综合运用的要求。</w:t>
      </w:r>
    </w:p>
    <w:p>
      <w:pPr>
        <w:keepNext w:val="0"/>
        <w:keepLines w:val="0"/>
        <w:pageBreakBefore w:val="0"/>
        <w:widowControl/>
        <w:kinsoku/>
        <w:wordWrap/>
        <w:overflowPunct/>
        <w:topLinePunct w:val="0"/>
        <w:autoSpaceDE/>
        <w:autoSpaceDN/>
        <w:bidi w:val="0"/>
        <w:adjustRightInd/>
        <w:snapToGrid/>
        <w:spacing w:before="120" w:line="60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5.按《成都文理学院毕业论文（设计）撰写、编辑、印制规范》进行。毕业论文的参考文献应在15篇（部）以上，其中外文参考文献不少于2篇。艺术类毕业设计的参考文献不少于10篇，其中外文参考文献篇数不作硬性要求。</w:t>
      </w:r>
    </w:p>
    <w:p>
      <w:pPr>
        <w:keepNext w:val="0"/>
        <w:keepLines w:val="0"/>
        <w:pageBreakBefore w:val="0"/>
        <w:widowControl/>
        <w:kinsoku/>
        <w:wordWrap/>
        <w:overflowPunct/>
        <w:topLinePunct w:val="0"/>
        <w:autoSpaceDE/>
        <w:autoSpaceDN/>
        <w:bidi w:val="0"/>
        <w:adjustRightInd/>
        <w:snapToGrid/>
        <w:spacing w:before="120" w:line="600" w:lineRule="exact"/>
        <w:ind w:firstLine="643" w:firstLineChars="200"/>
        <w:textAlignment w:val="auto"/>
        <w:rPr>
          <w:rFonts w:hint="eastAsia" w:ascii="仿宋" w:hAnsi="仿宋" w:eastAsia="仿宋" w:cs="仿宋"/>
          <w:b/>
          <w:bCs/>
          <w:color w:val="000000"/>
          <w:kern w:val="0"/>
          <w:sz w:val="32"/>
          <w:szCs w:val="32"/>
        </w:rPr>
      </w:pPr>
      <w:r>
        <w:rPr>
          <w:rFonts w:hint="eastAsia" w:ascii="仿宋" w:hAnsi="仿宋" w:eastAsia="仿宋" w:cs="仿宋"/>
          <w:b/>
          <w:bCs/>
          <w:color w:val="000000"/>
          <w:kern w:val="0"/>
          <w:sz w:val="32"/>
          <w:szCs w:val="32"/>
        </w:rPr>
        <w:t>七、评阅与答辩</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1.建立健全盲审制度与导师回避制度。除了指导教师评阅外，将隐去学生信息的论文（设计）送给评阅教师评审。指导教师不参加自己指导学生的答辩。</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kern w:val="0"/>
          <w:sz w:val="32"/>
          <w:szCs w:val="32"/>
          <w:highlight w:val="none"/>
        </w:rPr>
      </w:pPr>
      <w:r>
        <w:rPr>
          <w:rFonts w:hint="eastAsia" w:ascii="仿宋" w:hAnsi="仿宋" w:eastAsia="仿宋" w:cs="仿宋"/>
          <w:color w:val="000000"/>
          <w:kern w:val="0"/>
          <w:sz w:val="32"/>
          <w:szCs w:val="32"/>
        </w:rPr>
        <w:t>2.答辩前须对学生进行资格审查。</w:t>
      </w:r>
      <w:r>
        <w:rPr>
          <w:rFonts w:hint="eastAsia" w:ascii="仿宋" w:hAnsi="仿宋" w:eastAsia="仿宋" w:cs="仿宋"/>
          <w:color w:val="000000"/>
          <w:kern w:val="0"/>
          <w:sz w:val="32"/>
          <w:szCs w:val="32"/>
          <w:highlight w:val="none"/>
        </w:rPr>
        <w:t>毕业论文（设计）成果审查合格、按教学计划修够课程门数与取得学分的学生才能参加答辩。</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kern w:val="0"/>
          <w:sz w:val="32"/>
          <w:szCs w:val="32"/>
          <w:highlight w:val="none"/>
        </w:rPr>
      </w:pPr>
      <w:r>
        <w:rPr>
          <w:rFonts w:hint="eastAsia" w:ascii="仿宋" w:hAnsi="仿宋" w:eastAsia="仿宋" w:cs="仿宋"/>
          <w:color w:val="000000"/>
          <w:kern w:val="0"/>
          <w:sz w:val="32"/>
          <w:szCs w:val="32"/>
          <w:highlight w:val="none"/>
        </w:rPr>
        <w:t>3.各二级学院成立答辩委员会，答辩委员会成员必须由具有副高及以上职称或博士学位的教师担任，成员不少于5人</w:t>
      </w:r>
      <w:r>
        <w:rPr>
          <w:rFonts w:hint="eastAsia" w:ascii="仿宋" w:hAnsi="仿宋" w:eastAsia="仿宋" w:cs="仿宋"/>
          <w:color w:val="000000"/>
          <w:kern w:val="0"/>
          <w:sz w:val="32"/>
          <w:szCs w:val="32"/>
          <w:highlight w:val="none"/>
          <w:lang w:val="en-US" w:eastAsia="zh-CN"/>
        </w:rPr>
        <w:t>的单数，</w:t>
      </w:r>
      <w:r>
        <w:rPr>
          <w:rFonts w:hint="eastAsia" w:ascii="仿宋" w:hAnsi="仿宋" w:eastAsia="仿宋" w:cs="仿宋"/>
          <w:color w:val="000000"/>
          <w:kern w:val="0"/>
          <w:sz w:val="32"/>
          <w:szCs w:val="32"/>
          <w:highlight w:val="none"/>
        </w:rPr>
        <w:t>设主席一名；下设答辩小组，人数</w:t>
      </w:r>
      <w:r>
        <w:rPr>
          <w:rFonts w:hint="eastAsia" w:ascii="仿宋" w:hAnsi="仿宋" w:eastAsia="仿宋" w:cs="仿宋"/>
          <w:color w:val="000000"/>
          <w:kern w:val="0"/>
          <w:sz w:val="32"/>
          <w:szCs w:val="32"/>
          <w:highlight w:val="none"/>
          <w:lang w:val="en-US" w:eastAsia="zh-CN"/>
        </w:rPr>
        <w:t>为</w:t>
      </w:r>
      <w:r>
        <w:rPr>
          <w:rFonts w:hint="eastAsia" w:ascii="仿宋" w:hAnsi="仿宋" w:eastAsia="仿宋" w:cs="仿宋"/>
          <w:color w:val="000000"/>
          <w:kern w:val="0"/>
          <w:sz w:val="32"/>
          <w:szCs w:val="32"/>
          <w:highlight w:val="none"/>
        </w:rPr>
        <w:t>不低于3人</w:t>
      </w:r>
      <w:r>
        <w:rPr>
          <w:rFonts w:hint="eastAsia" w:ascii="仿宋" w:hAnsi="仿宋" w:eastAsia="仿宋" w:cs="仿宋"/>
          <w:color w:val="000000"/>
          <w:kern w:val="0"/>
          <w:sz w:val="32"/>
          <w:szCs w:val="32"/>
          <w:highlight w:val="none"/>
          <w:lang w:val="en-US" w:eastAsia="zh-CN"/>
        </w:rPr>
        <w:t>的</w:t>
      </w:r>
      <w:r>
        <w:rPr>
          <w:rFonts w:hint="eastAsia" w:ascii="仿宋" w:hAnsi="仿宋" w:eastAsia="仿宋" w:cs="仿宋"/>
          <w:color w:val="000000"/>
          <w:kern w:val="0"/>
          <w:sz w:val="32"/>
          <w:szCs w:val="32"/>
          <w:highlight w:val="none"/>
        </w:rPr>
        <w:t>单数，成员应由讲师及讲师以上职称或具有硕士研究生及以上学历并有较强的业务能力和工作能力的人员担任，组长须有副</w:t>
      </w:r>
      <w:r>
        <w:rPr>
          <w:rFonts w:hint="eastAsia" w:ascii="仿宋" w:hAnsi="仿宋" w:eastAsia="仿宋" w:cs="仿宋"/>
          <w:color w:val="000000"/>
          <w:kern w:val="0"/>
          <w:sz w:val="32"/>
          <w:szCs w:val="32"/>
          <w:highlight w:val="none"/>
          <w:lang w:val="en-US" w:eastAsia="zh-CN"/>
        </w:rPr>
        <w:t>高级及</w:t>
      </w:r>
      <w:r>
        <w:rPr>
          <w:rFonts w:hint="eastAsia" w:ascii="仿宋" w:hAnsi="仿宋" w:eastAsia="仿宋" w:cs="仿宋"/>
          <w:color w:val="000000"/>
          <w:kern w:val="0"/>
          <w:sz w:val="32"/>
          <w:szCs w:val="32"/>
          <w:highlight w:val="none"/>
        </w:rPr>
        <w:t>以上职称。</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4.各二级学院将答辩委员会及答辩小组人员名单、答辩日程安排（专业、学生名单）及地点，于答辩前一周报送教务处备案。</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5.答辩要求</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(1)答辩前一周，学生应将毕业论文（设计）成果交到各二级学院，各二级学院将毕业论文（设计）分发到答辩小组成员（每人1份）。</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(2)答辩小组成员应于答辩前，详细审阅每位学生的毕业论文(设计)成果，准备好不同难度的问题并在答辩时进行提问。</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(3)学生在答辩中须首先简要介绍毕业论文(设计)的主要内容、方法和价值，然后用10分钟左右对质疑问题作答。</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(4)答辩小组须做好答辩记录，并填写毕业论文(设计)答辩记录表。</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(5)答辩问题须及时反馈给学生本人及指导教师，学生须及时修改，必要时安排二次答辩。</w:t>
      </w:r>
    </w:p>
    <w:p>
      <w:pPr>
        <w:keepNext w:val="0"/>
        <w:keepLines w:val="0"/>
        <w:pageBreakBefore w:val="0"/>
        <w:widowControl/>
        <w:kinsoku/>
        <w:wordWrap/>
        <w:overflowPunct/>
        <w:topLinePunct w:val="0"/>
        <w:autoSpaceDE/>
        <w:autoSpaceDN/>
        <w:bidi w:val="0"/>
        <w:adjustRightInd/>
        <w:snapToGrid/>
        <w:spacing w:before="120" w:line="600" w:lineRule="exact"/>
        <w:ind w:firstLine="643" w:firstLineChars="200"/>
        <w:textAlignment w:val="auto"/>
        <w:rPr>
          <w:rFonts w:hint="eastAsia" w:ascii="仿宋" w:hAnsi="仿宋" w:eastAsia="仿宋" w:cs="仿宋"/>
          <w:b/>
          <w:bCs/>
          <w:color w:val="000000"/>
          <w:kern w:val="0"/>
          <w:sz w:val="32"/>
          <w:szCs w:val="32"/>
        </w:rPr>
      </w:pPr>
      <w:r>
        <w:rPr>
          <w:rFonts w:hint="eastAsia" w:ascii="仿宋" w:hAnsi="仿宋" w:eastAsia="仿宋" w:cs="仿宋"/>
          <w:b/>
          <w:bCs/>
          <w:color w:val="000000"/>
          <w:kern w:val="0"/>
          <w:sz w:val="32"/>
          <w:szCs w:val="32"/>
        </w:rPr>
        <w:t>八、成绩评定</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kern w:val="0"/>
          <w:sz w:val="32"/>
          <w:szCs w:val="32"/>
          <w:highlight w:val="none"/>
        </w:rPr>
      </w:pPr>
      <w:r>
        <w:rPr>
          <w:rFonts w:hint="eastAsia" w:ascii="仿宋" w:hAnsi="仿宋" w:eastAsia="仿宋" w:cs="仿宋"/>
          <w:color w:val="000000"/>
          <w:kern w:val="0"/>
          <w:sz w:val="32"/>
          <w:szCs w:val="32"/>
        </w:rPr>
        <w:t>1.各二级学院应根据自己专业特点，制定</w:t>
      </w:r>
      <w:r>
        <w:rPr>
          <w:rFonts w:hint="eastAsia" w:ascii="仿宋" w:hAnsi="仿宋" w:eastAsia="仿宋" w:cs="仿宋"/>
          <w:color w:val="000000"/>
          <w:kern w:val="0"/>
          <w:sz w:val="32"/>
          <w:szCs w:val="32"/>
          <w:highlight w:val="none"/>
        </w:rPr>
        <w:t>《指导教师评分标准参考表》、《评阅教师评分标准参考表》、《答辩小组评分标准参考表》。</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2.指导教师、评阅教师、答辩小组，依据评分标准和学生的实际情况，在“一起论文”系统的评阅记录表上，按照规定要求给出评价意见与成绩。</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3.最终成绩由指导教师评定成绩（30%）、评阅教师评定成绩（30%）、答辩小组评定成绩（40%）构成。</w:t>
      </w:r>
    </w:p>
    <w:p>
      <w:pPr>
        <w:keepNext w:val="0"/>
        <w:keepLines w:val="0"/>
        <w:pageBreakBefore w:val="0"/>
        <w:widowControl/>
        <w:kinsoku/>
        <w:wordWrap/>
        <w:overflowPunct/>
        <w:topLinePunct w:val="0"/>
        <w:autoSpaceDE/>
        <w:autoSpaceDN/>
        <w:bidi w:val="0"/>
        <w:adjustRightInd/>
        <w:snapToGrid/>
        <w:spacing w:before="120" w:line="600" w:lineRule="exact"/>
        <w:ind w:firstLine="643" w:firstLineChars="200"/>
        <w:textAlignment w:val="auto"/>
        <w:rPr>
          <w:rFonts w:hint="eastAsia" w:ascii="仿宋" w:hAnsi="仿宋" w:eastAsia="仿宋" w:cs="仿宋"/>
          <w:b/>
          <w:bCs/>
          <w:color w:val="000000"/>
          <w:kern w:val="0"/>
          <w:sz w:val="32"/>
          <w:szCs w:val="32"/>
        </w:rPr>
      </w:pPr>
      <w:r>
        <w:rPr>
          <w:rFonts w:hint="eastAsia" w:ascii="仿宋" w:hAnsi="仿宋" w:eastAsia="仿宋" w:cs="仿宋"/>
          <w:b/>
          <w:bCs/>
          <w:color w:val="000000"/>
          <w:kern w:val="0"/>
          <w:sz w:val="32"/>
          <w:szCs w:val="32"/>
        </w:rPr>
        <w:t>九、评选优秀</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1.推荐给学校的优秀毕业论文（设计）成果，比例的控制为答辩人数的</w:t>
      </w:r>
      <w:r>
        <w:rPr>
          <w:rFonts w:hint="eastAsia" w:ascii="仿宋" w:hAnsi="仿宋" w:eastAsia="仿宋" w:cs="仿宋"/>
          <w:color w:val="000000"/>
          <w:kern w:val="0"/>
          <w:sz w:val="32"/>
          <w:szCs w:val="32"/>
          <w:lang w:val="en-US" w:eastAsia="zh-CN"/>
        </w:rPr>
        <w:t>3</w:t>
      </w:r>
      <w:r>
        <w:rPr>
          <w:rFonts w:hint="eastAsia" w:ascii="仿宋" w:hAnsi="仿宋" w:eastAsia="仿宋" w:cs="仿宋"/>
          <w:color w:val="000000"/>
          <w:kern w:val="0"/>
          <w:sz w:val="32"/>
          <w:szCs w:val="32"/>
        </w:rPr>
        <w:t>%</w:t>
      </w:r>
      <w:r>
        <w:rPr>
          <w:rFonts w:hint="eastAsia" w:ascii="仿宋" w:hAnsi="仿宋" w:eastAsia="仿宋" w:cs="仿宋"/>
          <w:color w:val="000000"/>
          <w:kern w:val="0"/>
          <w:sz w:val="32"/>
          <w:szCs w:val="32"/>
          <w:lang w:val="en-US" w:eastAsia="zh-CN"/>
        </w:rPr>
        <w:t>左右</w:t>
      </w:r>
      <w:r>
        <w:rPr>
          <w:rFonts w:hint="eastAsia" w:ascii="仿宋" w:hAnsi="仿宋" w:eastAsia="仿宋" w:cs="仿宋"/>
          <w:color w:val="000000"/>
          <w:kern w:val="0"/>
          <w:sz w:val="32"/>
          <w:szCs w:val="32"/>
        </w:rPr>
        <w:t>，不设下线。评定结果于毕业学期6月初连电子版一并交教务处。</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2.二级学院适当扩大院级优秀成果比例，但控制上线不超过30%。并进行院级优秀成果汇编。</w:t>
      </w:r>
    </w:p>
    <w:p>
      <w:pPr>
        <w:keepNext w:val="0"/>
        <w:keepLines w:val="0"/>
        <w:pageBreakBefore w:val="0"/>
        <w:widowControl/>
        <w:kinsoku/>
        <w:wordWrap/>
        <w:overflowPunct/>
        <w:topLinePunct w:val="0"/>
        <w:autoSpaceDE/>
        <w:autoSpaceDN/>
        <w:bidi w:val="0"/>
        <w:adjustRightInd/>
        <w:snapToGrid/>
        <w:spacing w:before="120" w:line="600" w:lineRule="exact"/>
        <w:ind w:firstLine="643" w:firstLineChars="200"/>
        <w:textAlignment w:val="auto"/>
        <w:rPr>
          <w:rFonts w:hint="eastAsia" w:ascii="仿宋" w:hAnsi="仿宋" w:eastAsia="仿宋" w:cs="仿宋"/>
          <w:b/>
          <w:bCs/>
          <w:color w:val="000000"/>
          <w:kern w:val="0"/>
          <w:sz w:val="32"/>
          <w:szCs w:val="32"/>
        </w:rPr>
      </w:pPr>
      <w:r>
        <w:rPr>
          <w:rFonts w:hint="eastAsia" w:ascii="仿宋" w:hAnsi="仿宋" w:eastAsia="仿宋" w:cs="仿宋"/>
          <w:b/>
          <w:bCs/>
          <w:color w:val="000000"/>
          <w:kern w:val="0"/>
          <w:sz w:val="32"/>
          <w:szCs w:val="32"/>
        </w:rPr>
        <w:t>十、归档与总结</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1.毕业论文（设计）工作结束后，各二级学院负责将相关资料整理归档，妥善保存。</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2.各二级学院负责写出毕业论文（设计）质量分析报告及书面总结，于每年7月初报教务处备案。</w:t>
      </w:r>
    </w:p>
    <w:p>
      <w:pPr>
        <w:keepNext w:val="0"/>
        <w:keepLines w:val="0"/>
        <w:pageBreakBefore w:val="0"/>
        <w:widowControl/>
        <w:kinsoku/>
        <w:wordWrap/>
        <w:overflowPunct/>
        <w:topLinePunct w:val="0"/>
        <w:autoSpaceDE/>
        <w:autoSpaceDN/>
        <w:bidi w:val="0"/>
        <w:adjustRightInd/>
        <w:snapToGrid/>
        <w:spacing w:before="120" w:line="600" w:lineRule="exact"/>
        <w:ind w:firstLine="643" w:firstLineChars="200"/>
        <w:textAlignment w:val="auto"/>
        <w:rPr>
          <w:rFonts w:hint="eastAsia" w:ascii="仿宋" w:hAnsi="仿宋" w:eastAsia="仿宋" w:cs="仿宋"/>
          <w:b/>
          <w:bCs/>
          <w:color w:val="000000"/>
          <w:kern w:val="0"/>
          <w:sz w:val="32"/>
          <w:szCs w:val="32"/>
          <w:lang w:val="en-US" w:eastAsia="zh-CN"/>
        </w:rPr>
      </w:pPr>
      <w:r>
        <w:rPr>
          <w:rFonts w:hint="eastAsia" w:ascii="仿宋" w:hAnsi="仿宋" w:eastAsia="仿宋" w:cs="仿宋"/>
          <w:b/>
          <w:bCs/>
          <w:color w:val="000000"/>
          <w:kern w:val="0"/>
          <w:sz w:val="32"/>
          <w:szCs w:val="32"/>
        </w:rPr>
        <w:t>十一、本规定自发文之日起执行，</w:t>
      </w:r>
      <w:r>
        <w:rPr>
          <w:rFonts w:hint="eastAsia" w:ascii="仿宋" w:hAnsi="仿宋" w:eastAsia="仿宋" w:cs="仿宋"/>
          <w:b/>
          <w:bCs/>
          <w:color w:val="000000"/>
          <w:kern w:val="0"/>
          <w:sz w:val="32"/>
          <w:szCs w:val="32"/>
          <w:lang w:val="en-US" w:eastAsia="zh-CN"/>
        </w:rPr>
        <w:t>原有相关管理办法同时废止</w:t>
      </w:r>
    </w:p>
    <w:p>
      <w:pPr>
        <w:keepNext w:val="0"/>
        <w:keepLines w:val="0"/>
        <w:pageBreakBefore w:val="0"/>
        <w:widowControl/>
        <w:kinsoku/>
        <w:wordWrap/>
        <w:overflowPunct/>
        <w:topLinePunct w:val="0"/>
        <w:autoSpaceDE/>
        <w:autoSpaceDN/>
        <w:bidi w:val="0"/>
        <w:adjustRightInd/>
        <w:snapToGrid/>
        <w:spacing w:before="120" w:line="600" w:lineRule="exact"/>
        <w:ind w:firstLine="643" w:firstLineChars="200"/>
        <w:textAlignment w:val="auto"/>
        <w:rPr>
          <w:rFonts w:hint="eastAsia" w:ascii="仿宋" w:hAnsi="仿宋" w:eastAsia="仿宋" w:cs="仿宋"/>
          <w:b/>
          <w:bCs/>
          <w:color w:val="000000"/>
          <w:kern w:val="0"/>
          <w:sz w:val="32"/>
          <w:szCs w:val="32"/>
          <w:lang w:eastAsia="zh-CN"/>
        </w:rPr>
      </w:pPr>
      <w:r>
        <w:rPr>
          <w:rFonts w:hint="eastAsia" w:ascii="仿宋" w:hAnsi="仿宋" w:eastAsia="仿宋" w:cs="仿宋"/>
          <w:b/>
          <w:bCs/>
          <w:color w:val="000000"/>
          <w:kern w:val="0"/>
          <w:sz w:val="32"/>
          <w:szCs w:val="32"/>
          <w:lang w:val="en-US" w:eastAsia="zh-CN"/>
        </w:rPr>
        <w:t>十二、本规定</w:t>
      </w:r>
      <w:r>
        <w:rPr>
          <w:rFonts w:hint="eastAsia" w:ascii="仿宋" w:hAnsi="仿宋" w:eastAsia="仿宋" w:cs="仿宋"/>
          <w:b/>
          <w:bCs/>
          <w:color w:val="000000"/>
          <w:kern w:val="0"/>
          <w:sz w:val="32"/>
          <w:szCs w:val="32"/>
        </w:rPr>
        <w:t>由学校教务处负责解释</w:t>
      </w:r>
    </w:p>
    <w:p>
      <w:pPr>
        <w:keepNext w:val="0"/>
        <w:keepLines w:val="0"/>
        <w:pageBreakBefore w:val="0"/>
        <w:widowControl/>
        <w:kinsoku/>
        <w:wordWrap/>
        <w:overflowPunct/>
        <w:topLinePunct w:val="0"/>
        <w:autoSpaceDE/>
        <w:autoSpaceDN/>
        <w:bidi w:val="0"/>
        <w:adjustRightInd/>
        <w:snapToGrid/>
        <w:spacing w:line="600" w:lineRule="exact"/>
        <w:textAlignment w:val="auto"/>
        <w:rPr>
          <w:rFonts w:hint="eastAsia" w:ascii="仿宋" w:hAnsi="仿宋" w:eastAsia="仿宋" w:cs="仿宋"/>
          <w:color w:val="000000"/>
          <w:kern w:val="0"/>
          <w:sz w:val="24"/>
          <w:szCs w:val="24"/>
        </w:rPr>
      </w:pPr>
      <w:r>
        <w:rPr>
          <w:rFonts w:hint="eastAsia" w:ascii="仿宋" w:hAnsi="仿宋" w:eastAsia="仿宋" w:cs="仿宋"/>
          <w:bCs/>
          <w:color w:val="000000"/>
          <w:kern w:val="0"/>
          <w:sz w:val="32"/>
          <w:szCs w:val="32"/>
        </w:rPr>
        <w:br w:type="page"/>
      </w:r>
      <w:bookmarkStart w:id="1" w:name="_GoBack"/>
      <w:r>
        <w:rPr>
          <w:rFonts w:hint="eastAsia" w:ascii="仿宋" w:hAnsi="仿宋" w:eastAsia="仿宋" w:cs="仿宋"/>
          <w:color w:val="000000"/>
          <w:kern w:val="0"/>
          <w:sz w:val="24"/>
          <w:szCs w:val="24"/>
        </w:rPr>
        <w:t>附件1：成都文理学院本科毕业论文（设计）工作流程及管理流程图</w:t>
      </w:r>
    </w:p>
    <w:p>
      <w:pPr>
        <w:keepNext w:val="0"/>
        <w:keepLines w:val="0"/>
        <w:pageBreakBefore w:val="0"/>
        <w:widowControl/>
        <w:kinsoku/>
        <w:wordWrap/>
        <w:overflowPunct/>
        <w:topLinePunct w:val="0"/>
        <w:autoSpaceDE/>
        <w:autoSpaceDN/>
        <w:bidi w:val="0"/>
        <w:adjustRightInd/>
        <w:snapToGrid/>
        <w:spacing w:line="600" w:lineRule="exac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附件2：成都文理学院本科毕业论文（设计）撰写、编辑、印制规范</w:t>
      </w:r>
    </w:p>
    <w:p>
      <w:pPr>
        <w:keepNext w:val="0"/>
        <w:keepLines w:val="0"/>
        <w:pageBreakBefore w:val="0"/>
        <w:widowControl/>
        <w:kinsoku/>
        <w:wordWrap/>
        <w:overflowPunct/>
        <w:topLinePunct w:val="0"/>
        <w:autoSpaceDE/>
        <w:autoSpaceDN/>
        <w:bidi w:val="0"/>
        <w:adjustRightInd/>
        <w:snapToGrid/>
        <w:spacing w:line="600" w:lineRule="exac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附件3：成都文理学院毕业论文（设计）任务书</w:t>
      </w:r>
    </w:p>
    <w:p>
      <w:pPr>
        <w:keepNext w:val="0"/>
        <w:keepLines w:val="0"/>
        <w:pageBreakBefore w:val="0"/>
        <w:kinsoku/>
        <w:wordWrap/>
        <w:overflowPunct/>
        <w:topLinePunct w:val="0"/>
        <w:autoSpaceDE/>
        <w:autoSpaceDN/>
        <w:bidi w:val="0"/>
        <w:adjustRightInd/>
        <w:snapToGrid/>
        <w:spacing w:line="600" w:lineRule="exac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附件4：成都文理学院毕业论文（设计）开题报告</w:t>
      </w:r>
    </w:p>
    <w:p>
      <w:pPr>
        <w:keepNext w:val="0"/>
        <w:keepLines w:val="0"/>
        <w:pageBreakBefore w:val="0"/>
        <w:kinsoku/>
        <w:wordWrap/>
        <w:overflowPunct/>
        <w:topLinePunct w:val="0"/>
        <w:autoSpaceDE/>
        <w:autoSpaceDN/>
        <w:bidi w:val="0"/>
        <w:adjustRightInd/>
        <w:snapToGrid/>
        <w:spacing w:line="600" w:lineRule="exac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附件5：成都文理学院毕业论文（设计）指导过程记录表</w:t>
      </w:r>
    </w:p>
    <w:p>
      <w:pPr>
        <w:keepNext w:val="0"/>
        <w:keepLines w:val="0"/>
        <w:pageBreakBefore w:val="0"/>
        <w:kinsoku/>
        <w:wordWrap/>
        <w:overflowPunct/>
        <w:topLinePunct w:val="0"/>
        <w:autoSpaceDE/>
        <w:autoSpaceDN/>
        <w:bidi w:val="0"/>
        <w:adjustRightInd/>
        <w:snapToGrid/>
        <w:spacing w:line="600" w:lineRule="exac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附件6：成都文理学院毕业论文（设计）开题答辩记录表</w:t>
      </w:r>
    </w:p>
    <w:p>
      <w:pPr>
        <w:keepNext w:val="0"/>
        <w:keepLines w:val="0"/>
        <w:pageBreakBefore w:val="0"/>
        <w:kinsoku/>
        <w:wordWrap/>
        <w:overflowPunct/>
        <w:topLinePunct w:val="0"/>
        <w:autoSpaceDE/>
        <w:autoSpaceDN/>
        <w:bidi w:val="0"/>
        <w:adjustRightInd/>
        <w:snapToGrid/>
        <w:spacing w:line="600" w:lineRule="exac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附件7：成都文理学院毕业论文（设计）中期检查记录表</w:t>
      </w:r>
    </w:p>
    <w:p>
      <w:pPr>
        <w:keepNext w:val="0"/>
        <w:keepLines w:val="0"/>
        <w:pageBreakBefore w:val="0"/>
        <w:kinsoku/>
        <w:wordWrap/>
        <w:overflowPunct/>
        <w:topLinePunct w:val="0"/>
        <w:autoSpaceDE/>
        <w:autoSpaceDN/>
        <w:bidi w:val="0"/>
        <w:adjustRightInd/>
        <w:snapToGrid/>
        <w:spacing w:line="600" w:lineRule="exac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附件8：成都文理学院毕业论文（设计）选题调整申请表</w:t>
      </w:r>
    </w:p>
    <w:p>
      <w:pPr>
        <w:keepNext w:val="0"/>
        <w:keepLines w:val="0"/>
        <w:pageBreakBefore w:val="0"/>
        <w:kinsoku/>
        <w:wordWrap/>
        <w:overflowPunct/>
        <w:topLinePunct w:val="0"/>
        <w:autoSpaceDE/>
        <w:autoSpaceDN/>
        <w:bidi w:val="0"/>
        <w:adjustRightInd/>
        <w:snapToGrid/>
        <w:spacing w:line="600" w:lineRule="exac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附件9：成都文理学院毕业论文（设计）指导教师评阅表</w:t>
      </w:r>
    </w:p>
    <w:p>
      <w:pPr>
        <w:keepNext w:val="0"/>
        <w:keepLines w:val="0"/>
        <w:pageBreakBefore w:val="0"/>
        <w:kinsoku/>
        <w:wordWrap/>
        <w:overflowPunct/>
        <w:topLinePunct w:val="0"/>
        <w:autoSpaceDE/>
        <w:autoSpaceDN/>
        <w:bidi w:val="0"/>
        <w:adjustRightInd/>
        <w:snapToGrid/>
        <w:spacing w:line="600" w:lineRule="exac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附件10：成都文理学院毕业论文（设计）评阅教师评阅表</w:t>
      </w:r>
    </w:p>
    <w:p>
      <w:pPr>
        <w:keepNext w:val="0"/>
        <w:keepLines w:val="0"/>
        <w:pageBreakBefore w:val="0"/>
        <w:kinsoku/>
        <w:wordWrap/>
        <w:overflowPunct/>
        <w:topLinePunct w:val="0"/>
        <w:autoSpaceDE/>
        <w:autoSpaceDN/>
        <w:bidi w:val="0"/>
        <w:adjustRightInd/>
        <w:snapToGrid/>
        <w:spacing w:line="600" w:lineRule="exac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附件11：成都文理学院毕业论文（设计）答辩记录与成绩评定表</w:t>
      </w:r>
    </w:p>
    <w:p>
      <w:pPr>
        <w:keepNext w:val="0"/>
        <w:keepLines w:val="0"/>
        <w:pageBreakBefore w:val="0"/>
        <w:kinsoku/>
        <w:wordWrap/>
        <w:overflowPunct/>
        <w:topLinePunct w:val="0"/>
        <w:autoSpaceDE/>
        <w:autoSpaceDN/>
        <w:bidi w:val="0"/>
        <w:adjustRightInd/>
        <w:snapToGrid/>
        <w:spacing w:line="600" w:lineRule="exac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附件12：成都文理学院毕业论文（设计）答辩委员会会议决议</w:t>
      </w:r>
    </w:p>
    <w:p>
      <w:pPr>
        <w:keepNext w:val="0"/>
        <w:keepLines w:val="0"/>
        <w:pageBreakBefore w:val="0"/>
        <w:kinsoku/>
        <w:wordWrap/>
        <w:overflowPunct/>
        <w:topLinePunct w:val="0"/>
        <w:autoSpaceDE/>
        <w:autoSpaceDN/>
        <w:bidi w:val="0"/>
        <w:adjustRightInd/>
        <w:snapToGrid/>
        <w:spacing w:line="600" w:lineRule="exac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附件13：成都文理学院毕业论文（设计）信息汇总表</w:t>
      </w:r>
    </w:p>
    <w:p>
      <w:pPr>
        <w:keepNext w:val="0"/>
        <w:keepLines w:val="0"/>
        <w:pageBreakBefore w:val="0"/>
        <w:kinsoku/>
        <w:wordWrap/>
        <w:overflowPunct/>
        <w:topLinePunct w:val="0"/>
        <w:autoSpaceDE/>
        <w:autoSpaceDN/>
        <w:bidi w:val="0"/>
        <w:adjustRightInd/>
        <w:snapToGrid/>
        <w:spacing w:line="600" w:lineRule="exac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附件14：成都文理学院毕业论文（设计）异常情况记录表</w:t>
      </w:r>
    </w:p>
    <w:p>
      <w:pPr>
        <w:keepNext w:val="0"/>
        <w:keepLines w:val="0"/>
        <w:pageBreakBefore w:val="0"/>
        <w:kinsoku/>
        <w:wordWrap/>
        <w:overflowPunct/>
        <w:topLinePunct w:val="0"/>
        <w:autoSpaceDE/>
        <w:autoSpaceDN/>
        <w:bidi w:val="0"/>
        <w:adjustRightInd/>
        <w:snapToGrid/>
        <w:spacing w:line="600" w:lineRule="exact"/>
        <w:textAlignment w:val="auto"/>
        <w:rPr>
          <w:rFonts w:hint="eastAsia" w:ascii="仿宋" w:hAnsi="仿宋" w:eastAsia="仿宋" w:cs="仿宋"/>
          <w:kern w:val="0"/>
          <w:sz w:val="24"/>
          <w:szCs w:val="24"/>
        </w:rPr>
      </w:pPr>
      <w:r>
        <w:rPr>
          <w:rFonts w:hint="eastAsia" w:ascii="仿宋" w:hAnsi="仿宋" w:eastAsia="仿宋" w:cs="仿宋"/>
          <w:color w:val="000000"/>
          <w:kern w:val="0"/>
          <w:sz w:val="24"/>
          <w:szCs w:val="24"/>
        </w:rPr>
        <w:t>附件15：优秀本科生毕业论文（设计）推荐汇总表</w:t>
      </w:r>
    </w:p>
    <w:p>
      <w:pPr>
        <w:keepNext w:val="0"/>
        <w:keepLines w:val="0"/>
        <w:pageBreakBefore w:val="0"/>
        <w:kinsoku/>
        <w:wordWrap/>
        <w:overflowPunct/>
        <w:topLinePunct w:val="0"/>
        <w:autoSpaceDE/>
        <w:autoSpaceDN/>
        <w:bidi w:val="0"/>
        <w:adjustRightInd/>
        <w:snapToGrid/>
        <w:spacing w:line="600" w:lineRule="exact"/>
        <w:textAlignment w:val="auto"/>
        <w:rPr>
          <w:rFonts w:hint="eastAsia" w:ascii="仿宋" w:hAnsi="仿宋" w:eastAsia="仿宋" w:cs="仿宋"/>
          <w:kern w:val="0"/>
          <w:sz w:val="24"/>
          <w:szCs w:val="24"/>
        </w:rPr>
      </w:pPr>
      <w:r>
        <w:rPr>
          <w:rFonts w:hint="eastAsia" w:ascii="仿宋" w:hAnsi="仿宋" w:eastAsia="仿宋" w:cs="仿宋"/>
          <w:color w:val="000000"/>
          <w:kern w:val="0"/>
          <w:sz w:val="24"/>
          <w:szCs w:val="24"/>
        </w:rPr>
        <w:t>附件16：</w:t>
      </w:r>
      <w:r>
        <w:rPr>
          <w:rFonts w:hint="eastAsia" w:ascii="仿宋" w:hAnsi="仿宋" w:eastAsia="仿宋" w:cs="仿宋"/>
          <w:kern w:val="0"/>
          <w:sz w:val="24"/>
          <w:szCs w:val="24"/>
        </w:rPr>
        <w:t>成都文理学院本科毕业论文(设计)质量评价报告</w:t>
      </w:r>
    </w:p>
    <w:bookmarkEnd w:id="1"/>
    <w:p>
      <w:pPr>
        <w:keepNext w:val="0"/>
        <w:keepLines w:val="0"/>
        <w:pageBreakBefore w:val="0"/>
        <w:widowControl/>
        <w:kinsoku/>
        <w:wordWrap/>
        <w:overflowPunct/>
        <w:topLinePunct w:val="0"/>
        <w:autoSpaceDE/>
        <w:autoSpaceDN/>
        <w:bidi w:val="0"/>
        <w:adjustRightInd/>
        <w:snapToGrid/>
        <w:spacing w:before="480" w:line="600" w:lineRule="exact"/>
        <w:jc w:val="both"/>
        <w:textAlignment w:val="auto"/>
        <w:rPr>
          <w:rFonts w:hint="eastAsia" w:ascii="仿宋" w:hAnsi="仿宋" w:eastAsia="仿宋" w:cs="仿宋"/>
          <w:bCs/>
          <w:color w:val="000000"/>
          <w:kern w:val="0"/>
          <w:sz w:val="32"/>
          <w:szCs w:val="32"/>
        </w:rPr>
      </w:pPr>
    </w:p>
    <w:sectPr>
      <w:pgSz w:w="11906" w:h="16838"/>
      <w:pgMar w:top="1440" w:right="1797" w:bottom="1134"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auto"/>
    <w:pitch w:val="default"/>
    <w:sig w:usb0="A00002BF" w:usb1="38CF7CFA" w:usb2="00082016" w:usb3="00000000" w:csb0="00040001" w:csb1="00000000"/>
    <w:embedRegular r:id="rId1" w:fontKey="{DF5E11A3-305D-4AD5-A559-64C3733FE5BC}"/>
  </w:font>
  <w:font w:name="仿宋">
    <w:panose1 w:val="02010609060101010101"/>
    <w:charset w:val="86"/>
    <w:family w:val="auto"/>
    <w:pitch w:val="default"/>
    <w:sig w:usb0="800002BF" w:usb1="38CF7CFA" w:usb2="00000016" w:usb3="00000000" w:csb0="00040001" w:csb1="00000000"/>
    <w:embedRegular r:id="rId2" w:fontKey="{43586632-7BC3-4B91-9258-C778AD5E84F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OWRjNWZhNjU4YTUxNWQ0OTJkMTBhNzM4MDlhNTEwNDMifQ=="/>
  </w:docVars>
  <w:rsids>
    <w:rsidRoot w:val="5E04491C"/>
    <w:rsid w:val="00023039"/>
    <w:rsid w:val="00056B17"/>
    <w:rsid w:val="00066CCF"/>
    <w:rsid w:val="00072C0B"/>
    <w:rsid w:val="000B79B0"/>
    <w:rsid w:val="000F3583"/>
    <w:rsid w:val="000F6C15"/>
    <w:rsid w:val="00152462"/>
    <w:rsid w:val="00177036"/>
    <w:rsid w:val="001C1B86"/>
    <w:rsid w:val="001E6279"/>
    <w:rsid w:val="00295D2E"/>
    <w:rsid w:val="00306FCD"/>
    <w:rsid w:val="003538B3"/>
    <w:rsid w:val="003B1495"/>
    <w:rsid w:val="004333BD"/>
    <w:rsid w:val="00435762"/>
    <w:rsid w:val="0046014E"/>
    <w:rsid w:val="004A0398"/>
    <w:rsid w:val="004D1790"/>
    <w:rsid w:val="004E32E7"/>
    <w:rsid w:val="004E4855"/>
    <w:rsid w:val="005038DF"/>
    <w:rsid w:val="00570B0E"/>
    <w:rsid w:val="005766D9"/>
    <w:rsid w:val="00577672"/>
    <w:rsid w:val="005C2DD5"/>
    <w:rsid w:val="00610D70"/>
    <w:rsid w:val="006417BD"/>
    <w:rsid w:val="00695D9E"/>
    <w:rsid w:val="006E1351"/>
    <w:rsid w:val="00737C9D"/>
    <w:rsid w:val="00766EAC"/>
    <w:rsid w:val="00767CC4"/>
    <w:rsid w:val="00776227"/>
    <w:rsid w:val="00780558"/>
    <w:rsid w:val="007D0550"/>
    <w:rsid w:val="007F3D27"/>
    <w:rsid w:val="008129BB"/>
    <w:rsid w:val="00835EC4"/>
    <w:rsid w:val="008A42F7"/>
    <w:rsid w:val="008F1200"/>
    <w:rsid w:val="009442CC"/>
    <w:rsid w:val="0097787A"/>
    <w:rsid w:val="00985BCC"/>
    <w:rsid w:val="009B6F88"/>
    <w:rsid w:val="009F5308"/>
    <w:rsid w:val="00A50D43"/>
    <w:rsid w:val="00A558FA"/>
    <w:rsid w:val="00A85995"/>
    <w:rsid w:val="00AF76D8"/>
    <w:rsid w:val="00B14F23"/>
    <w:rsid w:val="00B40485"/>
    <w:rsid w:val="00B8596B"/>
    <w:rsid w:val="00B95595"/>
    <w:rsid w:val="00C003B2"/>
    <w:rsid w:val="00CA1932"/>
    <w:rsid w:val="00CB555B"/>
    <w:rsid w:val="00D376FD"/>
    <w:rsid w:val="00D72429"/>
    <w:rsid w:val="00D82DDF"/>
    <w:rsid w:val="00E05AC1"/>
    <w:rsid w:val="00E46275"/>
    <w:rsid w:val="00E735F4"/>
    <w:rsid w:val="00E746E9"/>
    <w:rsid w:val="00EA05EA"/>
    <w:rsid w:val="00F3461C"/>
    <w:rsid w:val="00F6467E"/>
    <w:rsid w:val="00F70AF2"/>
    <w:rsid w:val="00FA4F8F"/>
    <w:rsid w:val="01464FA1"/>
    <w:rsid w:val="03A55D21"/>
    <w:rsid w:val="07D96BDE"/>
    <w:rsid w:val="08E77B25"/>
    <w:rsid w:val="0943044F"/>
    <w:rsid w:val="0AAD010A"/>
    <w:rsid w:val="0BF6791A"/>
    <w:rsid w:val="0C0C1DDE"/>
    <w:rsid w:val="0D6A5172"/>
    <w:rsid w:val="0E3B17BB"/>
    <w:rsid w:val="106B7C6D"/>
    <w:rsid w:val="107A2825"/>
    <w:rsid w:val="16707F06"/>
    <w:rsid w:val="17AF2F28"/>
    <w:rsid w:val="18AA691C"/>
    <w:rsid w:val="1AB91766"/>
    <w:rsid w:val="1BD2291B"/>
    <w:rsid w:val="1BD608AD"/>
    <w:rsid w:val="1BFE6F79"/>
    <w:rsid w:val="1CAD4A39"/>
    <w:rsid w:val="1D2E1595"/>
    <w:rsid w:val="1D7F493B"/>
    <w:rsid w:val="1D874566"/>
    <w:rsid w:val="1F40421E"/>
    <w:rsid w:val="1FDB5818"/>
    <w:rsid w:val="207D59BF"/>
    <w:rsid w:val="207E2D9A"/>
    <w:rsid w:val="20BA6C40"/>
    <w:rsid w:val="234F0F84"/>
    <w:rsid w:val="26B26DD0"/>
    <w:rsid w:val="2793619F"/>
    <w:rsid w:val="284F76FF"/>
    <w:rsid w:val="28687E65"/>
    <w:rsid w:val="288F5677"/>
    <w:rsid w:val="2A2642BB"/>
    <w:rsid w:val="2C112457"/>
    <w:rsid w:val="2D105609"/>
    <w:rsid w:val="2F376994"/>
    <w:rsid w:val="2FB55BF4"/>
    <w:rsid w:val="31D3469D"/>
    <w:rsid w:val="32643832"/>
    <w:rsid w:val="34A44C9F"/>
    <w:rsid w:val="36016565"/>
    <w:rsid w:val="38A97A6D"/>
    <w:rsid w:val="3BA05599"/>
    <w:rsid w:val="3C8D3B2C"/>
    <w:rsid w:val="3CAD1E92"/>
    <w:rsid w:val="3D0F7F96"/>
    <w:rsid w:val="3D4C7978"/>
    <w:rsid w:val="3FEB259B"/>
    <w:rsid w:val="40B83D5C"/>
    <w:rsid w:val="42E420DC"/>
    <w:rsid w:val="45476DEF"/>
    <w:rsid w:val="45B02EB2"/>
    <w:rsid w:val="46F9684D"/>
    <w:rsid w:val="47CA519A"/>
    <w:rsid w:val="49683A34"/>
    <w:rsid w:val="498C59FF"/>
    <w:rsid w:val="49D907ED"/>
    <w:rsid w:val="4C8C6993"/>
    <w:rsid w:val="4D6278D3"/>
    <w:rsid w:val="4E3738B3"/>
    <w:rsid w:val="51DE7198"/>
    <w:rsid w:val="5588094F"/>
    <w:rsid w:val="56F71B1F"/>
    <w:rsid w:val="5747502B"/>
    <w:rsid w:val="58A2504F"/>
    <w:rsid w:val="58F31C0A"/>
    <w:rsid w:val="595C6FC3"/>
    <w:rsid w:val="5A0A6F42"/>
    <w:rsid w:val="5B1D0867"/>
    <w:rsid w:val="5BBB7B76"/>
    <w:rsid w:val="5BE42691"/>
    <w:rsid w:val="5E04491C"/>
    <w:rsid w:val="5FD209C0"/>
    <w:rsid w:val="60612119"/>
    <w:rsid w:val="6165778E"/>
    <w:rsid w:val="61D1103E"/>
    <w:rsid w:val="627C5292"/>
    <w:rsid w:val="64AC31D6"/>
    <w:rsid w:val="6D1614A0"/>
    <w:rsid w:val="6D535020"/>
    <w:rsid w:val="6E3779A0"/>
    <w:rsid w:val="6EBA1B5F"/>
    <w:rsid w:val="7048037D"/>
    <w:rsid w:val="70B41018"/>
    <w:rsid w:val="70BB1141"/>
    <w:rsid w:val="71245F3B"/>
    <w:rsid w:val="750A30DF"/>
    <w:rsid w:val="773F782C"/>
    <w:rsid w:val="78955C9C"/>
    <w:rsid w:val="79B27185"/>
    <w:rsid w:val="7D071853"/>
    <w:rsid w:val="7E3C42B2"/>
    <w:rsid w:val="7EC93E1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iPriority="99" w:name="Normal Indent" w:locked="1"/>
    <w:lsdException w:uiPriority="99" w:name="footnote text" w:locked="1"/>
    <w:lsdException w:uiPriority="99" w:name="annotation text" w:locked="1"/>
    <w:lsdException w:uiPriority="99" w:name="header" w:locked="1"/>
    <w:lsdException w:uiPriority="99" w:name="footer" w:locked="1"/>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qFormat="1" w:uiPriority="1" w:name="Default Paragraph Font"/>
    <w:lsdException w:uiPriority="99"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iPriority="99" w:name="Hyperlink" w:locked="1"/>
    <w:lsdException w:uiPriority="99" w:name="FollowedHyperlink" w:locked="1"/>
    <w:lsdException w:qFormat="1" w:unhideWhenUsed="0" w:uiPriority="0" w:semiHidden="0" w:name="Strong"/>
    <w:lsdException w:qFormat="1" w:unhideWhenUsed="0" w:uiPriority="0" w:semiHidden="0" w:name="Emphasis"/>
    <w:lsdException w:uiPriority="99" w:name="Document Map" w:locked="1"/>
    <w:lsdException w:uiPriority="99" w:name="Plain Text" w:locked="1"/>
    <w:lsdException w:uiPriority="99" w:name="E-mail Signature" w:locked="1"/>
    <w:lsdException w:uiPriority="99"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unhideWhenUsed="0" w:uiPriority="0"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6"/>
    <w:qFormat/>
    <w:locked/>
    <w:uiPriority w:val="99"/>
    <w:pPr>
      <w:widowControl/>
      <w:spacing w:before="100" w:beforeAutospacing="1" w:after="100" w:afterAutospacing="1"/>
      <w:jc w:val="left"/>
      <w:outlineLvl w:val="0"/>
    </w:pPr>
    <w:rPr>
      <w:rFonts w:ascii="宋体" w:hAnsi="宋体" w:cs="宋体"/>
      <w:b/>
      <w:bCs/>
      <w:kern w:val="36"/>
      <w:sz w:val="48"/>
      <w:szCs w:val="48"/>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7"/>
    <w:semiHidden/>
    <w:qFormat/>
    <w:uiPriority w:val="99"/>
    <w:rPr>
      <w:sz w:val="18"/>
      <w:szCs w:val="18"/>
    </w:rPr>
  </w:style>
  <w:style w:type="character" w:customStyle="1" w:styleId="6">
    <w:name w:val="标题 1 字符"/>
    <w:basedOn w:val="5"/>
    <w:link w:val="2"/>
    <w:qFormat/>
    <w:locked/>
    <w:uiPriority w:val="99"/>
    <w:rPr>
      <w:rFonts w:cs="Times New Roman"/>
      <w:b/>
      <w:bCs/>
      <w:kern w:val="44"/>
      <w:sz w:val="44"/>
      <w:szCs w:val="44"/>
    </w:rPr>
  </w:style>
  <w:style w:type="character" w:customStyle="1" w:styleId="7">
    <w:name w:val="批注框文本 字符"/>
    <w:basedOn w:val="5"/>
    <w:link w:val="3"/>
    <w:semiHidden/>
    <w:qFormat/>
    <w:locked/>
    <w:uiPriority w:val="99"/>
    <w:rPr>
      <w:rFonts w:cs="Times New Roman"/>
      <w:sz w:val="2"/>
    </w:rPr>
  </w:style>
  <w:style w:type="paragraph" w:customStyle="1" w:styleId="8">
    <w:name w:val="p0"/>
    <w:basedOn w:val="1"/>
    <w:qFormat/>
    <w:uiPriority w:val="99"/>
    <w:pPr>
      <w:widowControl/>
    </w:pPr>
    <w:rPr>
      <w:rFonts w:ascii="宋体"/>
      <w:kern w:val="0"/>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Application%20Data\Kingsoft\wps\addons\pool\win-i386\knewfileruby_1.0.0.10\template\wps\0.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Pages>9</Pages>
  <Words>3628</Words>
  <Characters>3738</Characters>
  <Lines>27</Lines>
  <Paragraphs>7</Paragraphs>
  <TotalTime>25</TotalTime>
  <ScaleCrop>false</ScaleCrop>
  <LinksUpToDate>false</LinksUpToDate>
  <CharactersWithSpaces>3738</CharactersWithSpaces>
  <Application>WPS Office_11.1.0.12302_F1E327BC-269C-435d-A152-05C5408002CA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2018-09-29T12:53:00Z</dcterms:created>
  <dc:creator>yuminzhang2008</dc:creator>
  <cp:lastModifiedBy>王雄</cp:lastModifiedBy>
  <cp:lastPrinted>2022-04-12T03:23:00Z</cp:lastPrinted>
  <dcterms:modified xsi:type="dcterms:W3CDTF">2022-08-09T03:36:18Z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972AA184D0654DB09EA205FB72532C7D</vt:lpwstr>
  </property>
</Properties>
</file>